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adjustRightInd w:val="0"/>
        <w:snapToGrid w:val="0"/>
        <w:spacing w:line="560" w:lineRule="exact"/>
        <w:ind w:right="468"/>
        <w:jc w:val="both"/>
        <w:rPr>
          <w:rFonts w:eastAsia="方正仿宋简体"/>
          <w:color w:val="000000"/>
          <w:spacing w:val="6"/>
          <w:sz w:val="40"/>
          <w:szCs w:val="40"/>
        </w:rPr>
      </w:pPr>
    </w:p>
    <w:p>
      <w:pPr>
        <w:pStyle w:val="3"/>
        <w:adjustRightInd w:val="0"/>
        <w:snapToGrid w:val="0"/>
        <w:spacing w:line="600" w:lineRule="exact"/>
        <w:rPr>
          <w:rFonts w:ascii="方正小标宋简体" w:eastAsia="方正小标宋简体"/>
          <w:color w:val="000000"/>
          <w:spacing w:val="6"/>
          <w:szCs w:val="44"/>
        </w:rPr>
      </w:pPr>
    </w:p>
    <w:p>
      <w:pPr>
        <w:pStyle w:val="3"/>
        <w:adjustRightInd w:val="0"/>
        <w:snapToGrid w:val="0"/>
        <w:spacing w:line="600" w:lineRule="exact"/>
        <w:rPr>
          <w:rFonts w:ascii="方正小标宋简体" w:eastAsia="方正小标宋简体"/>
          <w:color w:val="000000"/>
          <w:spacing w:val="6"/>
          <w:szCs w:val="44"/>
        </w:rPr>
      </w:pPr>
      <w:r>
        <w:rPr>
          <w:rFonts w:ascii="方正小标宋简体" w:eastAsia="方正小标宋简体"/>
          <w:color w:val="000000"/>
          <w:spacing w:val="6"/>
          <w:szCs w:val="44"/>
        </w:rPr>
        <w:t>长沙市国民经济和社会发展</w:t>
      </w:r>
    </w:p>
    <w:p>
      <w:pPr>
        <w:pStyle w:val="3"/>
        <w:adjustRightInd w:val="0"/>
        <w:snapToGrid w:val="0"/>
        <w:spacing w:line="600" w:lineRule="exact"/>
        <w:rPr>
          <w:rFonts w:ascii="方正小标宋简体" w:eastAsia="方正小标宋简体"/>
          <w:color w:val="000000"/>
          <w:spacing w:val="6"/>
          <w:szCs w:val="44"/>
        </w:rPr>
      </w:pPr>
      <w:r>
        <w:rPr>
          <w:rFonts w:ascii="方正小标宋简体" w:eastAsia="方正小标宋简体"/>
          <w:color w:val="000000"/>
          <w:spacing w:val="6"/>
          <w:szCs w:val="44"/>
        </w:rPr>
        <w:t>第十三个五年规划纲要</w:t>
      </w:r>
    </w:p>
    <w:p>
      <w:pPr>
        <w:pStyle w:val="3"/>
        <w:adjustRightInd w:val="0"/>
        <w:snapToGrid w:val="0"/>
        <w:spacing w:line="600" w:lineRule="exact"/>
        <w:rPr>
          <w:rFonts w:ascii="方正小标宋简体" w:eastAsia="方正小标宋简体"/>
          <w:color w:val="000000"/>
          <w:spacing w:val="6"/>
          <w:szCs w:val="44"/>
        </w:rPr>
      </w:pPr>
    </w:p>
    <w:p>
      <w:pPr>
        <w:adjustRightInd w:val="0"/>
        <w:snapToGrid w:val="0"/>
        <w:spacing w:line="600" w:lineRule="exact"/>
        <w:jc w:val="center"/>
        <w:rPr>
          <w:rFonts w:eastAsia="方正仿宋简体"/>
          <w:bCs/>
          <w:color w:val="000000"/>
          <w:spacing w:val="6"/>
          <w:sz w:val="30"/>
          <w:szCs w:val="30"/>
        </w:rPr>
      </w:pPr>
      <w:r>
        <w:rPr>
          <w:rFonts w:eastAsia="方正仿宋简体"/>
          <w:bCs/>
          <w:color w:val="000000"/>
          <w:spacing w:val="6"/>
          <w:sz w:val="30"/>
          <w:szCs w:val="30"/>
        </w:rPr>
        <w:t>（2016年1月21日长沙市第十四届</w:t>
      </w:r>
    </w:p>
    <w:p>
      <w:pPr>
        <w:adjustRightInd w:val="0"/>
        <w:snapToGrid w:val="0"/>
        <w:spacing w:line="600" w:lineRule="exact"/>
        <w:jc w:val="center"/>
        <w:rPr>
          <w:rFonts w:eastAsia="方正仿宋简体"/>
          <w:bCs/>
          <w:color w:val="000000"/>
          <w:spacing w:val="6"/>
          <w:sz w:val="30"/>
          <w:szCs w:val="30"/>
        </w:rPr>
      </w:pPr>
      <w:r>
        <w:rPr>
          <w:rFonts w:eastAsia="方正仿宋简体"/>
          <w:bCs/>
          <w:color w:val="000000"/>
          <w:spacing w:val="6"/>
          <w:sz w:val="30"/>
          <w:szCs w:val="30"/>
        </w:rPr>
        <w:t>人民代表大会第四次会议批准）</w:t>
      </w:r>
    </w:p>
    <w:p>
      <w:pPr>
        <w:adjustRightInd w:val="0"/>
        <w:snapToGrid w:val="0"/>
        <w:spacing w:line="600" w:lineRule="exact"/>
        <w:jc w:val="center"/>
        <w:rPr>
          <w:rFonts w:eastAsia="方正仿宋简体"/>
          <w:b/>
          <w:bCs/>
          <w:color w:val="000000"/>
          <w:spacing w:val="6"/>
          <w:sz w:val="44"/>
          <w:szCs w:val="44"/>
        </w:rPr>
      </w:pPr>
    </w:p>
    <w:p>
      <w:pPr>
        <w:adjustRightInd w:val="0"/>
        <w:snapToGrid w:val="0"/>
        <w:spacing w:line="600" w:lineRule="exact"/>
        <w:ind w:firstLine="600" w:firstLineChars="200"/>
        <w:rPr>
          <w:rFonts w:eastAsia="方正仿宋简体"/>
          <w:color w:val="000000"/>
          <w:sz w:val="30"/>
          <w:szCs w:val="30"/>
        </w:rPr>
      </w:pPr>
      <w:r>
        <w:rPr>
          <w:rFonts w:eastAsia="方正仿宋简体"/>
          <w:color w:val="000000"/>
          <w:sz w:val="30"/>
          <w:szCs w:val="30"/>
        </w:rPr>
        <w:t>长沙市国民经济和社会发展第十三个五年（2016-2020年）规划纲要，根据《中共长沙市委关于制定长沙市国民经济和社会发展第十三个五年规划的建议》编制，主要阐明长沙未来五年经济社会发展的总体谋划和战略部署，是市场主体的行为导向，是政府履行职责的重要依据，是引领全市人民共同奋斗的宏伟蓝图和行动纲领。</w:t>
      </w:r>
    </w:p>
    <w:p>
      <w:pPr>
        <w:adjustRightInd w:val="0"/>
        <w:snapToGrid w:val="0"/>
        <w:spacing w:line="600" w:lineRule="exact"/>
        <w:jc w:val="center"/>
        <w:rPr>
          <w:rFonts w:eastAsia="方正仿宋简体"/>
          <w:color w:val="000000"/>
          <w:sz w:val="30"/>
          <w:szCs w:val="30"/>
        </w:rPr>
      </w:pPr>
    </w:p>
    <w:p>
      <w:pPr>
        <w:adjustRightInd w:val="0"/>
        <w:snapToGrid w:val="0"/>
        <w:spacing w:line="600" w:lineRule="exact"/>
        <w:jc w:val="center"/>
        <w:rPr>
          <w:rFonts w:hint="eastAsia" w:ascii="方正小标宋简体" w:eastAsia="方正小标宋简体"/>
          <w:color w:val="000000"/>
          <w:sz w:val="32"/>
          <w:szCs w:val="32"/>
        </w:rPr>
      </w:pPr>
      <w:r>
        <w:rPr>
          <w:rFonts w:hint="eastAsia" w:ascii="方正小标宋简体" w:eastAsia="方正小标宋简体"/>
          <w:color w:val="000000"/>
          <w:sz w:val="32"/>
          <w:szCs w:val="32"/>
        </w:rPr>
        <w:t>第一章  发展目标  率先全面</w:t>
      </w:r>
      <w:r>
        <w:rPr>
          <w:rFonts w:hint="eastAsia" w:ascii="方正小标宋简体" w:eastAsia="方正小标宋简体"/>
          <w:color w:val="000000"/>
          <w:sz w:val="32"/>
          <w:szCs w:val="32"/>
          <w:lang w:val="en-US" w:eastAsia="zh-CN"/>
        </w:rPr>
        <w:t>建成</w:t>
      </w:r>
      <w:r>
        <w:rPr>
          <w:rFonts w:hint="eastAsia" w:ascii="方正小标宋简体" w:eastAsia="方正小标宋简体"/>
          <w:color w:val="000000"/>
          <w:sz w:val="32"/>
          <w:szCs w:val="32"/>
        </w:rPr>
        <w:t>小康加快实现基本现代化</w:t>
      </w:r>
    </w:p>
    <w:p>
      <w:pPr>
        <w:adjustRightInd w:val="0"/>
        <w:snapToGrid w:val="0"/>
        <w:spacing w:before="312" w:beforeLines="100" w:after="312" w:afterLines="100" w:line="600" w:lineRule="exact"/>
        <w:jc w:val="center"/>
        <w:rPr>
          <w:rFonts w:eastAsia="方正仿宋简体"/>
          <w:color w:val="000000"/>
          <w:sz w:val="30"/>
          <w:szCs w:val="30"/>
        </w:rPr>
      </w:pPr>
      <w:r>
        <w:rPr>
          <w:rFonts w:eastAsia="方正仿宋简体"/>
          <w:color w:val="000000"/>
          <w:sz w:val="30"/>
          <w:szCs w:val="30"/>
        </w:rPr>
        <w:t>第一节  发展基础</w:t>
      </w:r>
    </w:p>
    <w:p>
      <w:pPr>
        <w:adjustRightInd w:val="0"/>
        <w:snapToGrid w:val="0"/>
        <w:spacing w:line="600" w:lineRule="exact"/>
        <w:ind w:firstLine="616" w:firstLineChars="200"/>
        <w:rPr>
          <w:rFonts w:eastAsia="方正仿宋简体"/>
          <w:color w:val="000000"/>
          <w:spacing w:val="4"/>
          <w:sz w:val="30"/>
          <w:szCs w:val="30"/>
        </w:rPr>
      </w:pPr>
      <w:r>
        <w:rPr>
          <w:rFonts w:eastAsia="方正仿宋简体"/>
          <w:color w:val="000000"/>
          <w:spacing w:val="4"/>
          <w:sz w:val="30"/>
          <w:szCs w:val="30"/>
        </w:rPr>
        <w:t>“十二五”时期，是长沙发展势头好、城乡品质提升快、人民群众得实惠多的五年。五年来，面对错综复杂的国内外环境和艰巨繁重的改革发展稳定任务，全市上下紧紧围绕率先建成“三市”、强力实施“三倍”、加快现代化进程，大步践行“六个走在前列”，坚持稳中求进、新中求进、好中求进，在新常态下实现了持续健康</w:t>
      </w:r>
      <w:r>
        <w:rPr>
          <w:rFonts w:eastAsia="方正仿宋简体"/>
          <w:color w:val="000000"/>
          <w:spacing w:val="2"/>
          <w:sz w:val="30"/>
          <w:szCs w:val="30"/>
        </w:rPr>
        <w:t>协调发展，总体完成了“十二五”规划确定的目标任务，开创了转型</w:t>
      </w:r>
    </w:p>
    <w:p>
      <w:pPr>
        <w:adjustRightInd w:val="0"/>
        <w:snapToGrid w:val="0"/>
        <w:spacing w:line="600" w:lineRule="exact"/>
        <w:rPr>
          <w:rFonts w:eastAsia="方正仿宋简体"/>
          <w:color w:val="000000"/>
          <w:spacing w:val="6"/>
          <w:sz w:val="30"/>
          <w:szCs w:val="30"/>
        </w:rPr>
      </w:pPr>
      <w:r>
        <w:rPr>
          <w:rFonts w:eastAsia="方正仿宋简体"/>
          <w:color w:val="000000"/>
          <w:spacing w:val="6"/>
          <w:sz w:val="30"/>
          <w:szCs w:val="30"/>
        </w:rPr>
        <w:br w:type="page"/>
      </w:r>
      <w:r>
        <w:rPr>
          <w:rFonts w:eastAsia="方正仿宋简体"/>
          <w:color w:val="000000"/>
          <w:spacing w:val="6"/>
          <w:sz w:val="30"/>
          <w:szCs w:val="30"/>
        </w:rPr>
        <w:t>创新发展新局面。</w:t>
      </w:r>
    </w:p>
    <w:p>
      <w:pPr>
        <w:adjustRightInd w:val="0"/>
        <w:snapToGrid w:val="0"/>
        <w:spacing w:line="600" w:lineRule="exact"/>
        <w:ind w:firstLine="624" w:firstLineChars="200"/>
        <w:rPr>
          <w:rFonts w:eastAsia="方正仿宋简体"/>
          <w:color w:val="000000"/>
          <w:spacing w:val="6"/>
          <w:sz w:val="30"/>
          <w:szCs w:val="30"/>
        </w:rPr>
      </w:pPr>
      <w:r>
        <w:rPr>
          <w:rFonts w:eastAsia="方正仿宋简体"/>
          <w:bCs/>
          <w:color w:val="000000"/>
          <w:spacing w:val="6"/>
          <w:sz w:val="30"/>
          <w:szCs w:val="30"/>
        </w:rPr>
        <w:t>——综合实力跃上新台阶。</w:t>
      </w:r>
      <w:r>
        <w:rPr>
          <w:rFonts w:eastAsia="方正仿宋简体"/>
          <w:color w:val="000000"/>
          <w:spacing w:val="6"/>
          <w:sz w:val="30"/>
          <w:szCs w:val="30"/>
        </w:rPr>
        <w:t>在经济下行压力持续加大的情况下，长沙始终保持又好又快发展态势，实现了经济总量、人均均量、发展质量“三量齐升”。</w:t>
      </w:r>
      <w:r>
        <w:rPr>
          <w:rFonts w:eastAsia="方正仿宋简体"/>
          <w:bCs/>
          <w:color w:val="000000"/>
          <w:spacing w:val="6"/>
          <w:sz w:val="30"/>
          <w:szCs w:val="30"/>
        </w:rPr>
        <w:t>经济规模持续扩大。</w:t>
      </w:r>
      <w:r>
        <w:rPr>
          <w:rFonts w:eastAsia="方正仿宋简体"/>
          <w:color w:val="000000"/>
          <w:spacing w:val="6"/>
          <w:sz w:val="30"/>
          <w:szCs w:val="30"/>
        </w:rPr>
        <w:t>2015年，实现地区生产总值8510.13亿元，年均增长12%，经济总量位居全国省会城市第6位，人均地区生产总值超过11.5万元。财政总收入达1113.48亿元，年均增长16.8%。</w:t>
      </w:r>
      <w:r>
        <w:rPr>
          <w:rFonts w:eastAsia="方正仿宋简体"/>
          <w:bCs/>
          <w:color w:val="000000"/>
          <w:spacing w:val="6"/>
          <w:sz w:val="30"/>
          <w:szCs w:val="30"/>
        </w:rPr>
        <w:t>竞争实力稳步提升。</w:t>
      </w:r>
      <w:r>
        <w:rPr>
          <w:rFonts w:eastAsia="方正仿宋简体"/>
          <w:color w:val="000000"/>
          <w:spacing w:val="6"/>
          <w:kern w:val="10"/>
          <w:sz w:val="30"/>
          <w:szCs w:val="30"/>
        </w:rPr>
        <w:t>湖南</w:t>
      </w:r>
      <w:r>
        <w:rPr>
          <w:rFonts w:eastAsia="方正仿宋简体"/>
          <w:color w:val="000000"/>
          <w:spacing w:val="6"/>
          <w:sz w:val="30"/>
          <w:szCs w:val="30"/>
        </w:rPr>
        <w:t>湘江新区成功获批，成为中部地区首个国家级新区。获批国家自主创新示范区</w:t>
      </w:r>
      <w:r>
        <w:rPr>
          <w:rFonts w:eastAsia="方正仿宋简体"/>
          <w:color w:val="000000"/>
          <w:spacing w:val="6"/>
          <w:kern w:val="10"/>
          <w:sz w:val="30"/>
          <w:szCs w:val="30"/>
        </w:rPr>
        <w:t>，长沙高新技术产业开发区</w:t>
      </w:r>
      <w:r>
        <w:rPr>
          <w:rFonts w:eastAsia="方正仿宋简体"/>
          <w:color w:val="000000"/>
          <w:spacing w:val="6"/>
          <w:sz w:val="30"/>
          <w:szCs w:val="30"/>
        </w:rPr>
        <w:t>创新能力居全国高新区前十强。新晋</w:t>
      </w:r>
      <w:r>
        <w:rPr>
          <w:rFonts w:eastAsia="方正仿宋简体"/>
          <w:color w:val="000000"/>
          <w:spacing w:val="6"/>
          <w:kern w:val="10"/>
          <w:sz w:val="30"/>
          <w:szCs w:val="30"/>
        </w:rPr>
        <w:t>浏阳经济技术开发区、望城经济技术开发区2家国家级开发区</w:t>
      </w:r>
      <w:r>
        <w:rPr>
          <w:rFonts w:eastAsia="方正仿宋简体"/>
          <w:color w:val="000000"/>
          <w:spacing w:val="6"/>
          <w:sz w:val="30"/>
          <w:szCs w:val="30"/>
        </w:rPr>
        <w:t>。</w:t>
      </w:r>
      <w:r>
        <w:rPr>
          <w:rFonts w:eastAsia="方正仿宋简体"/>
          <w:bCs/>
          <w:color w:val="000000"/>
          <w:spacing w:val="6"/>
          <w:sz w:val="30"/>
          <w:szCs w:val="30"/>
        </w:rPr>
        <w:t>发展质量明显提高。</w:t>
      </w:r>
      <w:r>
        <w:rPr>
          <w:rFonts w:eastAsia="方正仿宋简体"/>
          <w:color w:val="000000"/>
          <w:spacing w:val="6"/>
          <w:sz w:val="30"/>
          <w:szCs w:val="30"/>
        </w:rPr>
        <w:t>2015年，城乡居民人均可支配收入分别达39961元和23601元，年均增速分别为11.2%、13.7%。单位地区生产总值能耗累计下降20%以上，提前一年完成“十二五”规划目标。成功获取并蝉联全国文明城市荣誉。连续八年获评“中国最具幸福感城市”。</w:t>
      </w:r>
    </w:p>
    <w:p>
      <w:pPr>
        <w:adjustRightInd w:val="0"/>
        <w:snapToGrid w:val="0"/>
        <w:spacing w:line="600" w:lineRule="exact"/>
        <w:ind w:firstLine="600" w:firstLineChars="200"/>
        <w:rPr>
          <w:rFonts w:eastAsia="方正仿宋简体"/>
          <w:color w:val="000000"/>
          <w:sz w:val="30"/>
          <w:szCs w:val="30"/>
        </w:rPr>
      </w:pPr>
      <w:r>
        <w:rPr>
          <w:rFonts w:eastAsia="方正仿宋简体"/>
          <w:bCs/>
          <w:color w:val="000000"/>
          <w:sz w:val="30"/>
          <w:szCs w:val="30"/>
        </w:rPr>
        <w:t>——结构调整形成新格局。</w:t>
      </w:r>
      <w:r>
        <w:rPr>
          <w:rFonts w:eastAsia="方正仿宋简体"/>
          <w:color w:val="000000"/>
          <w:sz w:val="30"/>
          <w:szCs w:val="30"/>
        </w:rPr>
        <w:t>着力优化调整经济结构，三次产业协调发展，内外需求协调拉动，城乡建设协调推进。</w:t>
      </w:r>
      <w:r>
        <w:rPr>
          <w:rFonts w:eastAsia="方正仿宋简体"/>
          <w:bCs/>
          <w:color w:val="000000"/>
          <w:sz w:val="30"/>
          <w:szCs w:val="30"/>
        </w:rPr>
        <w:t>产业结构更趋合理。</w:t>
      </w:r>
      <w:r>
        <w:rPr>
          <w:rFonts w:eastAsia="方正仿宋简体"/>
          <w:color w:val="000000"/>
          <w:sz w:val="30"/>
          <w:szCs w:val="30"/>
        </w:rPr>
        <w:t>推动传统产业转型升级、新兴产业加快崛起，培育形成新材料、工程机械、烟草食品、电子信息、文化创意、旅游六大千亿级产业集群。全市规模工业增加值达3228.21亿元，年均增长14.7%；高新技术产业增加值占地区生产总值比重达32.1%；服务业对经济</w:t>
      </w:r>
      <w:r>
        <w:rPr>
          <w:rFonts w:eastAsia="方正仿宋简体"/>
          <w:color w:val="000000"/>
          <w:spacing w:val="6"/>
          <w:sz w:val="30"/>
          <w:szCs w:val="30"/>
        </w:rPr>
        <w:t>增长贡献率达48.6%，金融、物流、商贸、电子商务等产业发</w:t>
      </w:r>
      <w:r>
        <w:rPr>
          <w:rFonts w:eastAsia="方正仿宋简体"/>
          <w:color w:val="000000"/>
          <w:spacing w:val="4"/>
          <w:sz w:val="30"/>
          <w:szCs w:val="30"/>
        </w:rPr>
        <w:t>展</w:t>
      </w:r>
    </w:p>
    <w:p>
      <w:pPr>
        <w:adjustRightInd w:val="0"/>
        <w:snapToGrid w:val="0"/>
        <w:spacing w:line="600" w:lineRule="exact"/>
        <w:rPr>
          <w:rFonts w:eastAsia="方正仿宋简体"/>
          <w:color w:val="000000"/>
          <w:spacing w:val="6"/>
          <w:sz w:val="30"/>
          <w:szCs w:val="30"/>
        </w:rPr>
      </w:pPr>
      <w:r>
        <w:rPr>
          <w:rFonts w:eastAsia="方正仿宋简体"/>
          <w:color w:val="000000"/>
          <w:spacing w:val="6"/>
          <w:sz w:val="30"/>
          <w:szCs w:val="30"/>
        </w:rPr>
        <w:br w:type="page"/>
      </w:r>
      <w:r>
        <w:rPr>
          <w:rFonts w:eastAsia="方正仿宋简体"/>
          <w:color w:val="000000"/>
          <w:spacing w:val="6"/>
          <w:sz w:val="30"/>
          <w:szCs w:val="30"/>
        </w:rPr>
        <w:t>较快；农业现代化水平不断提升，农产品加工业销售收入突破1500亿元。</w:t>
      </w:r>
      <w:r>
        <w:rPr>
          <w:rFonts w:eastAsia="方正仿宋简体"/>
          <w:bCs/>
          <w:color w:val="000000"/>
          <w:spacing w:val="6"/>
          <w:sz w:val="30"/>
          <w:szCs w:val="30"/>
        </w:rPr>
        <w:t>需求结构持续改善。</w:t>
      </w:r>
      <w:r>
        <w:rPr>
          <w:rFonts w:eastAsia="方正仿宋简体"/>
          <w:color w:val="000000"/>
          <w:spacing w:val="6"/>
          <w:sz w:val="30"/>
          <w:szCs w:val="30"/>
        </w:rPr>
        <w:t>投资结构不断优化，五年累计完成固定资产投资2.39万亿元，年均增长20.2%。工业投资占固定资产投资比重达31.2%，较2010年提高8.1个百分点。坚持以项目论英雄、排座位、定奖惩，以钉钉子精神推进项目建设，轨道交通、过江通道、上海大众、蓝思科技等重大项目顺利推进。消费潜力有效释放，2015年实现社会消费品零售总额3690.59亿元，年均增长15.1%。进出口总额稳步增长，年均增速达16.3%。</w:t>
      </w:r>
      <w:r>
        <w:rPr>
          <w:rFonts w:eastAsia="方正仿宋简体"/>
          <w:bCs/>
          <w:color w:val="000000"/>
          <w:spacing w:val="6"/>
          <w:sz w:val="30"/>
          <w:szCs w:val="30"/>
        </w:rPr>
        <w:t>城</w:t>
      </w:r>
      <w:r>
        <w:rPr>
          <w:rFonts w:eastAsia="方正仿宋简体"/>
          <w:bCs/>
          <w:color w:val="000000"/>
          <w:sz w:val="30"/>
          <w:szCs w:val="30"/>
        </w:rPr>
        <w:t>乡结构日益优化。</w:t>
      </w:r>
      <w:r>
        <w:rPr>
          <w:rFonts w:eastAsia="方正仿宋简体"/>
          <w:color w:val="000000"/>
          <w:sz w:val="30"/>
          <w:szCs w:val="30"/>
        </w:rPr>
        <w:t>城乡差距不断缩小，城乡居民收入比由2010年的1.89缩小至1.69。2015年城镇化率达74.38%，较2010年提高6.69个百分点。县域经济蓬勃发展，</w:t>
      </w:r>
      <w:r>
        <w:rPr>
          <w:rFonts w:eastAsia="方正仿宋简体"/>
          <w:color w:val="000000"/>
          <w:kern w:val="10"/>
          <w:sz w:val="30"/>
          <w:szCs w:val="30"/>
        </w:rPr>
        <w:t>长沙县、浏阳市、宁乡县跻身全国县域经济与县域基本竞争力前五十强，</w:t>
      </w:r>
      <w:r>
        <w:rPr>
          <w:rFonts w:eastAsia="方正仿宋简体"/>
          <w:color w:val="000000"/>
          <w:sz w:val="30"/>
          <w:szCs w:val="30"/>
        </w:rPr>
        <w:t>其中</w:t>
      </w:r>
      <w:r>
        <w:rPr>
          <w:rFonts w:eastAsia="方正仿宋简体"/>
          <w:color w:val="000000"/>
          <w:kern w:val="10"/>
          <w:sz w:val="30"/>
          <w:szCs w:val="30"/>
        </w:rPr>
        <w:t>长沙县挺进前十强。</w:t>
      </w:r>
    </w:p>
    <w:p>
      <w:pPr>
        <w:adjustRightInd w:val="0"/>
        <w:snapToGrid w:val="0"/>
        <w:spacing w:line="600" w:lineRule="exact"/>
        <w:ind w:firstLine="608" w:firstLineChars="200"/>
        <w:rPr>
          <w:rFonts w:eastAsia="方正仿宋简体"/>
          <w:color w:val="000000"/>
          <w:sz w:val="30"/>
          <w:szCs w:val="30"/>
        </w:rPr>
      </w:pPr>
      <w:r>
        <w:rPr>
          <w:rFonts w:eastAsia="方正仿宋简体"/>
          <w:bCs/>
          <w:color w:val="000000"/>
          <w:spacing w:val="2"/>
          <w:sz w:val="30"/>
          <w:szCs w:val="30"/>
        </w:rPr>
        <w:t>——城乡建设达到新水准。</w:t>
      </w:r>
      <w:r>
        <w:rPr>
          <w:rFonts w:eastAsia="方正仿宋简体"/>
          <w:color w:val="000000"/>
          <w:spacing w:val="2"/>
          <w:sz w:val="30"/>
          <w:szCs w:val="30"/>
        </w:rPr>
        <w:t>聚焦“宜居宜业、精致精美、人见人爱”目标，推进品质长沙建设向升级版发力。</w:t>
      </w:r>
      <w:r>
        <w:rPr>
          <w:rFonts w:eastAsia="方正仿宋简体"/>
          <w:bCs/>
          <w:color w:val="000000"/>
          <w:spacing w:val="2"/>
          <w:sz w:val="30"/>
          <w:szCs w:val="30"/>
        </w:rPr>
        <w:t>城市规划建设凸显特色。</w:t>
      </w:r>
      <w:r>
        <w:rPr>
          <w:rFonts w:eastAsia="方正仿宋简体"/>
          <w:color w:val="000000"/>
          <w:spacing w:val="2"/>
          <w:kern w:val="0"/>
          <w:sz w:val="30"/>
          <w:szCs w:val="30"/>
        </w:rPr>
        <w:t>实施沿江建设、跨江发展，</w:t>
      </w:r>
      <w:r>
        <w:rPr>
          <w:rFonts w:eastAsia="方正仿宋简体"/>
          <w:color w:val="000000"/>
          <w:spacing w:val="2"/>
          <w:sz w:val="30"/>
          <w:szCs w:val="30"/>
        </w:rPr>
        <w:t>城市总体规划修订获国务院批复，望城撤县设区，高铁新城、省府新区、隆平新区、南湖新城等重点片区建设快速推进，构建了“一江两岸、东提西拓、南延北进”的</w:t>
      </w:r>
      <w:r>
        <w:rPr>
          <w:rFonts w:eastAsia="方正仿宋简体"/>
          <w:color w:val="000000"/>
          <w:spacing w:val="4"/>
          <w:sz w:val="30"/>
          <w:szCs w:val="30"/>
        </w:rPr>
        <w:t>城市发展框架，长沙“山水洲城”特色更加彰显。持续实施清洁城市、畅通城市、绿色城市、靓丽城市和更高水准的文明城市建设，城市更加宜居宜业宜游。</w:t>
      </w:r>
      <w:r>
        <w:rPr>
          <w:rFonts w:eastAsia="方正仿宋简体"/>
          <w:bCs/>
          <w:color w:val="000000"/>
          <w:spacing w:val="4"/>
          <w:sz w:val="30"/>
          <w:szCs w:val="30"/>
        </w:rPr>
        <w:t>综合交通体系日臻完善。</w:t>
      </w:r>
      <w:r>
        <w:rPr>
          <w:rFonts w:eastAsia="方正仿宋简体"/>
          <w:color w:val="000000"/>
          <w:spacing w:val="4"/>
          <w:sz w:val="30"/>
          <w:szCs w:val="30"/>
        </w:rPr>
        <w:t>积极畅通对外通道，成为直通19个省会城市和直辖市的全国重要高铁枢纽城市；</w:t>
      </w:r>
      <w:r>
        <w:rPr>
          <w:rFonts w:eastAsia="方正仿宋简体"/>
          <w:color w:val="000000"/>
          <w:sz w:val="30"/>
          <w:szCs w:val="30"/>
        </w:rPr>
        <w:t>黄花机场年旅客吞吐量约1900万人次，居中部前列；建成长湘、长</w:t>
      </w:r>
    </w:p>
    <w:p>
      <w:pPr>
        <w:adjustRightInd w:val="0"/>
        <w:snapToGrid w:val="0"/>
        <w:spacing w:line="600" w:lineRule="exact"/>
        <w:rPr>
          <w:rFonts w:eastAsia="方正仿宋简体"/>
          <w:color w:val="000000"/>
          <w:kern w:val="0"/>
          <w:sz w:val="30"/>
          <w:szCs w:val="30"/>
        </w:rPr>
      </w:pPr>
      <w:r>
        <w:rPr>
          <w:rFonts w:eastAsia="方正仿宋简体"/>
          <w:color w:val="000000"/>
          <w:spacing w:val="6"/>
          <w:sz w:val="30"/>
          <w:szCs w:val="30"/>
        </w:rPr>
        <w:br w:type="page"/>
      </w:r>
      <w:r>
        <w:rPr>
          <w:rFonts w:eastAsia="方正仿宋简体"/>
          <w:color w:val="000000"/>
          <w:sz w:val="30"/>
          <w:szCs w:val="30"/>
        </w:rPr>
        <w:t>浏、长韶娄等7条（段）高速公路，新增里程约365公里；坪塘大道、芙蓉北大道等长株潭城际快速干道建成通车；湘江长沙综合枢纽蓄水通航。城市交通网络日益完善，“公交都市”建设加快推进，新增福元路湘江大桥等4条市政道路过江通道，</w:t>
      </w:r>
      <w:r>
        <w:rPr>
          <w:rFonts w:eastAsia="方正仿宋简体"/>
          <w:color w:val="000000"/>
          <w:kern w:val="0"/>
          <w:sz w:val="30"/>
          <w:szCs w:val="30"/>
        </w:rPr>
        <w:t>万家丽路快速化改造建成通车；</w:t>
      </w:r>
      <w:r>
        <w:rPr>
          <w:rFonts w:eastAsia="方正仿宋简体"/>
          <w:color w:val="000000"/>
          <w:sz w:val="30"/>
          <w:szCs w:val="30"/>
        </w:rPr>
        <w:t>地铁2号线开通运营，地铁1号线一期全线轨通，3、4、5号线建设全面启动和加快推进，长沙迈入地铁新时代；黎托综合交通枢纽、湘江新区综合交通枢纽</w:t>
      </w:r>
      <w:r>
        <w:rPr>
          <w:rFonts w:eastAsia="方正仿宋简体"/>
          <w:color w:val="000000"/>
          <w:kern w:val="0"/>
          <w:sz w:val="30"/>
          <w:szCs w:val="30"/>
        </w:rPr>
        <w:t>投入</w:t>
      </w:r>
      <w:r>
        <w:rPr>
          <w:rFonts w:eastAsia="方正仿宋简体"/>
          <w:color w:val="000000"/>
          <w:sz w:val="30"/>
          <w:szCs w:val="30"/>
        </w:rPr>
        <w:t>运营，</w:t>
      </w:r>
      <w:r>
        <w:rPr>
          <w:rFonts w:eastAsia="方正仿宋简体"/>
          <w:color w:val="000000"/>
          <w:kern w:val="0"/>
          <w:sz w:val="30"/>
          <w:szCs w:val="30"/>
        </w:rPr>
        <w:t>高铁站至机场中低速磁浮试运行。</w:t>
      </w:r>
      <w:r>
        <w:rPr>
          <w:rFonts w:eastAsia="方正仿宋简体"/>
          <w:bCs/>
          <w:color w:val="000000"/>
          <w:sz w:val="30"/>
          <w:szCs w:val="30"/>
        </w:rPr>
        <w:t>城乡一体化建设彰显成效。</w:t>
      </w:r>
      <w:r>
        <w:rPr>
          <w:rFonts w:eastAsia="方正仿宋简体"/>
          <w:color w:val="000000"/>
          <w:kern w:val="0"/>
          <w:sz w:val="30"/>
          <w:szCs w:val="30"/>
        </w:rPr>
        <w:t>铺排建设15个小城市、中心镇、特色镇，加快建设湘江古镇群等一批具有湖湘风情的美丽城镇。农村公路通达、电力扩容、安全饮水、环境整治、校舍改造五大工程扎实推进，实施农村公路“三年行动计划”，实现100%的行政村、自然村通水泥路，五年累计改造农村危房3.55万户，解决156万农村人口安全饮水问题，农村生产生活条件明显改善。</w:t>
      </w:r>
    </w:p>
    <w:p>
      <w:pPr>
        <w:adjustRightInd w:val="0"/>
        <w:snapToGrid w:val="0"/>
        <w:spacing w:line="600" w:lineRule="exact"/>
        <w:ind w:firstLine="624" w:firstLineChars="200"/>
        <w:rPr>
          <w:rFonts w:eastAsia="方正仿宋简体"/>
          <w:bCs/>
          <w:color w:val="000000"/>
          <w:spacing w:val="6"/>
          <w:kern w:val="0"/>
          <w:sz w:val="30"/>
          <w:szCs w:val="30"/>
        </w:rPr>
      </w:pPr>
      <w:r>
        <w:rPr>
          <w:rFonts w:eastAsia="方正仿宋简体"/>
          <w:bCs/>
          <w:color w:val="000000"/>
          <w:spacing w:val="6"/>
          <w:sz w:val="30"/>
          <w:szCs w:val="30"/>
        </w:rPr>
        <w:t>——两型引领取得新进展。</w:t>
      </w:r>
      <w:r>
        <w:rPr>
          <w:rFonts w:eastAsia="方正仿宋简体"/>
          <w:color w:val="000000"/>
          <w:spacing w:val="6"/>
          <w:kern w:val="0"/>
          <w:sz w:val="30"/>
          <w:szCs w:val="30"/>
        </w:rPr>
        <w:t>始终坚持“两型引领”，突出抓好</w:t>
      </w:r>
      <w:r>
        <w:rPr>
          <w:rFonts w:eastAsia="方正仿宋简体"/>
          <w:color w:val="000000"/>
          <w:spacing w:val="4"/>
          <w:kern w:val="0"/>
          <w:sz w:val="30"/>
          <w:szCs w:val="30"/>
        </w:rPr>
        <w:t>生态文明建设，促进经济社会健康协调可持续发展。</w:t>
      </w:r>
      <w:r>
        <w:rPr>
          <w:rFonts w:eastAsia="方正仿宋简体"/>
          <w:bCs/>
          <w:color w:val="000000"/>
          <w:spacing w:val="4"/>
          <w:kern w:val="0"/>
          <w:sz w:val="30"/>
          <w:szCs w:val="30"/>
        </w:rPr>
        <w:t>生态环境持续改善。</w:t>
      </w:r>
      <w:r>
        <w:rPr>
          <w:rFonts w:eastAsia="方正仿宋简体"/>
          <w:color w:val="000000"/>
          <w:spacing w:val="4"/>
          <w:kern w:val="0"/>
          <w:sz w:val="30"/>
          <w:szCs w:val="30"/>
        </w:rPr>
        <w:t>大力实施“清霾”、“碧水”、“静音”、“净土”四大行动，“长沙蓝”不断增加，湘江水更加清澈，环境质量进一步改善。实施湘江长沙段治理保护和浏阳河城区段污染整治工程，主城区101处排口实现全面截污，城市污水处理率达96.9%。加强大气污染联防联控，五年累计淘汰转出黄标车7.2万辆，2015年空气质量优良率达94%（旧标准）。开展“三年造绿大行动”，五年累计完成造林绿化面积68.19万亩，森林覆盖率达54.8%。</w:t>
      </w:r>
      <w:r>
        <w:rPr>
          <w:rFonts w:eastAsia="方正仿宋简体"/>
          <w:bCs/>
          <w:color w:val="000000"/>
          <w:spacing w:val="4"/>
          <w:kern w:val="0"/>
          <w:sz w:val="30"/>
          <w:szCs w:val="30"/>
        </w:rPr>
        <w:t>资源节约成效</w:t>
      </w:r>
      <w:r>
        <w:rPr>
          <w:rFonts w:eastAsia="方正仿宋简体"/>
          <w:bCs/>
          <w:color w:val="000000"/>
          <w:spacing w:val="6"/>
          <w:kern w:val="0"/>
          <w:sz w:val="30"/>
          <w:szCs w:val="30"/>
        </w:rPr>
        <w:t>突出。</w:t>
      </w:r>
    </w:p>
    <w:p>
      <w:pPr>
        <w:adjustRightInd w:val="0"/>
        <w:snapToGrid w:val="0"/>
        <w:spacing w:line="600" w:lineRule="exact"/>
        <w:rPr>
          <w:rFonts w:eastAsia="方正仿宋简体"/>
          <w:color w:val="000000"/>
          <w:kern w:val="0"/>
          <w:sz w:val="30"/>
          <w:szCs w:val="30"/>
        </w:rPr>
      </w:pPr>
      <w:r>
        <w:rPr>
          <w:rFonts w:eastAsia="方正仿宋简体"/>
          <w:bCs/>
          <w:color w:val="000000"/>
          <w:spacing w:val="6"/>
          <w:kern w:val="0"/>
          <w:sz w:val="30"/>
          <w:szCs w:val="30"/>
        </w:rPr>
        <w:br w:type="page"/>
      </w:r>
      <w:r>
        <w:rPr>
          <w:rFonts w:eastAsia="方正仿宋简体"/>
          <w:color w:val="000000"/>
          <w:kern w:val="0"/>
          <w:sz w:val="30"/>
          <w:szCs w:val="30"/>
        </w:rPr>
        <w:t>实施最严格的水资源管理制度，确立水资源开发利用控制、用水效率控制、水功能区限制纳污“三条红线”。水、电、气阶梯价格改革取得积极成效。大力推广合同能源管理和分布式清洁能源。加大工矿废弃地复垦力度，推进棚户区、城中村和开发（园）区等城镇低效用地再开发，积极开展农村宅基地制度改革试点。</w:t>
      </w:r>
      <w:r>
        <w:rPr>
          <w:rFonts w:eastAsia="方正仿宋简体"/>
          <w:bCs/>
          <w:color w:val="000000"/>
          <w:kern w:val="0"/>
          <w:sz w:val="30"/>
          <w:szCs w:val="30"/>
        </w:rPr>
        <w:t>两型综改纵深推进。</w:t>
      </w:r>
      <w:r>
        <w:rPr>
          <w:rFonts w:eastAsia="方正仿宋简体"/>
          <w:color w:val="000000"/>
          <w:kern w:val="0"/>
          <w:sz w:val="30"/>
          <w:szCs w:val="30"/>
        </w:rPr>
        <w:t>将改革作为两型社会建设的核心动力，推出排污权交易等八项举措，开启全国城市全面实施环境经济政策先河。率先在省会城市成立环境资源交易所，推出排污权有偿使用和交易拍卖制度。率先全国实行环境风险企业分级管理。在全国首创畜禽养殖污染治理合同环境服务。长沙县率先全国开展零碳试点工作。</w:t>
      </w:r>
    </w:p>
    <w:p>
      <w:pPr>
        <w:adjustRightInd w:val="0"/>
        <w:snapToGrid w:val="0"/>
        <w:spacing w:line="600" w:lineRule="exact"/>
        <w:ind w:firstLine="608" w:firstLineChars="200"/>
        <w:rPr>
          <w:rFonts w:eastAsia="方正仿宋简体"/>
          <w:color w:val="000000"/>
          <w:spacing w:val="2"/>
          <w:sz w:val="30"/>
          <w:szCs w:val="30"/>
        </w:rPr>
      </w:pPr>
      <w:r>
        <w:rPr>
          <w:rFonts w:eastAsia="方正仿宋简体"/>
          <w:bCs/>
          <w:color w:val="000000"/>
          <w:spacing w:val="2"/>
          <w:sz w:val="30"/>
          <w:szCs w:val="30"/>
        </w:rPr>
        <w:t>——改革开放实现新突破。</w:t>
      </w:r>
      <w:r>
        <w:rPr>
          <w:rFonts w:eastAsia="方正仿宋简体"/>
          <w:color w:val="000000"/>
          <w:spacing w:val="2"/>
          <w:kern w:val="0"/>
          <w:sz w:val="30"/>
          <w:szCs w:val="30"/>
        </w:rPr>
        <w:t>以开放倒逼改革、以改革推动发展，充分激发市场主体活力，为经济社会发展提供不竭动力。</w:t>
      </w:r>
      <w:r>
        <w:rPr>
          <w:rFonts w:eastAsia="方正仿宋简体"/>
          <w:bCs/>
          <w:color w:val="000000"/>
          <w:spacing w:val="2"/>
          <w:kern w:val="0"/>
          <w:sz w:val="30"/>
          <w:szCs w:val="30"/>
        </w:rPr>
        <w:t>重点领域改革扎实推进。</w:t>
      </w:r>
      <w:r>
        <w:rPr>
          <w:rFonts w:eastAsia="方正仿宋简体"/>
          <w:color w:val="000000"/>
          <w:spacing w:val="2"/>
          <w:kern w:val="0"/>
          <w:sz w:val="30"/>
          <w:szCs w:val="30"/>
        </w:rPr>
        <w:t>行政管理体制改革积极推进，率先全省公布权力清单、责任清单，行政审批效率整体提速50%以上。财税、金融、投融资等要素市场改革继续深化，一批PPP（公私合作模式）项目相继实施。商事制度改革取得积极进展，</w:t>
      </w:r>
      <w:r>
        <w:rPr>
          <w:rFonts w:eastAsia="方正仿宋简体"/>
          <w:color w:val="000000"/>
          <w:spacing w:val="2"/>
          <w:sz w:val="30"/>
          <w:szCs w:val="30"/>
        </w:rPr>
        <w:t>率先实施“三证合一、一照一码”。启动新一轮国资国企改革，推进国企办社会职能分离、国资</w:t>
      </w:r>
      <w:r>
        <w:rPr>
          <w:rFonts w:eastAsia="方正仿宋简体"/>
          <w:color w:val="000000"/>
          <w:spacing w:val="2"/>
          <w:kern w:val="0"/>
          <w:sz w:val="30"/>
          <w:szCs w:val="30"/>
        </w:rPr>
        <w:t>分类分层监管。深入推进医药卫生体制改革，全民医保体系日臻完善。文化、教育等社会领域改革迈出实质性步伐，户籍制度、行政区划微调、县域功能分区等改革稳步推进。</w:t>
      </w:r>
      <w:r>
        <w:rPr>
          <w:rFonts w:eastAsia="方正仿宋简体"/>
          <w:bCs/>
          <w:color w:val="000000"/>
          <w:spacing w:val="2"/>
          <w:sz w:val="30"/>
          <w:szCs w:val="30"/>
        </w:rPr>
        <w:t>重大试点建设全面铺开。</w:t>
      </w:r>
      <w:r>
        <w:rPr>
          <w:rFonts w:eastAsia="方正仿宋简体"/>
          <w:color w:val="000000"/>
          <w:spacing w:val="2"/>
          <w:sz w:val="30"/>
          <w:szCs w:val="30"/>
        </w:rPr>
        <w:t>主动对接国家战略部署，成功争取新型城镇化综合试点、城市地下综合管廊试点、战略性新兴产业区域集聚发展试点、节能减排</w:t>
      </w:r>
    </w:p>
    <w:p>
      <w:pPr>
        <w:adjustRightInd w:val="0"/>
        <w:snapToGrid w:val="0"/>
        <w:spacing w:line="600" w:lineRule="exact"/>
        <w:rPr>
          <w:rFonts w:eastAsia="方正仿宋简体"/>
          <w:color w:val="000000"/>
          <w:spacing w:val="4"/>
          <w:sz w:val="30"/>
          <w:szCs w:val="30"/>
        </w:rPr>
      </w:pPr>
      <w:r>
        <w:rPr>
          <w:rFonts w:eastAsia="方正仿宋简体"/>
          <w:color w:val="000000"/>
          <w:sz w:val="30"/>
          <w:szCs w:val="30"/>
        </w:rPr>
        <w:br w:type="page"/>
      </w:r>
      <w:r>
        <w:rPr>
          <w:rFonts w:eastAsia="方正仿宋简体"/>
          <w:color w:val="000000"/>
          <w:spacing w:val="4"/>
          <w:sz w:val="30"/>
          <w:szCs w:val="30"/>
        </w:rPr>
        <w:t>财政政策综合示范、现代服务业综合试点、下一代互联网示范城市、电子商务示范城市等20多项国家示范试点，一批重大示范项目相继推进，长沙的“政策洼地”和品牌效应进一步凸显。</w:t>
      </w:r>
      <w:r>
        <w:rPr>
          <w:rFonts w:eastAsia="方正仿宋简体"/>
          <w:bCs/>
          <w:color w:val="000000"/>
          <w:spacing w:val="4"/>
          <w:sz w:val="30"/>
          <w:szCs w:val="30"/>
        </w:rPr>
        <w:t>对外开放步伐不断加快。</w:t>
      </w:r>
      <w:r>
        <w:rPr>
          <w:rFonts w:eastAsia="方正仿宋简体"/>
          <w:color w:val="000000"/>
          <w:spacing w:val="4"/>
          <w:sz w:val="30"/>
          <w:szCs w:val="30"/>
        </w:rPr>
        <w:t>开通直飞新加坡、法兰克福等地航班，湘欧快线国际货运班列运营，与泛珠三角、长三角、长江中游城市群、成渝经济圈等区域合作全面深化。五年累计实际到位外资173.5亿美元，年均增长14.5%，对外开放水平不断提升，全方位对外开放格局初步形成。</w:t>
      </w:r>
    </w:p>
    <w:p>
      <w:pPr>
        <w:adjustRightInd w:val="0"/>
        <w:snapToGrid w:val="0"/>
        <w:spacing w:line="600" w:lineRule="exact"/>
        <w:ind w:firstLine="608" w:firstLineChars="200"/>
        <w:rPr>
          <w:rFonts w:eastAsia="方正仿宋简体"/>
          <w:bCs/>
          <w:color w:val="000000"/>
          <w:spacing w:val="2"/>
          <w:sz w:val="30"/>
          <w:szCs w:val="30"/>
        </w:rPr>
      </w:pPr>
      <w:r>
        <w:rPr>
          <w:rFonts w:eastAsia="方正仿宋简体"/>
          <w:bCs/>
          <w:color w:val="000000"/>
          <w:spacing w:val="2"/>
          <w:sz w:val="30"/>
          <w:szCs w:val="30"/>
        </w:rPr>
        <w:t>——社会民生开创新局面。</w:t>
      </w:r>
      <w:r>
        <w:rPr>
          <w:rFonts w:eastAsia="方正仿宋简体"/>
          <w:color w:val="000000"/>
          <w:spacing w:val="2"/>
          <w:sz w:val="30"/>
          <w:szCs w:val="30"/>
        </w:rPr>
        <w:t>按照保基本、兜底线、促公平的要求，提升公共服务水平，持续保障和改善民生，确保发展成果更多更好地惠及全市人民。</w:t>
      </w:r>
      <w:r>
        <w:rPr>
          <w:rFonts w:eastAsia="方正仿宋简体"/>
          <w:bCs/>
          <w:color w:val="000000"/>
          <w:spacing w:val="2"/>
          <w:sz w:val="30"/>
          <w:szCs w:val="30"/>
        </w:rPr>
        <w:t>社会事业全面进步。</w:t>
      </w:r>
      <w:r>
        <w:rPr>
          <w:rFonts w:eastAsia="方正仿宋简体"/>
          <w:color w:val="000000"/>
          <w:spacing w:val="2"/>
          <w:sz w:val="30"/>
          <w:szCs w:val="30"/>
        </w:rPr>
        <w:t>深入推进教育强市建设，全面改善办学条件，实现义务教育阶段合格学校全覆盖，建成长沙职业教育基地。成为国家教育质量评价、职业教育、特殊教育等改革试点城市，全面建成全国义务教育均衡县（市区）和省教育强县（市区）。基层医疗服务体系不断健全，基本药物制度稳步实施。文化惠民步伐加快，覆盖城乡的公共文化设施网络基本建成，获评首批国家公共文</w:t>
      </w:r>
      <w:r>
        <w:rPr>
          <w:rFonts w:eastAsia="方正仿宋简体"/>
          <w:color w:val="000000"/>
          <w:spacing w:val="6"/>
          <w:sz w:val="30"/>
          <w:szCs w:val="30"/>
        </w:rPr>
        <w:t>化服务示范区，跻身国家标准化试点城市。</w:t>
      </w:r>
      <w:r>
        <w:rPr>
          <w:rFonts w:eastAsia="方正仿宋简体"/>
          <w:bCs/>
          <w:color w:val="000000"/>
          <w:spacing w:val="6"/>
          <w:sz w:val="30"/>
          <w:szCs w:val="30"/>
        </w:rPr>
        <w:t>保障体系不断健全。</w:t>
      </w:r>
      <w:r>
        <w:rPr>
          <w:rFonts w:eastAsia="方正仿宋简体"/>
          <w:color w:val="000000"/>
          <w:spacing w:val="6"/>
          <w:sz w:val="30"/>
          <w:szCs w:val="30"/>
        </w:rPr>
        <w:t>进一步加强基层人力资源和社会保障公共服务平</w:t>
      </w:r>
      <w:r>
        <w:rPr>
          <w:rFonts w:eastAsia="方正仿宋简体"/>
          <w:color w:val="000000"/>
          <w:spacing w:val="4"/>
          <w:sz w:val="30"/>
          <w:szCs w:val="30"/>
        </w:rPr>
        <w:t>台建设。社会保障加快扩面提标，率先全国实现城乡居民医疗保险并轨，率先全省启动城乡居民大病保险工作，大病医疗救助制度进一步健全，“社保一卡通”全面铺开。率先中部建立城乡居民</w:t>
      </w:r>
      <w:r>
        <w:rPr>
          <w:rFonts w:eastAsia="方正仿宋简体"/>
          <w:color w:val="000000"/>
          <w:spacing w:val="2"/>
          <w:sz w:val="30"/>
          <w:szCs w:val="30"/>
        </w:rPr>
        <w:t>基本养老保险制度，企业退休人员养老待遇实现“十一连增”。</w:t>
      </w:r>
      <w:r>
        <w:rPr>
          <w:rFonts w:eastAsia="方正仿宋简体"/>
          <w:bCs/>
          <w:color w:val="000000"/>
          <w:spacing w:val="2"/>
          <w:sz w:val="30"/>
          <w:szCs w:val="30"/>
        </w:rPr>
        <w:t>社会</w:t>
      </w:r>
    </w:p>
    <w:p>
      <w:pPr>
        <w:adjustRightInd w:val="0"/>
        <w:snapToGrid w:val="0"/>
        <w:spacing w:line="600" w:lineRule="exact"/>
        <w:rPr>
          <w:rFonts w:hint="eastAsia" w:eastAsia="方正仿宋简体"/>
          <w:color w:val="000000"/>
          <w:sz w:val="30"/>
          <w:szCs w:val="30"/>
        </w:rPr>
      </w:pPr>
      <w:r>
        <w:rPr>
          <w:rFonts w:eastAsia="方正仿宋简体"/>
          <w:bCs/>
          <w:color w:val="000000"/>
          <w:sz w:val="30"/>
          <w:szCs w:val="30"/>
        </w:rPr>
        <w:br w:type="page"/>
      </w:r>
      <w:r>
        <w:rPr>
          <w:rFonts w:eastAsia="方正仿宋简体"/>
          <w:bCs/>
          <w:color w:val="000000"/>
          <w:sz w:val="30"/>
          <w:szCs w:val="30"/>
        </w:rPr>
        <w:t>大局和谐稳定。</w:t>
      </w:r>
      <w:r>
        <w:rPr>
          <w:rFonts w:eastAsia="方正仿宋简体"/>
          <w:color w:val="000000"/>
          <w:sz w:val="30"/>
          <w:szCs w:val="30"/>
        </w:rPr>
        <w:t>持续开展创业富民工程，完善城乡统筹的创业就业政策扶持体系，城镇登记失业率控制在4%以内。成功创建首批“全国和谐社区建设示范城市”，连续五次荣获全国双拥模范城市荣誉称号，连续六年获得中华慈善奖。着力建设平安长沙，荣获全国平安建设“长安杯”。全力创建食品安全城市，积极推进全国社会管理创新综合试点，实现安全生产责任整治常态化，强化价格监督管理，居民消费价格指数保持稳定。</w:t>
      </w:r>
    </w:p>
    <w:p>
      <w:pPr>
        <w:adjustRightInd w:val="0"/>
        <w:snapToGrid w:val="0"/>
        <w:spacing w:line="600" w:lineRule="exact"/>
        <w:jc w:val="center"/>
        <w:rPr>
          <w:rFonts w:hint="eastAsia" w:eastAsia="方正仿宋简体"/>
          <w:color w:val="000000"/>
          <w:sz w:val="28"/>
          <w:szCs w:val="28"/>
        </w:rPr>
      </w:pPr>
      <w:r>
        <w:rPr>
          <w:rFonts w:hint="eastAsia" w:ascii="黑体" w:eastAsia="黑体"/>
          <w:color w:val="000000"/>
          <w:sz w:val="28"/>
          <w:szCs w:val="28"/>
        </w:rPr>
        <w:t>专栏1：长沙市“十二五”规划主要目标完成情况</w:t>
      </w:r>
    </w:p>
    <w:tbl>
      <w:tblPr>
        <w:tblStyle w:val="15"/>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06"/>
        <w:gridCol w:w="2820"/>
        <w:gridCol w:w="2061"/>
        <w:gridCol w:w="1543"/>
        <w:gridCol w:w="150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10" w:hRule="atLeast"/>
          <w:tblHeader/>
          <w:jc w:val="center"/>
        </w:trPr>
        <w:tc>
          <w:tcPr>
            <w:tcW w:w="706" w:type="dxa"/>
            <w:noWrap w:val="0"/>
            <w:vAlign w:val="center"/>
          </w:tcPr>
          <w:p>
            <w:pPr>
              <w:adjustRightInd w:val="0"/>
              <w:snapToGrid w:val="0"/>
              <w:jc w:val="center"/>
              <w:rPr>
                <w:rFonts w:eastAsia="方正仿宋简体"/>
                <w:bCs/>
                <w:color w:val="000000"/>
                <w:szCs w:val="21"/>
              </w:rPr>
            </w:pPr>
            <w:r>
              <w:rPr>
                <w:rFonts w:eastAsia="方正仿宋简体"/>
                <w:bCs/>
                <w:color w:val="000000"/>
                <w:szCs w:val="21"/>
              </w:rPr>
              <w:t>序号</w:t>
            </w:r>
          </w:p>
        </w:tc>
        <w:tc>
          <w:tcPr>
            <w:tcW w:w="4881" w:type="dxa"/>
            <w:gridSpan w:val="2"/>
            <w:noWrap w:val="0"/>
            <w:vAlign w:val="center"/>
          </w:tcPr>
          <w:p>
            <w:pPr>
              <w:adjustRightInd w:val="0"/>
              <w:snapToGrid w:val="0"/>
              <w:jc w:val="center"/>
              <w:rPr>
                <w:rFonts w:eastAsia="方正仿宋简体"/>
                <w:bCs/>
                <w:color w:val="000000"/>
                <w:szCs w:val="21"/>
              </w:rPr>
            </w:pPr>
            <w:r>
              <w:rPr>
                <w:rFonts w:eastAsia="方正仿宋简体"/>
                <w:bCs/>
                <w:color w:val="000000"/>
                <w:szCs w:val="21"/>
              </w:rPr>
              <w:t>指      标</w:t>
            </w:r>
          </w:p>
        </w:tc>
        <w:tc>
          <w:tcPr>
            <w:tcW w:w="1543" w:type="dxa"/>
            <w:noWrap w:val="0"/>
            <w:vAlign w:val="center"/>
          </w:tcPr>
          <w:p>
            <w:pPr>
              <w:adjustRightInd w:val="0"/>
              <w:snapToGrid w:val="0"/>
              <w:jc w:val="center"/>
              <w:rPr>
                <w:rFonts w:eastAsia="方正仿宋简体"/>
                <w:bCs/>
                <w:color w:val="000000"/>
                <w:szCs w:val="21"/>
              </w:rPr>
            </w:pPr>
            <w:r>
              <w:rPr>
                <w:rFonts w:eastAsia="方正仿宋简体"/>
                <w:bCs/>
                <w:color w:val="000000"/>
                <w:szCs w:val="21"/>
              </w:rPr>
              <w:t>发展目标</w:t>
            </w:r>
          </w:p>
        </w:tc>
        <w:tc>
          <w:tcPr>
            <w:tcW w:w="1501" w:type="dxa"/>
            <w:noWrap w:val="0"/>
            <w:vAlign w:val="center"/>
          </w:tcPr>
          <w:p>
            <w:pPr>
              <w:adjustRightInd w:val="0"/>
              <w:snapToGrid w:val="0"/>
              <w:jc w:val="center"/>
              <w:rPr>
                <w:rFonts w:eastAsia="方正仿宋简体"/>
                <w:bCs/>
                <w:color w:val="000000"/>
                <w:szCs w:val="21"/>
              </w:rPr>
            </w:pPr>
            <w:r>
              <w:rPr>
                <w:rFonts w:eastAsia="方正仿宋简体"/>
                <w:bCs/>
                <w:color w:val="000000"/>
                <w:szCs w:val="21"/>
              </w:rPr>
              <w:t>完成情况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10" w:hRule="atLeast"/>
          <w:jc w:val="center"/>
        </w:trPr>
        <w:tc>
          <w:tcPr>
            <w:tcW w:w="706" w:type="dxa"/>
            <w:vMerge w:val="restart"/>
            <w:noWrap w:val="0"/>
            <w:vAlign w:val="center"/>
          </w:tcPr>
          <w:p>
            <w:pPr>
              <w:adjustRightInd w:val="0"/>
              <w:snapToGrid w:val="0"/>
              <w:jc w:val="center"/>
              <w:rPr>
                <w:rFonts w:eastAsia="方正仿宋简体"/>
                <w:color w:val="000000"/>
                <w:szCs w:val="21"/>
              </w:rPr>
            </w:pPr>
            <w:r>
              <w:rPr>
                <w:rFonts w:eastAsia="方正仿宋简体"/>
                <w:color w:val="000000"/>
                <w:szCs w:val="21"/>
              </w:rPr>
              <w:t>1</w:t>
            </w:r>
          </w:p>
        </w:tc>
        <w:tc>
          <w:tcPr>
            <w:tcW w:w="2820" w:type="dxa"/>
            <w:vMerge w:val="restart"/>
            <w:noWrap w:val="0"/>
            <w:vAlign w:val="center"/>
          </w:tcPr>
          <w:p>
            <w:pPr>
              <w:adjustRightInd w:val="0"/>
              <w:snapToGrid w:val="0"/>
              <w:jc w:val="center"/>
              <w:rPr>
                <w:rFonts w:eastAsia="方正仿宋简体"/>
                <w:color w:val="000000"/>
                <w:szCs w:val="21"/>
              </w:rPr>
            </w:pPr>
            <w:r>
              <w:rPr>
                <w:rFonts w:eastAsia="方正仿宋简体"/>
                <w:color w:val="000000"/>
                <w:szCs w:val="21"/>
              </w:rPr>
              <w:t>地区生产总值</w:t>
            </w:r>
          </w:p>
        </w:tc>
        <w:tc>
          <w:tcPr>
            <w:tcW w:w="2061" w:type="dxa"/>
            <w:noWrap w:val="0"/>
            <w:vAlign w:val="center"/>
          </w:tcPr>
          <w:p>
            <w:pPr>
              <w:adjustRightInd w:val="0"/>
              <w:snapToGrid w:val="0"/>
              <w:jc w:val="center"/>
              <w:rPr>
                <w:rFonts w:eastAsia="方正仿宋简体"/>
                <w:color w:val="000000"/>
                <w:szCs w:val="21"/>
              </w:rPr>
            </w:pPr>
            <w:r>
              <w:rPr>
                <w:rFonts w:eastAsia="方正仿宋简体"/>
                <w:color w:val="000000"/>
                <w:szCs w:val="21"/>
              </w:rPr>
              <w:t>总值（亿元）</w:t>
            </w:r>
          </w:p>
        </w:tc>
        <w:tc>
          <w:tcPr>
            <w:tcW w:w="1543" w:type="dxa"/>
            <w:noWrap w:val="0"/>
            <w:vAlign w:val="center"/>
          </w:tcPr>
          <w:p>
            <w:pPr>
              <w:adjustRightInd w:val="0"/>
              <w:snapToGrid w:val="0"/>
              <w:jc w:val="center"/>
              <w:rPr>
                <w:rFonts w:eastAsia="方正仿宋简体"/>
                <w:color w:val="000000"/>
                <w:szCs w:val="21"/>
              </w:rPr>
            </w:pPr>
            <w:r>
              <w:rPr>
                <w:rFonts w:eastAsia="方正仿宋简体"/>
                <w:color w:val="000000"/>
                <w:szCs w:val="21"/>
              </w:rPr>
              <w:t>8800</w:t>
            </w:r>
          </w:p>
        </w:tc>
        <w:tc>
          <w:tcPr>
            <w:tcW w:w="1501" w:type="dxa"/>
            <w:noWrap w:val="0"/>
            <w:vAlign w:val="center"/>
          </w:tcPr>
          <w:p>
            <w:pPr>
              <w:adjustRightInd w:val="0"/>
              <w:snapToGrid w:val="0"/>
              <w:jc w:val="center"/>
              <w:rPr>
                <w:rFonts w:eastAsia="方正仿宋简体"/>
                <w:color w:val="000000"/>
                <w:szCs w:val="21"/>
              </w:rPr>
            </w:pPr>
            <w:r>
              <w:rPr>
                <w:rFonts w:eastAsia="方正仿宋简体"/>
                <w:color w:val="000000"/>
                <w:szCs w:val="21"/>
              </w:rPr>
              <w:t>8510.13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10" w:hRule="atLeast"/>
          <w:jc w:val="center"/>
        </w:trPr>
        <w:tc>
          <w:tcPr>
            <w:tcW w:w="706" w:type="dxa"/>
            <w:vMerge w:val="continue"/>
            <w:noWrap w:val="0"/>
            <w:vAlign w:val="center"/>
          </w:tcPr>
          <w:p>
            <w:pPr>
              <w:adjustRightInd w:val="0"/>
              <w:snapToGrid w:val="0"/>
              <w:jc w:val="center"/>
              <w:rPr>
                <w:rFonts w:eastAsia="方正仿宋简体"/>
                <w:color w:val="000000"/>
                <w:szCs w:val="21"/>
              </w:rPr>
            </w:pPr>
          </w:p>
        </w:tc>
        <w:tc>
          <w:tcPr>
            <w:tcW w:w="2820" w:type="dxa"/>
            <w:vMerge w:val="continue"/>
            <w:noWrap w:val="0"/>
            <w:vAlign w:val="center"/>
          </w:tcPr>
          <w:p>
            <w:pPr>
              <w:adjustRightInd w:val="0"/>
              <w:snapToGrid w:val="0"/>
              <w:jc w:val="center"/>
              <w:rPr>
                <w:rFonts w:eastAsia="方正仿宋简体"/>
                <w:color w:val="000000"/>
                <w:szCs w:val="21"/>
              </w:rPr>
            </w:pPr>
          </w:p>
        </w:tc>
        <w:tc>
          <w:tcPr>
            <w:tcW w:w="2061" w:type="dxa"/>
            <w:noWrap w:val="0"/>
            <w:vAlign w:val="center"/>
          </w:tcPr>
          <w:p>
            <w:pPr>
              <w:adjustRightInd w:val="0"/>
              <w:snapToGrid w:val="0"/>
              <w:jc w:val="center"/>
              <w:rPr>
                <w:rFonts w:eastAsia="方正仿宋简体"/>
                <w:color w:val="000000"/>
                <w:szCs w:val="21"/>
              </w:rPr>
            </w:pPr>
            <w:r>
              <w:rPr>
                <w:rFonts w:eastAsia="方正仿宋简体"/>
                <w:color w:val="000000"/>
                <w:szCs w:val="21"/>
              </w:rPr>
              <w:t>年均增长（%）</w:t>
            </w:r>
          </w:p>
        </w:tc>
        <w:tc>
          <w:tcPr>
            <w:tcW w:w="1543" w:type="dxa"/>
            <w:noWrap w:val="0"/>
            <w:vAlign w:val="center"/>
          </w:tcPr>
          <w:p>
            <w:pPr>
              <w:adjustRightInd w:val="0"/>
              <w:snapToGrid w:val="0"/>
              <w:jc w:val="center"/>
              <w:rPr>
                <w:rFonts w:eastAsia="方正仿宋简体"/>
                <w:color w:val="000000"/>
                <w:szCs w:val="21"/>
              </w:rPr>
            </w:pPr>
            <w:r>
              <w:rPr>
                <w:rFonts w:eastAsia="方正仿宋简体"/>
                <w:color w:val="000000"/>
                <w:szCs w:val="21"/>
              </w:rPr>
              <w:t>12.5</w:t>
            </w:r>
          </w:p>
        </w:tc>
        <w:tc>
          <w:tcPr>
            <w:tcW w:w="1501" w:type="dxa"/>
            <w:noWrap w:val="0"/>
            <w:vAlign w:val="center"/>
          </w:tcPr>
          <w:p>
            <w:pPr>
              <w:adjustRightInd w:val="0"/>
              <w:snapToGrid w:val="0"/>
              <w:jc w:val="center"/>
              <w:rPr>
                <w:rFonts w:eastAsia="方正仿宋简体"/>
                <w:color w:val="000000"/>
                <w:szCs w:val="21"/>
              </w:rPr>
            </w:pPr>
            <w:r>
              <w:rPr>
                <w:rFonts w:eastAsia="方正仿宋简体"/>
                <w:color w:val="000000"/>
                <w:szCs w:val="21"/>
              </w:rPr>
              <w:t>12.0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10" w:hRule="atLeast"/>
          <w:jc w:val="center"/>
        </w:trPr>
        <w:tc>
          <w:tcPr>
            <w:tcW w:w="706" w:type="dxa"/>
            <w:noWrap w:val="0"/>
            <w:vAlign w:val="center"/>
          </w:tcPr>
          <w:p>
            <w:pPr>
              <w:adjustRightInd w:val="0"/>
              <w:snapToGrid w:val="0"/>
              <w:jc w:val="center"/>
              <w:rPr>
                <w:rFonts w:eastAsia="方正仿宋简体"/>
                <w:color w:val="000000"/>
                <w:szCs w:val="21"/>
              </w:rPr>
            </w:pPr>
            <w:r>
              <w:rPr>
                <w:rFonts w:eastAsia="方正仿宋简体"/>
                <w:color w:val="000000"/>
                <w:szCs w:val="21"/>
              </w:rPr>
              <w:t>2</w:t>
            </w:r>
          </w:p>
        </w:tc>
        <w:tc>
          <w:tcPr>
            <w:tcW w:w="2820" w:type="dxa"/>
            <w:noWrap w:val="0"/>
            <w:vAlign w:val="center"/>
          </w:tcPr>
          <w:p>
            <w:pPr>
              <w:adjustRightInd w:val="0"/>
              <w:snapToGrid w:val="0"/>
              <w:jc w:val="center"/>
              <w:rPr>
                <w:rFonts w:eastAsia="方正仿宋简体"/>
                <w:color w:val="000000"/>
                <w:szCs w:val="21"/>
              </w:rPr>
            </w:pPr>
            <w:r>
              <w:rPr>
                <w:rFonts w:eastAsia="方正仿宋简体"/>
                <w:color w:val="000000"/>
                <w:szCs w:val="21"/>
              </w:rPr>
              <w:t>人均地区生产总值</w:t>
            </w:r>
          </w:p>
        </w:tc>
        <w:tc>
          <w:tcPr>
            <w:tcW w:w="2061" w:type="dxa"/>
            <w:noWrap w:val="0"/>
            <w:vAlign w:val="center"/>
          </w:tcPr>
          <w:p>
            <w:pPr>
              <w:adjustRightInd w:val="0"/>
              <w:snapToGrid w:val="0"/>
              <w:jc w:val="center"/>
              <w:rPr>
                <w:rFonts w:eastAsia="方正仿宋简体"/>
                <w:color w:val="000000"/>
                <w:szCs w:val="21"/>
              </w:rPr>
            </w:pPr>
            <w:r>
              <w:rPr>
                <w:rFonts w:eastAsia="方正仿宋简体"/>
                <w:color w:val="000000"/>
                <w:szCs w:val="21"/>
              </w:rPr>
              <w:t>元</w:t>
            </w:r>
          </w:p>
        </w:tc>
        <w:tc>
          <w:tcPr>
            <w:tcW w:w="1543" w:type="dxa"/>
            <w:noWrap w:val="0"/>
            <w:vAlign w:val="center"/>
          </w:tcPr>
          <w:p>
            <w:pPr>
              <w:adjustRightInd w:val="0"/>
              <w:snapToGrid w:val="0"/>
              <w:jc w:val="center"/>
              <w:rPr>
                <w:rFonts w:eastAsia="方正仿宋简体"/>
                <w:color w:val="000000"/>
                <w:szCs w:val="21"/>
              </w:rPr>
            </w:pPr>
            <w:r>
              <w:rPr>
                <w:rFonts w:eastAsia="方正仿宋简体"/>
                <w:color w:val="000000"/>
                <w:szCs w:val="21"/>
              </w:rPr>
              <w:t>120000</w:t>
            </w:r>
          </w:p>
        </w:tc>
        <w:tc>
          <w:tcPr>
            <w:tcW w:w="1501" w:type="dxa"/>
            <w:noWrap w:val="0"/>
            <w:vAlign w:val="center"/>
          </w:tcPr>
          <w:p>
            <w:pPr>
              <w:adjustRightInd w:val="0"/>
              <w:snapToGrid w:val="0"/>
              <w:jc w:val="center"/>
              <w:rPr>
                <w:rFonts w:eastAsia="方正仿宋简体"/>
                <w:color w:val="000000"/>
                <w:szCs w:val="21"/>
              </w:rPr>
            </w:pPr>
            <w:r>
              <w:rPr>
                <w:rFonts w:eastAsia="方正仿宋简体"/>
                <w:color w:val="000000"/>
                <w:szCs w:val="21"/>
              </w:rPr>
              <w:t>115443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10" w:hRule="atLeast"/>
          <w:jc w:val="center"/>
        </w:trPr>
        <w:tc>
          <w:tcPr>
            <w:tcW w:w="706" w:type="dxa"/>
            <w:vMerge w:val="restart"/>
            <w:noWrap w:val="0"/>
            <w:vAlign w:val="center"/>
          </w:tcPr>
          <w:p>
            <w:pPr>
              <w:adjustRightInd w:val="0"/>
              <w:snapToGrid w:val="0"/>
              <w:jc w:val="center"/>
              <w:rPr>
                <w:rFonts w:eastAsia="方正仿宋简体"/>
                <w:color w:val="000000"/>
                <w:szCs w:val="21"/>
              </w:rPr>
            </w:pPr>
            <w:r>
              <w:rPr>
                <w:rFonts w:eastAsia="方正仿宋简体"/>
                <w:color w:val="000000"/>
                <w:szCs w:val="21"/>
              </w:rPr>
              <w:t>3</w:t>
            </w:r>
          </w:p>
        </w:tc>
        <w:tc>
          <w:tcPr>
            <w:tcW w:w="2820" w:type="dxa"/>
            <w:vMerge w:val="restart"/>
            <w:noWrap w:val="0"/>
            <w:vAlign w:val="center"/>
          </w:tcPr>
          <w:p>
            <w:pPr>
              <w:adjustRightInd w:val="0"/>
              <w:snapToGrid w:val="0"/>
              <w:jc w:val="center"/>
              <w:rPr>
                <w:rFonts w:eastAsia="方正仿宋简体"/>
                <w:color w:val="000000"/>
                <w:szCs w:val="21"/>
              </w:rPr>
            </w:pPr>
            <w:r>
              <w:rPr>
                <w:rFonts w:eastAsia="方正仿宋简体"/>
                <w:color w:val="000000"/>
                <w:szCs w:val="21"/>
              </w:rPr>
              <w:t>财政总收入</w:t>
            </w:r>
          </w:p>
        </w:tc>
        <w:tc>
          <w:tcPr>
            <w:tcW w:w="2061" w:type="dxa"/>
            <w:noWrap w:val="0"/>
            <w:vAlign w:val="center"/>
          </w:tcPr>
          <w:p>
            <w:pPr>
              <w:adjustRightInd w:val="0"/>
              <w:snapToGrid w:val="0"/>
              <w:jc w:val="center"/>
              <w:rPr>
                <w:rFonts w:eastAsia="方正仿宋简体"/>
                <w:color w:val="000000"/>
                <w:szCs w:val="21"/>
              </w:rPr>
            </w:pPr>
            <w:r>
              <w:rPr>
                <w:rFonts w:eastAsia="方正仿宋简体"/>
                <w:color w:val="000000"/>
                <w:szCs w:val="21"/>
              </w:rPr>
              <w:t>总值（亿元）</w:t>
            </w:r>
          </w:p>
        </w:tc>
        <w:tc>
          <w:tcPr>
            <w:tcW w:w="1543" w:type="dxa"/>
            <w:noWrap w:val="0"/>
            <w:vAlign w:val="center"/>
          </w:tcPr>
          <w:p>
            <w:pPr>
              <w:adjustRightInd w:val="0"/>
              <w:snapToGrid w:val="0"/>
              <w:jc w:val="center"/>
              <w:rPr>
                <w:rFonts w:eastAsia="方正仿宋简体"/>
                <w:color w:val="000000"/>
                <w:szCs w:val="21"/>
              </w:rPr>
            </w:pPr>
            <w:r>
              <w:rPr>
                <w:rFonts w:eastAsia="方正仿宋简体"/>
                <w:color w:val="000000"/>
                <w:szCs w:val="21"/>
              </w:rPr>
              <w:t>1000</w:t>
            </w:r>
          </w:p>
        </w:tc>
        <w:tc>
          <w:tcPr>
            <w:tcW w:w="1501" w:type="dxa"/>
            <w:noWrap w:val="0"/>
            <w:vAlign w:val="center"/>
          </w:tcPr>
          <w:p>
            <w:pPr>
              <w:adjustRightInd w:val="0"/>
              <w:snapToGrid w:val="0"/>
              <w:jc w:val="center"/>
              <w:rPr>
                <w:rFonts w:eastAsia="方正仿宋简体"/>
                <w:color w:val="000000"/>
                <w:szCs w:val="21"/>
              </w:rPr>
            </w:pPr>
            <w:r>
              <w:rPr>
                <w:rFonts w:eastAsia="方正仿宋简体"/>
                <w:color w:val="000000"/>
                <w:szCs w:val="21"/>
              </w:rPr>
              <w:t>1113.48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10" w:hRule="atLeast"/>
          <w:jc w:val="center"/>
        </w:trPr>
        <w:tc>
          <w:tcPr>
            <w:tcW w:w="706" w:type="dxa"/>
            <w:vMerge w:val="continue"/>
            <w:noWrap w:val="0"/>
            <w:vAlign w:val="center"/>
          </w:tcPr>
          <w:p>
            <w:pPr>
              <w:adjustRightInd w:val="0"/>
              <w:snapToGrid w:val="0"/>
              <w:jc w:val="center"/>
              <w:rPr>
                <w:rFonts w:eastAsia="方正仿宋简体"/>
                <w:color w:val="000000"/>
                <w:szCs w:val="21"/>
              </w:rPr>
            </w:pPr>
          </w:p>
        </w:tc>
        <w:tc>
          <w:tcPr>
            <w:tcW w:w="2820" w:type="dxa"/>
            <w:vMerge w:val="continue"/>
            <w:noWrap w:val="0"/>
            <w:vAlign w:val="center"/>
          </w:tcPr>
          <w:p>
            <w:pPr>
              <w:adjustRightInd w:val="0"/>
              <w:snapToGrid w:val="0"/>
              <w:jc w:val="center"/>
              <w:rPr>
                <w:rFonts w:eastAsia="方正仿宋简体"/>
                <w:color w:val="000000"/>
                <w:szCs w:val="21"/>
              </w:rPr>
            </w:pPr>
          </w:p>
        </w:tc>
        <w:tc>
          <w:tcPr>
            <w:tcW w:w="2061" w:type="dxa"/>
            <w:noWrap w:val="0"/>
            <w:vAlign w:val="center"/>
          </w:tcPr>
          <w:p>
            <w:pPr>
              <w:adjustRightInd w:val="0"/>
              <w:snapToGrid w:val="0"/>
              <w:jc w:val="center"/>
              <w:rPr>
                <w:rFonts w:eastAsia="方正仿宋简体"/>
                <w:color w:val="000000"/>
                <w:szCs w:val="21"/>
              </w:rPr>
            </w:pPr>
            <w:r>
              <w:rPr>
                <w:rFonts w:eastAsia="方正仿宋简体"/>
                <w:color w:val="000000"/>
                <w:szCs w:val="21"/>
              </w:rPr>
              <w:t>年均增长（%）</w:t>
            </w:r>
          </w:p>
        </w:tc>
        <w:tc>
          <w:tcPr>
            <w:tcW w:w="1543" w:type="dxa"/>
            <w:noWrap w:val="0"/>
            <w:vAlign w:val="center"/>
          </w:tcPr>
          <w:p>
            <w:pPr>
              <w:adjustRightInd w:val="0"/>
              <w:snapToGrid w:val="0"/>
              <w:jc w:val="center"/>
              <w:rPr>
                <w:rFonts w:eastAsia="方正仿宋简体"/>
                <w:color w:val="000000"/>
                <w:szCs w:val="21"/>
              </w:rPr>
            </w:pPr>
            <w:r>
              <w:rPr>
                <w:rFonts w:eastAsia="方正仿宋简体"/>
                <w:color w:val="000000"/>
                <w:szCs w:val="21"/>
              </w:rPr>
              <w:t>15</w:t>
            </w:r>
          </w:p>
        </w:tc>
        <w:tc>
          <w:tcPr>
            <w:tcW w:w="1501" w:type="dxa"/>
            <w:noWrap w:val="0"/>
            <w:vAlign w:val="center"/>
          </w:tcPr>
          <w:p>
            <w:pPr>
              <w:adjustRightInd w:val="0"/>
              <w:snapToGrid w:val="0"/>
              <w:jc w:val="center"/>
              <w:rPr>
                <w:rFonts w:eastAsia="方正仿宋简体"/>
                <w:color w:val="000000"/>
                <w:szCs w:val="21"/>
              </w:rPr>
            </w:pPr>
            <w:r>
              <w:rPr>
                <w:rFonts w:eastAsia="方正仿宋简体"/>
                <w:color w:val="000000"/>
                <w:szCs w:val="21"/>
              </w:rPr>
              <w:t>16.8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10" w:hRule="atLeast"/>
          <w:jc w:val="center"/>
        </w:trPr>
        <w:tc>
          <w:tcPr>
            <w:tcW w:w="706" w:type="dxa"/>
            <w:vMerge w:val="restart"/>
            <w:noWrap w:val="0"/>
            <w:vAlign w:val="center"/>
          </w:tcPr>
          <w:p>
            <w:pPr>
              <w:adjustRightInd w:val="0"/>
              <w:snapToGrid w:val="0"/>
              <w:jc w:val="center"/>
              <w:rPr>
                <w:rFonts w:eastAsia="方正仿宋简体"/>
                <w:color w:val="000000"/>
                <w:szCs w:val="21"/>
              </w:rPr>
            </w:pPr>
            <w:r>
              <w:rPr>
                <w:rFonts w:eastAsia="方正仿宋简体"/>
                <w:color w:val="000000"/>
                <w:szCs w:val="21"/>
              </w:rPr>
              <w:t>4</w:t>
            </w:r>
          </w:p>
        </w:tc>
        <w:tc>
          <w:tcPr>
            <w:tcW w:w="2820" w:type="dxa"/>
            <w:vMerge w:val="restart"/>
            <w:noWrap w:val="0"/>
            <w:vAlign w:val="center"/>
          </w:tcPr>
          <w:p>
            <w:pPr>
              <w:adjustRightInd w:val="0"/>
              <w:snapToGrid w:val="0"/>
              <w:jc w:val="center"/>
              <w:rPr>
                <w:rFonts w:eastAsia="方正仿宋简体"/>
                <w:color w:val="000000"/>
                <w:szCs w:val="21"/>
              </w:rPr>
            </w:pPr>
            <w:r>
              <w:rPr>
                <w:rFonts w:eastAsia="方正仿宋简体"/>
                <w:color w:val="000000"/>
                <w:szCs w:val="21"/>
              </w:rPr>
              <w:t>固定资产投资</w:t>
            </w:r>
          </w:p>
          <w:p>
            <w:pPr>
              <w:adjustRightInd w:val="0"/>
              <w:snapToGrid w:val="0"/>
              <w:jc w:val="center"/>
              <w:rPr>
                <w:rFonts w:eastAsia="方正仿宋简体"/>
                <w:color w:val="000000"/>
                <w:szCs w:val="21"/>
              </w:rPr>
            </w:pPr>
            <w:r>
              <w:rPr>
                <w:rFonts w:eastAsia="方正仿宋简体"/>
                <w:color w:val="000000"/>
                <w:szCs w:val="21"/>
              </w:rPr>
              <w:t>（统计口径变化）</w:t>
            </w:r>
          </w:p>
        </w:tc>
        <w:tc>
          <w:tcPr>
            <w:tcW w:w="2061" w:type="dxa"/>
            <w:noWrap w:val="0"/>
            <w:vAlign w:val="center"/>
          </w:tcPr>
          <w:p>
            <w:pPr>
              <w:adjustRightInd w:val="0"/>
              <w:snapToGrid w:val="0"/>
              <w:jc w:val="center"/>
              <w:rPr>
                <w:rFonts w:eastAsia="方正仿宋简体"/>
                <w:color w:val="000000"/>
                <w:szCs w:val="21"/>
              </w:rPr>
            </w:pPr>
            <w:r>
              <w:rPr>
                <w:rFonts w:eastAsia="方正仿宋简体"/>
                <w:color w:val="000000"/>
                <w:szCs w:val="21"/>
              </w:rPr>
              <w:t>累计（亿元）</w:t>
            </w:r>
          </w:p>
        </w:tc>
        <w:tc>
          <w:tcPr>
            <w:tcW w:w="1543" w:type="dxa"/>
            <w:noWrap w:val="0"/>
            <w:vAlign w:val="center"/>
          </w:tcPr>
          <w:p>
            <w:pPr>
              <w:adjustRightInd w:val="0"/>
              <w:snapToGrid w:val="0"/>
              <w:jc w:val="center"/>
              <w:rPr>
                <w:rFonts w:eastAsia="方正仿宋简体"/>
                <w:color w:val="000000"/>
                <w:szCs w:val="21"/>
              </w:rPr>
            </w:pPr>
            <w:r>
              <w:rPr>
                <w:rFonts w:eastAsia="方正仿宋简体"/>
                <w:color w:val="000000"/>
                <w:szCs w:val="21"/>
              </w:rPr>
              <w:t>{25000}</w:t>
            </w:r>
          </w:p>
        </w:tc>
        <w:tc>
          <w:tcPr>
            <w:tcW w:w="1501" w:type="dxa"/>
            <w:noWrap w:val="0"/>
            <w:vAlign w:val="center"/>
          </w:tcPr>
          <w:p>
            <w:pPr>
              <w:adjustRightInd w:val="0"/>
              <w:snapToGrid w:val="0"/>
              <w:jc w:val="center"/>
              <w:rPr>
                <w:rFonts w:eastAsia="方正仿宋简体"/>
                <w:color w:val="000000"/>
                <w:szCs w:val="21"/>
              </w:rPr>
            </w:pPr>
            <w:r>
              <w:rPr>
                <w:rFonts w:eastAsia="方正仿宋简体"/>
                <w:color w:val="000000"/>
                <w:szCs w:val="21"/>
              </w:rPr>
              <w:t>{23900}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10" w:hRule="atLeast"/>
          <w:jc w:val="center"/>
        </w:trPr>
        <w:tc>
          <w:tcPr>
            <w:tcW w:w="706" w:type="dxa"/>
            <w:vMerge w:val="continue"/>
            <w:noWrap w:val="0"/>
            <w:vAlign w:val="center"/>
          </w:tcPr>
          <w:p>
            <w:pPr>
              <w:adjustRightInd w:val="0"/>
              <w:snapToGrid w:val="0"/>
              <w:jc w:val="center"/>
              <w:rPr>
                <w:rFonts w:eastAsia="方正仿宋简体"/>
                <w:color w:val="000000"/>
                <w:szCs w:val="21"/>
              </w:rPr>
            </w:pPr>
          </w:p>
        </w:tc>
        <w:tc>
          <w:tcPr>
            <w:tcW w:w="2820" w:type="dxa"/>
            <w:vMerge w:val="continue"/>
            <w:noWrap w:val="0"/>
            <w:vAlign w:val="center"/>
          </w:tcPr>
          <w:p>
            <w:pPr>
              <w:adjustRightInd w:val="0"/>
              <w:snapToGrid w:val="0"/>
              <w:jc w:val="center"/>
              <w:rPr>
                <w:rFonts w:eastAsia="方正仿宋简体"/>
                <w:color w:val="000000"/>
                <w:szCs w:val="21"/>
              </w:rPr>
            </w:pPr>
          </w:p>
        </w:tc>
        <w:tc>
          <w:tcPr>
            <w:tcW w:w="2061" w:type="dxa"/>
            <w:noWrap w:val="0"/>
            <w:vAlign w:val="center"/>
          </w:tcPr>
          <w:p>
            <w:pPr>
              <w:adjustRightInd w:val="0"/>
              <w:snapToGrid w:val="0"/>
              <w:jc w:val="center"/>
              <w:rPr>
                <w:rFonts w:eastAsia="方正仿宋简体"/>
                <w:color w:val="000000"/>
                <w:szCs w:val="21"/>
              </w:rPr>
            </w:pPr>
            <w:r>
              <w:rPr>
                <w:rFonts w:eastAsia="方正仿宋简体"/>
                <w:color w:val="000000"/>
                <w:szCs w:val="21"/>
              </w:rPr>
              <w:t>年均增长（%）</w:t>
            </w:r>
          </w:p>
        </w:tc>
        <w:tc>
          <w:tcPr>
            <w:tcW w:w="1543" w:type="dxa"/>
            <w:noWrap w:val="0"/>
            <w:vAlign w:val="center"/>
          </w:tcPr>
          <w:p>
            <w:pPr>
              <w:adjustRightInd w:val="0"/>
              <w:snapToGrid w:val="0"/>
              <w:jc w:val="center"/>
              <w:rPr>
                <w:rFonts w:eastAsia="方正仿宋简体"/>
                <w:color w:val="000000"/>
                <w:szCs w:val="21"/>
              </w:rPr>
            </w:pPr>
            <w:r>
              <w:rPr>
                <w:rFonts w:eastAsia="方正仿宋简体"/>
                <w:color w:val="000000"/>
                <w:szCs w:val="21"/>
              </w:rPr>
              <w:t>18</w:t>
            </w:r>
          </w:p>
        </w:tc>
        <w:tc>
          <w:tcPr>
            <w:tcW w:w="1501" w:type="dxa"/>
            <w:noWrap w:val="0"/>
            <w:vAlign w:val="center"/>
          </w:tcPr>
          <w:p>
            <w:pPr>
              <w:adjustRightInd w:val="0"/>
              <w:snapToGrid w:val="0"/>
              <w:jc w:val="center"/>
              <w:rPr>
                <w:rFonts w:eastAsia="方正仿宋简体"/>
                <w:color w:val="000000"/>
                <w:szCs w:val="21"/>
              </w:rPr>
            </w:pPr>
            <w:r>
              <w:rPr>
                <w:rFonts w:eastAsia="方正仿宋简体"/>
                <w:color w:val="000000"/>
                <w:szCs w:val="21"/>
              </w:rPr>
              <w:t>20.2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10" w:hRule="atLeast"/>
          <w:jc w:val="center"/>
        </w:trPr>
        <w:tc>
          <w:tcPr>
            <w:tcW w:w="706" w:type="dxa"/>
            <w:vMerge w:val="restart"/>
            <w:noWrap w:val="0"/>
            <w:vAlign w:val="center"/>
          </w:tcPr>
          <w:p>
            <w:pPr>
              <w:adjustRightInd w:val="0"/>
              <w:snapToGrid w:val="0"/>
              <w:jc w:val="center"/>
              <w:rPr>
                <w:rFonts w:eastAsia="方正仿宋简体"/>
                <w:color w:val="000000"/>
                <w:szCs w:val="21"/>
              </w:rPr>
            </w:pPr>
            <w:r>
              <w:rPr>
                <w:rFonts w:eastAsia="方正仿宋简体"/>
                <w:color w:val="000000"/>
                <w:szCs w:val="21"/>
              </w:rPr>
              <w:t>5</w:t>
            </w:r>
          </w:p>
        </w:tc>
        <w:tc>
          <w:tcPr>
            <w:tcW w:w="2820" w:type="dxa"/>
            <w:vMerge w:val="restart"/>
            <w:noWrap w:val="0"/>
            <w:vAlign w:val="center"/>
          </w:tcPr>
          <w:p>
            <w:pPr>
              <w:adjustRightInd w:val="0"/>
              <w:snapToGrid w:val="0"/>
              <w:jc w:val="center"/>
              <w:rPr>
                <w:rFonts w:eastAsia="方正仿宋简体"/>
                <w:color w:val="000000"/>
                <w:szCs w:val="21"/>
              </w:rPr>
            </w:pPr>
            <w:r>
              <w:rPr>
                <w:rFonts w:eastAsia="方正仿宋简体"/>
                <w:color w:val="000000"/>
                <w:szCs w:val="21"/>
              </w:rPr>
              <w:t>社会消费品零售总额</w:t>
            </w:r>
          </w:p>
        </w:tc>
        <w:tc>
          <w:tcPr>
            <w:tcW w:w="2061" w:type="dxa"/>
            <w:noWrap w:val="0"/>
            <w:vAlign w:val="center"/>
          </w:tcPr>
          <w:p>
            <w:pPr>
              <w:adjustRightInd w:val="0"/>
              <w:snapToGrid w:val="0"/>
              <w:jc w:val="center"/>
              <w:rPr>
                <w:rFonts w:eastAsia="方正仿宋简体"/>
                <w:color w:val="000000"/>
                <w:szCs w:val="21"/>
              </w:rPr>
            </w:pPr>
            <w:r>
              <w:rPr>
                <w:rFonts w:eastAsia="方正仿宋简体"/>
                <w:color w:val="000000"/>
                <w:szCs w:val="21"/>
              </w:rPr>
              <w:t>总值（亿元）</w:t>
            </w:r>
          </w:p>
        </w:tc>
        <w:tc>
          <w:tcPr>
            <w:tcW w:w="1543" w:type="dxa"/>
            <w:noWrap w:val="0"/>
            <w:vAlign w:val="center"/>
          </w:tcPr>
          <w:p>
            <w:pPr>
              <w:adjustRightInd w:val="0"/>
              <w:snapToGrid w:val="0"/>
              <w:jc w:val="center"/>
              <w:rPr>
                <w:rFonts w:eastAsia="方正仿宋简体"/>
                <w:color w:val="000000"/>
                <w:szCs w:val="21"/>
              </w:rPr>
            </w:pPr>
            <w:r>
              <w:rPr>
                <w:rFonts w:eastAsia="方正仿宋简体"/>
                <w:color w:val="000000"/>
                <w:szCs w:val="21"/>
              </w:rPr>
              <w:t>3600</w:t>
            </w:r>
          </w:p>
        </w:tc>
        <w:tc>
          <w:tcPr>
            <w:tcW w:w="1501" w:type="dxa"/>
            <w:noWrap w:val="0"/>
            <w:vAlign w:val="center"/>
          </w:tcPr>
          <w:p>
            <w:pPr>
              <w:adjustRightInd w:val="0"/>
              <w:snapToGrid w:val="0"/>
              <w:jc w:val="center"/>
              <w:rPr>
                <w:rFonts w:eastAsia="方正仿宋简体"/>
                <w:color w:val="000000"/>
                <w:szCs w:val="21"/>
              </w:rPr>
            </w:pPr>
            <w:r>
              <w:rPr>
                <w:rFonts w:eastAsia="方正仿宋简体"/>
                <w:color w:val="000000"/>
                <w:szCs w:val="21"/>
              </w:rPr>
              <w:t>3690.59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10" w:hRule="atLeast"/>
          <w:jc w:val="center"/>
        </w:trPr>
        <w:tc>
          <w:tcPr>
            <w:tcW w:w="706" w:type="dxa"/>
            <w:vMerge w:val="continue"/>
            <w:noWrap w:val="0"/>
            <w:vAlign w:val="center"/>
          </w:tcPr>
          <w:p>
            <w:pPr>
              <w:adjustRightInd w:val="0"/>
              <w:snapToGrid w:val="0"/>
              <w:jc w:val="center"/>
              <w:rPr>
                <w:rFonts w:eastAsia="方正仿宋简体"/>
                <w:color w:val="000000"/>
                <w:szCs w:val="21"/>
              </w:rPr>
            </w:pPr>
          </w:p>
        </w:tc>
        <w:tc>
          <w:tcPr>
            <w:tcW w:w="2820" w:type="dxa"/>
            <w:vMerge w:val="continue"/>
            <w:noWrap w:val="0"/>
            <w:vAlign w:val="center"/>
          </w:tcPr>
          <w:p>
            <w:pPr>
              <w:adjustRightInd w:val="0"/>
              <w:snapToGrid w:val="0"/>
              <w:jc w:val="center"/>
              <w:rPr>
                <w:rFonts w:eastAsia="方正仿宋简体"/>
                <w:color w:val="000000"/>
                <w:szCs w:val="21"/>
              </w:rPr>
            </w:pPr>
          </w:p>
        </w:tc>
        <w:tc>
          <w:tcPr>
            <w:tcW w:w="2061" w:type="dxa"/>
            <w:noWrap w:val="0"/>
            <w:vAlign w:val="center"/>
          </w:tcPr>
          <w:p>
            <w:pPr>
              <w:adjustRightInd w:val="0"/>
              <w:snapToGrid w:val="0"/>
              <w:jc w:val="center"/>
              <w:rPr>
                <w:rFonts w:eastAsia="方正仿宋简体"/>
                <w:color w:val="000000"/>
                <w:szCs w:val="21"/>
              </w:rPr>
            </w:pPr>
            <w:r>
              <w:rPr>
                <w:rFonts w:eastAsia="方正仿宋简体"/>
                <w:color w:val="000000"/>
                <w:szCs w:val="21"/>
              </w:rPr>
              <w:t>年均增长（%）</w:t>
            </w:r>
          </w:p>
        </w:tc>
        <w:tc>
          <w:tcPr>
            <w:tcW w:w="1543" w:type="dxa"/>
            <w:noWrap w:val="0"/>
            <w:vAlign w:val="center"/>
          </w:tcPr>
          <w:p>
            <w:pPr>
              <w:adjustRightInd w:val="0"/>
              <w:snapToGrid w:val="0"/>
              <w:jc w:val="center"/>
              <w:rPr>
                <w:rFonts w:eastAsia="方正仿宋简体"/>
                <w:color w:val="000000"/>
                <w:szCs w:val="21"/>
              </w:rPr>
            </w:pPr>
            <w:r>
              <w:rPr>
                <w:rFonts w:eastAsia="方正仿宋简体"/>
                <w:color w:val="000000"/>
                <w:szCs w:val="21"/>
              </w:rPr>
              <w:t>15</w:t>
            </w:r>
          </w:p>
        </w:tc>
        <w:tc>
          <w:tcPr>
            <w:tcW w:w="1501" w:type="dxa"/>
            <w:noWrap w:val="0"/>
            <w:vAlign w:val="center"/>
          </w:tcPr>
          <w:p>
            <w:pPr>
              <w:adjustRightInd w:val="0"/>
              <w:snapToGrid w:val="0"/>
              <w:jc w:val="center"/>
              <w:rPr>
                <w:rFonts w:eastAsia="方正仿宋简体"/>
                <w:color w:val="000000"/>
                <w:szCs w:val="21"/>
              </w:rPr>
            </w:pPr>
            <w:r>
              <w:rPr>
                <w:rFonts w:eastAsia="方正仿宋简体"/>
                <w:color w:val="000000"/>
                <w:szCs w:val="21"/>
              </w:rPr>
              <w:t>15.1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10" w:hRule="atLeast"/>
          <w:jc w:val="center"/>
        </w:trPr>
        <w:tc>
          <w:tcPr>
            <w:tcW w:w="706" w:type="dxa"/>
            <w:vMerge w:val="restart"/>
            <w:noWrap w:val="0"/>
            <w:vAlign w:val="center"/>
          </w:tcPr>
          <w:p>
            <w:pPr>
              <w:adjustRightInd w:val="0"/>
              <w:snapToGrid w:val="0"/>
              <w:jc w:val="center"/>
              <w:rPr>
                <w:rFonts w:eastAsia="方正仿宋简体"/>
                <w:color w:val="000000"/>
                <w:szCs w:val="21"/>
              </w:rPr>
            </w:pPr>
            <w:r>
              <w:rPr>
                <w:rFonts w:eastAsia="方正仿宋简体"/>
                <w:color w:val="000000"/>
                <w:szCs w:val="21"/>
              </w:rPr>
              <w:t>6</w:t>
            </w:r>
          </w:p>
        </w:tc>
        <w:tc>
          <w:tcPr>
            <w:tcW w:w="2820" w:type="dxa"/>
            <w:vMerge w:val="restart"/>
            <w:noWrap w:val="0"/>
            <w:vAlign w:val="center"/>
          </w:tcPr>
          <w:p>
            <w:pPr>
              <w:adjustRightInd w:val="0"/>
              <w:snapToGrid w:val="0"/>
              <w:jc w:val="center"/>
              <w:rPr>
                <w:rFonts w:eastAsia="方正仿宋简体"/>
                <w:color w:val="000000"/>
                <w:szCs w:val="21"/>
              </w:rPr>
            </w:pPr>
            <w:r>
              <w:rPr>
                <w:rFonts w:eastAsia="方正仿宋简体"/>
                <w:color w:val="000000"/>
                <w:szCs w:val="21"/>
              </w:rPr>
              <w:t>进出口总额</w:t>
            </w:r>
          </w:p>
        </w:tc>
        <w:tc>
          <w:tcPr>
            <w:tcW w:w="2061" w:type="dxa"/>
            <w:noWrap w:val="0"/>
            <w:vAlign w:val="center"/>
          </w:tcPr>
          <w:p>
            <w:pPr>
              <w:adjustRightInd w:val="0"/>
              <w:snapToGrid w:val="0"/>
              <w:jc w:val="center"/>
              <w:rPr>
                <w:rFonts w:eastAsia="方正仿宋简体"/>
                <w:color w:val="000000"/>
                <w:szCs w:val="21"/>
              </w:rPr>
            </w:pPr>
            <w:r>
              <w:rPr>
                <w:rFonts w:eastAsia="方正仿宋简体"/>
                <w:color w:val="000000"/>
                <w:szCs w:val="21"/>
              </w:rPr>
              <w:t>总值（亿美元）</w:t>
            </w:r>
          </w:p>
        </w:tc>
        <w:tc>
          <w:tcPr>
            <w:tcW w:w="1543" w:type="dxa"/>
            <w:noWrap w:val="0"/>
            <w:vAlign w:val="center"/>
          </w:tcPr>
          <w:p>
            <w:pPr>
              <w:adjustRightInd w:val="0"/>
              <w:snapToGrid w:val="0"/>
              <w:jc w:val="center"/>
              <w:rPr>
                <w:rFonts w:eastAsia="方正仿宋简体"/>
                <w:color w:val="000000"/>
                <w:szCs w:val="21"/>
              </w:rPr>
            </w:pPr>
            <w:r>
              <w:rPr>
                <w:rFonts w:eastAsia="方正仿宋简体"/>
                <w:color w:val="000000"/>
                <w:szCs w:val="21"/>
              </w:rPr>
              <w:t>122</w:t>
            </w:r>
          </w:p>
        </w:tc>
        <w:tc>
          <w:tcPr>
            <w:tcW w:w="1501" w:type="dxa"/>
            <w:noWrap w:val="0"/>
            <w:vAlign w:val="center"/>
          </w:tcPr>
          <w:p>
            <w:pPr>
              <w:adjustRightInd w:val="0"/>
              <w:snapToGrid w:val="0"/>
              <w:jc w:val="center"/>
              <w:rPr>
                <w:rFonts w:eastAsia="方正仿宋简体"/>
                <w:color w:val="000000"/>
                <w:szCs w:val="21"/>
              </w:rPr>
            </w:pPr>
            <w:r>
              <w:rPr>
                <w:rFonts w:eastAsia="方正仿宋简体"/>
                <w:color w:val="000000"/>
                <w:szCs w:val="21"/>
              </w:rPr>
              <w:t>129.68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10" w:hRule="atLeast"/>
          <w:jc w:val="center"/>
        </w:trPr>
        <w:tc>
          <w:tcPr>
            <w:tcW w:w="706" w:type="dxa"/>
            <w:vMerge w:val="continue"/>
            <w:noWrap w:val="0"/>
            <w:vAlign w:val="center"/>
          </w:tcPr>
          <w:p>
            <w:pPr>
              <w:adjustRightInd w:val="0"/>
              <w:snapToGrid w:val="0"/>
              <w:jc w:val="center"/>
              <w:rPr>
                <w:rFonts w:eastAsia="方正仿宋简体"/>
                <w:color w:val="000000"/>
                <w:szCs w:val="21"/>
              </w:rPr>
            </w:pPr>
          </w:p>
        </w:tc>
        <w:tc>
          <w:tcPr>
            <w:tcW w:w="2820" w:type="dxa"/>
            <w:vMerge w:val="continue"/>
            <w:noWrap w:val="0"/>
            <w:vAlign w:val="center"/>
          </w:tcPr>
          <w:p>
            <w:pPr>
              <w:adjustRightInd w:val="0"/>
              <w:snapToGrid w:val="0"/>
              <w:jc w:val="center"/>
              <w:rPr>
                <w:rFonts w:eastAsia="方正仿宋简体"/>
                <w:color w:val="000000"/>
                <w:szCs w:val="21"/>
              </w:rPr>
            </w:pPr>
          </w:p>
        </w:tc>
        <w:tc>
          <w:tcPr>
            <w:tcW w:w="2061" w:type="dxa"/>
            <w:noWrap w:val="0"/>
            <w:vAlign w:val="center"/>
          </w:tcPr>
          <w:p>
            <w:pPr>
              <w:adjustRightInd w:val="0"/>
              <w:snapToGrid w:val="0"/>
              <w:jc w:val="center"/>
              <w:rPr>
                <w:rFonts w:eastAsia="方正仿宋简体"/>
                <w:color w:val="000000"/>
                <w:szCs w:val="21"/>
              </w:rPr>
            </w:pPr>
            <w:r>
              <w:rPr>
                <w:rFonts w:eastAsia="方正仿宋简体"/>
                <w:color w:val="000000"/>
                <w:szCs w:val="21"/>
              </w:rPr>
              <w:t>年均增长（%）</w:t>
            </w:r>
          </w:p>
        </w:tc>
        <w:tc>
          <w:tcPr>
            <w:tcW w:w="1543" w:type="dxa"/>
            <w:noWrap w:val="0"/>
            <w:vAlign w:val="center"/>
          </w:tcPr>
          <w:p>
            <w:pPr>
              <w:adjustRightInd w:val="0"/>
              <w:snapToGrid w:val="0"/>
              <w:jc w:val="center"/>
              <w:rPr>
                <w:rFonts w:eastAsia="方正仿宋简体"/>
                <w:color w:val="000000"/>
                <w:szCs w:val="21"/>
              </w:rPr>
            </w:pPr>
            <w:r>
              <w:rPr>
                <w:rFonts w:eastAsia="方正仿宋简体"/>
                <w:color w:val="000000"/>
                <w:szCs w:val="21"/>
              </w:rPr>
              <w:t>15</w:t>
            </w:r>
          </w:p>
        </w:tc>
        <w:tc>
          <w:tcPr>
            <w:tcW w:w="1501" w:type="dxa"/>
            <w:noWrap w:val="0"/>
            <w:vAlign w:val="center"/>
          </w:tcPr>
          <w:p>
            <w:pPr>
              <w:adjustRightInd w:val="0"/>
              <w:snapToGrid w:val="0"/>
              <w:jc w:val="center"/>
              <w:rPr>
                <w:rFonts w:eastAsia="方正仿宋简体"/>
                <w:color w:val="000000"/>
                <w:szCs w:val="21"/>
              </w:rPr>
            </w:pPr>
            <w:r>
              <w:rPr>
                <w:rFonts w:eastAsia="方正仿宋简体"/>
                <w:color w:val="000000"/>
                <w:szCs w:val="21"/>
              </w:rPr>
              <w:t>16.3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10" w:hRule="atLeast"/>
          <w:jc w:val="center"/>
        </w:trPr>
        <w:tc>
          <w:tcPr>
            <w:tcW w:w="706" w:type="dxa"/>
            <w:noWrap w:val="0"/>
            <w:vAlign w:val="center"/>
          </w:tcPr>
          <w:p>
            <w:pPr>
              <w:adjustRightInd w:val="0"/>
              <w:snapToGrid w:val="0"/>
              <w:jc w:val="center"/>
              <w:rPr>
                <w:rFonts w:eastAsia="方正仿宋简体"/>
                <w:color w:val="000000"/>
                <w:szCs w:val="21"/>
              </w:rPr>
            </w:pPr>
            <w:r>
              <w:rPr>
                <w:rFonts w:eastAsia="方正仿宋简体"/>
                <w:color w:val="000000"/>
                <w:szCs w:val="21"/>
              </w:rPr>
              <w:t>7</w:t>
            </w:r>
          </w:p>
        </w:tc>
        <w:tc>
          <w:tcPr>
            <w:tcW w:w="2820" w:type="dxa"/>
            <w:noWrap w:val="0"/>
            <w:vAlign w:val="center"/>
          </w:tcPr>
          <w:p>
            <w:pPr>
              <w:adjustRightInd w:val="0"/>
              <w:snapToGrid w:val="0"/>
              <w:jc w:val="center"/>
              <w:rPr>
                <w:rFonts w:eastAsia="方正仿宋简体"/>
                <w:color w:val="000000"/>
                <w:szCs w:val="21"/>
              </w:rPr>
            </w:pPr>
            <w:r>
              <w:rPr>
                <w:rFonts w:eastAsia="方正仿宋简体"/>
                <w:color w:val="000000"/>
                <w:szCs w:val="21"/>
              </w:rPr>
              <w:t>利用外商直接投资</w:t>
            </w:r>
          </w:p>
        </w:tc>
        <w:tc>
          <w:tcPr>
            <w:tcW w:w="2061" w:type="dxa"/>
            <w:noWrap w:val="0"/>
            <w:vAlign w:val="center"/>
          </w:tcPr>
          <w:p>
            <w:pPr>
              <w:adjustRightInd w:val="0"/>
              <w:snapToGrid w:val="0"/>
              <w:jc w:val="center"/>
              <w:rPr>
                <w:rFonts w:eastAsia="方正仿宋简体"/>
                <w:color w:val="000000"/>
                <w:szCs w:val="21"/>
              </w:rPr>
            </w:pPr>
            <w:r>
              <w:rPr>
                <w:rFonts w:eastAsia="方正仿宋简体"/>
                <w:color w:val="000000"/>
                <w:szCs w:val="21"/>
              </w:rPr>
              <w:t>年均增长（%）</w:t>
            </w:r>
          </w:p>
        </w:tc>
        <w:tc>
          <w:tcPr>
            <w:tcW w:w="1543" w:type="dxa"/>
            <w:noWrap w:val="0"/>
            <w:vAlign w:val="center"/>
          </w:tcPr>
          <w:p>
            <w:pPr>
              <w:adjustRightInd w:val="0"/>
              <w:snapToGrid w:val="0"/>
              <w:jc w:val="center"/>
              <w:rPr>
                <w:rFonts w:eastAsia="方正仿宋简体"/>
                <w:color w:val="000000"/>
                <w:szCs w:val="21"/>
              </w:rPr>
            </w:pPr>
            <w:r>
              <w:rPr>
                <w:rFonts w:eastAsia="方正仿宋简体"/>
                <w:color w:val="000000"/>
                <w:szCs w:val="21"/>
              </w:rPr>
              <w:t>13</w:t>
            </w:r>
          </w:p>
        </w:tc>
        <w:tc>
          <w:tcPr>
            <w:tcW w:w="1501" w:type="dxa"/>
            <w:noWrap w:val="0"/>
            <w:vAlign w:val="center"/>
          </w:tcPr>
          <w:p>
            <w:pPr>
              <w:adjustRightInd w:val="0"/>
              <w:snapToGrid w:val="0"/>
              <w:jc w:val="center"/>
              <w:rPr>
                <w:rFonts w:eastAsia="方正仿宋简体"/>
                <w:color w:val="000000"/>
                <w:szCs w:val="21"/>
              </w:rPr>
            </w:pPr>
            <w:r>
              <w:rPr>
                <w:rFonts w:eastAsia="方正仿宋简体"/>
                <w:color w:val="000000"/>
                <w:szCs w:val="21"/>
              </w:rPr>
              <w:t>14.5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10" w:hRule="atLeast"/>
          <w:jc w:val="center"/>
        </w:trPr>
        <w:tc>
          <w:tcPr>
            <w:tcW w:w="706" w:type="dxa"/>
            <w:noWrap w:val="0"/>
            <w:vAlign w:val="center"/>
          </w:tcPr>
          <w:p>
            <w:pPr>
              <w:adjustRightInd w:val="0"/>
              <w:snapToGrid w:val="0"/>
              <w:jc w:val="center"/>
              <w:rPr>
                <w:rFonts w:eastAsia="方正仿宋简体"/>
                <w:color w:val="000000"/>
                <w:szCs w:val="21"/>
              </w:rPr>
            </w:pPr>
            <w:r>
              <w:rPr>
                <w:rFonts w:eastAsia="方正仿宋简体"/>
                <w:color w:val="000000"/>
                <w:szCs w:val="21"/>
              </w:rPr>
              <w:t>8</w:t>
            </w:r>
          </w:p>
        </w:tc>
        <w:tc>
          <w:tcPr>
            <w:tcW w:w="4881" w:type="dxa"/>
            <w:gridSpan w:val="2"/>
            <w:noWrap w:val="0"/>
            <w:vAlign w:val="center"/>
          </w:tcPr>
          <w:p>
            <w:pPr>
              <w:adjustRightInd w:val="0"/>
              <w:snapToGrid w:val="0"/>
              <w:jc w:val="center"/>
              <w:rPr>
                <w:rFonts w:eastAsia="方正仿宋简体"/>
                <w:color w:val="000000"/>
                <w:szCs w:val="21"/>
              </w:rPr>
            </w:pPr>
            <w:r>
              <w:rPr>
                <w:rFonts w:eastAsia="方正仿宋简体"/>
                <w:color w:val="000000"/>
                <w:szCs w:val="21"/>
              </w:rPr>
              <w:t>研究与试验发展经费支出占地区生产总值比重（%）</w:t>
            </w:r>
          </w:p>
        </w:tc>
        <w:tc>
          <w:tcPr>
            <w:tcW w:w="1543" w:type="dxa"/>
            <w:noWrap w:val="0"/>
            <w:vAlign w:val="center"/>
          </w:tcPr>
          <w:p>
            <w:pPr>
              <w:adjustRightInd w:val="0"/>
              <w:snapToGrid w:val="0"/>
              <w:jc w:val="center"/>
              <w:rPr>
                <w:rFonts w:eastAsia="方正仿宋简体"/>
                <w:color w:val="000000"/>
                <w:szCs w:val="21"/>
              </w:rPr>
            </w:pPr>
            <w:r>
              <w:rPr>
                <w:rFonts w:eastAsia="方正仿宋简体"/>
                <w:color w:val="000000"/>
                <w:szCs w:val="21"/>
              </w:rPr>
              <w:t>2.5</w:t>
            </w:r>
          </w:p>
        </w:tc>
        <w:tc>
          <w:tcPr>
            <w:tcW w:w="1501" w:type="dxa"/>
            <w:noWrap w:val="0"/>
            <w:vAlign w:val="center"/>
          </w:tcPr>
          <w:p>
            <w:pPr>
              <w:adjustRightInd w:val="0"/>
              <w:snapToGrid w:val="0"/>
              <w:jc w:val="center"/>
              <w:rPr>
                <w:rFonts w:eastAsia="方正仿宋简体"/>
                <w:color w:val="000000"/>
                <w:szCs w:val="21"/>
              </w:rPr>
            </w:pPr>
            <w:r>
              <w:rPr>
                <w:rFonts w:eastAsia="方正仿宋简体"/>
                <w:color w:val="000000"/>
                <w:szCs w:val="21"/>
              </w:rPr>
              <w:t>2.3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10" w:hRule="atLeast"/>
          <w:jc w:val="center"/>
        </w:trPr>
        <w:tc>
          <w:tcPr>
            <w:tcW w:w="706" w:type="dxa"/>
            <w:noWrap w:val="0"/>
            <w:vAlign w:val="center"/>
          </w:tcPr>
          <w:p>
            <w:pPr>
              <w:adjustRightInd w:val="0"/>
              <w:snapToGrid w:val="0"/>
              <w:jc w:val="center"/>
              <w:rPr>
                <w:rFonts w:eastAsia="方正仿宋简体"/>
                <w:color w:val="000000"/>
                <w:szCs w:val="21"/>
              </w:rPr>
            </w:pPr>
            <w:r>
              <w:rPr>
                <w:rFonts w:eastAsia="方正仿宋简体"/>
                <w:color w:val="000000"/>
                <w:szCs w:val="21"/>
              </w:rPr>
              <w:t>9</w:t>
            </w:r>
          </w:p>
        </w:tc>
        <w:tc>
          <w:tcPr>
            <w:tcW w:w="4881" w:type="dxa"/>
            <w:gridSpan w:val="2"/>
            <w:noWrap w:val="0"/>
            <w:vAlign w:val="center"/>
          </w:tcPr>
          <w:p>
            <w:pPr>
              <w:adjustRightInd w:val="0"/>
              <w:snapToGrid w:val="0"/>
              <w:jc w:val="center"/>
              <w:rPr>
                <w:rFonts w:eastAsia="方正仿宋简体"/>
                <w:color w:val="000000"/>
                <w:szCs w:val="21"/>
              </w:rPr>
            </w:pPr>
            <w:r>
              <w:rPr>
                <w:rFonts w:eastAsia="方正仿宋简体"/>
                <w:color w:val="000000"/>
                <w:szCs w:val="21"/>
              </w:rPr>
              <w:t>高新技术产业增加值</w:t>
            </w:r>
          </w:p>
          <w:p>
            <w:pPr>
              <w:adjustRightInd w:val="0"/>
              <w:snapToGrid w:val="0"/>
              <w:jc w:val="center"/>
              <w:rPr>
                <w:rFonts w:eastAsia="方正仿宋简体"/>
                <w:color w:val="000000"/>
                <w:szCs w:val="21"/>
              </w:rPr>
            </w:pPr>
            <w:r>
              <w:rPr>
                <w:rFonts w:eastAsia="方正仿宋简体"/>
                <w:color w:val="000000"/>
                <w:szCs w:val="21"/>
              </w:rPr>
              <w:t>占地区生产总值比重（%）</w:t>
            </w:r>
          </w:p>
        </w:tc>
        <w:tc>
          <w:tcPr>
            <w:tcW w:w="1543" w:type="dxa"/>
            <w:noWrap w:val="0"/>
            <w:vAlign w:val="center"/>
          </w:tcPr>
          <w:p>
            <w:pPr>
              <w:adjustRightInd w:val="0"/>
              <w:snapToGrid w:val="0"/>
              <w:jc w:val="center"/>
              <w:rPr>
                <w:rFonts w:eastAsia="方正仿宋简体"/>
                <w:color w:val="000000"/>
                <w:szCs w:val="21"/>
              </w:rPr>
            </w:pPr>
            <w:r>
              <w:rPr>
                <w:rFonts w:eastAsia="方正仿宋简体"/>
                <w:color w:val="000000"/>
                <w:szCs w:val="21"/>
              </w:rPr>
              <w:t>20</w:t>
            </w:r>
          </w:p>
        </w:tc>
        <w:tc>
          <w:tcPr>
            <w:tcW w:w="1501" w:type="dxa"/>
            <w:noWrap w:val="0"/>
            <w:vAlign w:val="center"/>
          </w:tcPr>
          <w:p>
            <w:pPr>
              <w:adjustRightInd w:val="0"/>
              <w:snapToGrid w:val="0"/>
              <w:jc w:val="center"/>
              <w:rPr>
                <w:rFonts w:eastAsia="方正仿宋简体"/>
                <w:color w:val="000000"/>
                <w:szCs w:val="21"/>
              </w:rPr>
            </w:pPr>
            <w:r>
              <w:rPr>
                <w:rFonts w:eastAsia="方正仿宋简体"/>
                <w:color w:val="000000"/>
                <w:szCs w:val="21"/>
              </w:rPr>
              <w:t>32.1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10" w:hRule="atLeast"/>
          <w:jc w:val="center"/>
        </w:trPr>
        <w:tc>
          <w:tcPr>
            <w:tcW w:w="706" w:type="dxa"/>
            <w:noWrap w:val="0"/>
            <w:vAlign w:val="center"/>
          </w:tcPr>
          <w:p>
            <w:pPr>
              <w:adjustRightInd w:val="0"/>
              <w:snapToGrid w:val="0"/>
              <w:jc w:val="center"/>
              <w:rPr>
                <w:rFonts w:eastAsia="方正仿宋简体"/>
                <w:color w:val="000000"/>
                <w:szCs w:val="21"/>
              </w:rPr>
            </w:pPr>
            <w:r>
              <w:rPr>
                <w:rFonts w:eastAsia="方正仿宋简体"/>
                <w:color w:val="000000"/>
                <w:szCs w:val="21"/>
              </w:rPr>
              <w:t>10</w:t>
            </w:r>
          </w:p>
        </w:tc>
        <w:tc>
          <w:tcPr>
            <w:tcW w:w="4881" w:type="dxa"/>
            <w:gridSpan w:val="2"/>
            <w:noWrap w:val="0"/>
            <w:vAlign w:val="center"/>
          </w:tcPr>
          <w:p>
            <w:pPr>
              <w:adjustRightInd w:val="0"/>
              <w:snapToGrid w:val="0"/>
              <w:jc w:val="center"/>
              <w:rPr>
                <w:rFonts w:eastAsia="方正仿宋简体"/>
                <w:color w:val="000000"/>
                <w:szCs w:val="21"/>
              </w:rPr>
            </w:pPr>
            <w:r>
              <w:rPr>
                <w:rFonts w:eastAsia="方正仿宋简体"/>
                <w:color w:val="000000"/>
                <w:szCs w:val="21"/>
              </w:rPr>
              <w:t>科技进步贡献率（%）</w:t>
            </w:r>
          </w:p>
        </w:tc>
        <w:tc>
          <w:tcPr>
            <w:tcW w:w="1543" w:type="dxa"/>
            <w:noWrap w:val="0"/>
            <w:vAlign w:val="center"/>
          </w:tcPr>
          <w:p>
            <w:pPr>
              <w:adjustRightInd w:val="0"/>
              <w:snapToGrid w:val="0"/>
              <w:jc w:val="center"/>
              <w:rPr>
                <w:rFonts w:eastAsia="方正仿宋简体"/>
                <w:color w:val="000000"/>
                <w:szCs w:val="21"/>
              </w:rPr>
            </w:pPr>
            <w:r>
              <w:rPr>
                <w:rFonts w:eastAsia="方正仿宋简体"/>
                <w:color w:val="000000"/>
                <w:szCs w:val="21"/>
              </w:rPr>
              <w:t>60</w:t>
            </w:r>
          </w:p>
        </w:tc>
        <w:tc>
          <w:tcPr>
            <w:tcW w:w="1501" w:type="dxa"/>
            <w:noWrap w:val="0"/>
            <w:vAlign w:val="center"/>
          </w:tcPr>
          <w:p>
            <w:pPr>
              <w:adjustRightInd w:val="0"/>
              <w:snapToGrid w:val="0"/>
              <w:jc w:val="center"/>
              <w:rPr>
                <w:rFonts w:eastAsia="方正仿宋简体"/>
                <w:color w:val="000000"/>
                <w:szCs w:val="21"/>
              </w:rPr>
            </w:pPr>
            <w:r>
              <w:rPr>
                <w:rFonts w:eastAsia="方正仿宋简体"/>
                <w:color w:val="000000"/>
                <w:szCs w:val="21"/>
              </w:rPr>
              <w:t>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25" w:hRule="atLeast"/>
          <w:jc w:val="center"/>
        </w:trPr>
        <w:tc>
          <w:tcPr>
            <w:tcW w:w="706" w:type="dxa"/>
            <w:vMerge w:val="restart"/>
            <w:noWrap w:val="0"/>
            <w:vAlign w:val="center"/>
          </w:tcPr>
          <w:p>
            <w:pPr>
              <w:adjustRightInd w:val="0"/>
              <w:snapToGrid w:val="0"/>
              <w:jc w:val="center"/>
              <w:rPr>
                <w:rFonts w:eastAsia="方正仿宋简体"/>
                <w:color w:val="000000"/>
                <w:szCs w:val="21"/>
              </w:rPr>
            </w:pPr>
            <w:r>
              <w:rPr>
                <w:rFonts w:eastAsia="方正仿宋简体"/>
                <w:color w:val="000000"/>
                <w:szCs w:val="21"/>
              </w:rPr>
              <w:t>11</w:t>
            </w:r>
          </w:p>
        </w:tc>
        <w:tc>
          <w:tcPr>
            <w:tcW w:w="2820" w:type="dxa"/>
            <w:vMerge w:val="restart"/>
            <w:noWrap w:val="0"/>
            <w:vAlign w:val="center"/>
          </w:tcPr>
          <w:p>
            <w:pPr>
              <w:adjustRightInd w:val="0"/>
              <w:snapToGrid w:val="0"/>
              <w:jc w:val="center"/>
              <w:rPr>
                <w:rFonts w:eastAsia="方正仿宋简体"/>
                <w:color w:val="000000"/>
                <w:szCs w:val="21"/>
              </w:rPr>
            </w:pPr>
            <w:r>
              <w:rPr>
                <w:rFonts w:eastAsia="方正仿宋简体"/>
                <w:color w:val="000000"/>
                <w:szCs w:val="21"/>
              </w:rPr>
              <w:t>专利授权量</w:t>
            </w:r>
          </w:p>
        </w:tc>
        <w:tc>
          <w:tcPr>
            <w:tcW w:w="2061" w:type="dxa"/>
            <w:noWrap w:val="0"/>
            <w:vAlign w:val="center"/>
          </w:tcPr>
          <w:p>
            <w:pPr>
              <w:adjustRightInd w:val="0"/>
              <w:snapToGrid w:val="0"/>
              <w:jc w:val="center"/>
              <w:rPr>
                <w:rFonts w:eastAsia="方正仿宋简体"/>
                <w:color w:val="000000"/>
                <w:szCs w:val="21"/>
              </w:rPr>
            </w:pPr>
            <w:r>
              <w:rPr>
                <w:rFonts w:eastAsia="方正仿宋简体"/>
                <w:color w:val="000000"/>
                <w:szCs w:val="21"/>
              </w:rPr>
              <w:t>总量（件）</w:t>
            </w:r>
          </w:p>
        </w:tc>
        <w:tc>
          <w:tcPr>
            <w:tcW w:w="1543" w:type="dxa"/>
            <w:noWrap w:val="0"/>
            <w:vAlign w:val="center"/>
          </w:tcPr>
          <w:p>
            <w:pPr>
              <w:adjustRightInd w:val="0"/>
              <w:snapToGrid w:val="0"/>
              <w:jc w:val="center"/>
              <w:rPr>
                <w:rFonts w:eastAsia="方正仿宋简体"/>
                <w:color w:val="000000"/>
                <w:szCs w:val="21"/>
              </w:rPr>
            </w:pPr>
            <w:r>
              <w:rPr>
                <w:rFonts w:eastAsia="方正仿宋简体"/>
                <w:color w:val="000000"/>
                <w:szCs w:val="21"/>
              </w:rPr>
              <w:t>9000</w:t>
            </w:r>
          </w:p>
        </w:tc>
        <w:tc>
          <w:tcPr>
            <w:tcW w:w="1501" w:type="dxa"/>
            <w:noWrap w:val="0"/>
            <w:vAlign w:val="center"/>
          </w:tcPr>
          <w:p>
            <w:pPr>
              <w:adjustRightInd w:val="0"/>
              <w:snapToGrid w:val="0"/>
              <w:jc w:val="center"/>
              <w:rPr>
                <w:rFonts w:eastAsia="方正仿宋简体"/>
                <w:color w:val="000000"/>
                <w:szCs w:val="21"/>
              </w:rPr>
            </w:pPr>
            <w:r>
              <w:rPr>
                <w:rFonts w:eastAsia="方正仿宋简体"/>
                <w:color w:val="000000"/>
                <w:szCs w:val="21"/>
              </w:rPr>
              <w:t>14633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25" w:hRule="atLeast"/>
          <w:jc w:val="center"/>
        </w:trPr>
        <w:tc>
          <w:tcPr>
            <w:tcW w:w="706" w:type="dxa"/>
            <w:vMerge w:val="continue"/>
            <w:noWrap w:val="0"/>
            <w:vAlign w:val="center"/>
          </w:tcPr>
          <w:p>
            <w:pPr>
              <w:adjustRightInd w:val="0"/>
              <w:snapToGrid w:val="0"/>
              <w:jc w:val="center"/>
              <w:rPr>
                <w:rFonts w:eastAsia="方正仿宋简体"/>
                <w:color w:val="000000"/>
                <w:szCs w:val="21"/>
              </w:rPr>
            </w:pPr>
          </w:p>
        </w:tc>
        <w:tc>
          <w:tcPr>
            <w:tcW w:w="2820" w:type="dxa"/>
            <w:vMerge w:val="continue"/>
            <w:noWrap w:val="0"/>
            <w:vAlign w:val="center"/>
          </w:tcPr>
          <w:p>
            <w:pPr>
              <w:adjustRightInd w:val="0"/>
              <w:snapToGrid w:val="0"/>
              <w:jc w:val="center"/>
              <w:rPr>
                <w:rFonts w:eastAsia="方正仿宋简体"/>
                <w:color w:val="000000"/>
                <w:szCs w:val="21"/>
              </w:rPr>
            </w:pPr>
          </w:p>
        </w:tc>
        <w:tc>
          <w:tcPr>
            <w:tcW w:w="2061" w:type="dxa"/>
            <w:noWrap w:val="0"/>
            <w:vAlign w:val="center"/>
          </w:tcPr>
          <w:p>
            <w:pPr>
              <w:adjustRightInd w:val="0"/>
              <w:snapToGrid w:val="0"/>
              <w:jc w:val="center"/>
              <w:rPr>
                <w:rFonts w:eastAsia="方正仿宋简体"/>
                <w:color w:val="000000"/>
                <w:szCs w:val="21"/>
              </w:rPr>
            </w:pPr>
            <w:r>
              <w:rPr>
                <w:rFonts w:eastAsia="方正仿宋简体"/>
                <w:color w:val="000000"/>
                <w:szCs w:val="21"/>
              </w:rPr>
              <w:t>年均增长（%）</w:t>
            </w:r>
          </w:p>
        </w:tc>
        <w:tc>
          <w:tcPr>
            <w:tcW w:w="1543" w:type="dxa"/>
            <w:noWrap w:val="0"/>
            <w:vAlign w:val="center"/>
          </w:tcPr>
          <w:p>
            <w:pPr>
              <w:adjustRightInd w:val="0"/>
              <w:snapToGrid w:val="0"/>
              <w:jc w:val="center"/>
              <w:rPr>
                <w:rFonts w:eastAsia="方正仿宋简体"/>
                <w:color w:val="000000"/>
                <w:szCs w:val="21"/>
              </w:rPr>
            </w:pPr>
            <w:r>
              <w:rPr>
                <w:rFonts w:eastAsia="方正仿宋简体"/>
                <w:color w:val="000000"/>
                <w:szCs w:val="21"/>
              </w:rPr>
              <w:t>10</w:t>
            </w:r>
          </w:p>
        </w:tc>
        <w:tc>
          <w:tcPr>
            <w:tcW w:w="1501" w:type="dxa"/>
            <w:noWrap w:val="0"/>
            <w:vAlign w:val="center"/>
          </w:tcPr>
          <w:p>
            <w:pPr>
              <w:adjustRightInd w:val="0"/>
              <w:snapToGrid w:val="0"/>
              <w:jc w:val="center"/>
              <w:rPr>
                <w:rFonts w:eastAsia="方正仿宋简体"/>
                <w:color w:val="000000"/>
                <w:szCs w:val="21"/>
              </w:rPr>
            </w:pPr>
            <w:r>
              <w:rPr>
                <w:rFonts w:eastAsia="方正仿宋简体"/>
                <w:color w:val="000000"/>
                <w:szCs w:val="21"/>
              </w:rPr>
              <w:t>27.82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25" w:hRule="atLeast"/>
          <w:jc w:val="center"/>
        </w:trPr>
        <w:tc>
          <w:tcPr>
            <w:tcW w:w="706" w:type="dxa"/>
            <w:noWrap w:val="0"/>
            <w:vAlign w:val="center"/>
          </w:tcPr>
          <w:p>
            <w:pPr>
              <w:adjustRightInd w:val="0"/>
              <w:snapToGrid w:val="0"/>
              <w:jc w:val="center"/>
              <w:rPr>
                <w:rFonts w:eastAsia="方正仿宋简体"/>
                <w:color w:val="000000"/>
                <w:szCs w:val="21"/>
              </w:rPr>
            </w:pPr>
            <w:r>
              <w:rPr>
                <w:rFonts w:eastAsia="方正仿宋简体"/>
                <w:color w:val="000000"/>
                <w:szCs w:val="21"/>
              </w:rPr>
              <w:t>12</w:t>
            </w:r>
          </w:p>
        </w:tc>
        <w:tc>
          <w:tcPr>
            <w:tcW w:w="4881" w:type="dxa"/>
            <w:gridSpan w:val="2"/>
            <w:noWrap w:val="0"/>
            <w:vAlign w:val="center"/>
          </w:tcPr>
          <w:p>
            <w:pPr>
              <w:adjustRightInd w:val="0"/>
              <w:snapToGrid w:val="0"/>
              <w:jc w:val="center"/>
              <w:rPr>
                <w:rFonts w:eastAsia="方正仿宋简体"/>
                <w:color w:val="000000"/>
                <w:szCs w:val="21"/>
              </w:rPr>
            </w:pPr>
            <w:r>
              <w:rPr>
                <w:rFonts w:eastAsia="方正仿宋简体"/>
                <w:color w:val="000000"/>
                <w:szCs w:val="21"/>
              </w:rPr>
              <w:t>城镇化率（%）</w:t>
            </w:r>
          </w:p>
        </w:tc>
        <w:tc>
          <w:tcPr>
            <w:tcW w:w="1543" w:type="dxa"/>
            <w:noWrap w:val="0"/>
            <w:vAlign w:val="center"/>
          </w:tcPr>
          <w:p>
            <w:pPr>
              <w:adjustRightInd w:val="0"/>
              <w:snapToGrid w:val="0"/>
              <w:jc w:val="center"/>
              <w:rPr>
                <w:rFonts w:eastAsia="方正仿宋简体"/>
                <w:color w:val="000000"/>
                <w:szCs w:val="21"/>
              </w:rPr>
            </w:pPr>
            <w:r>
              <w:rPr>
                <w:rFonts w:eastAsia="方正仿宋简体"/>
                <w:color w:val="000000"/>
                <w:szCs w:val="21"/>
              </w:rPr>
              <w:t>70</w:t>
            </w:r>
          </w:p>
        </w:tc>
        <w:tc>
          <w:tcPr>
            <w:tcW w:w="1501" w:type="dxa"/>
            <w:noWrap w:val="0"/>
            <w:vAlign w:val="center"/>
          </w:tcPr>
          <w:p>
            <w:pPr>
              <w:adjustRightInd w:val="0"/>
              <w:snapToGrid w:val="0"/>
              <w:jc w:val="center"/>
              <w:rPr>
                <w:rFonts w:eastAsia="方正仿宋简体"/>
                <w:color w:val="000000"/>
                <w:szCs w:val="21"/>
              </w:rPr>
            </w:pPr>
            <w:r>
              <w:rPr>
                <w:rFonts w:eastAsia="方正仿宋简体"/>
                <w:color w:val="000000"/>
                <w:szCs w:val="21"/>
              </w:rPr>
              <w:t>74.38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25" w:hRule="atLeast"/>
          <w:jc w:val="center"/>
        </w:trPr>
        <w:tc>
          <w:tcPr>
            <w:tcW w:w="706" w:type="dxa"/>
            <w:noWrap w:val="0"/>
            <w:vAlign w:val="center"/>
          </w:tcPr>
          <w:p>
            <w:pPr>
              <w:adjustRightInd w:val="0"/>
              <w:snapToGrid w:val="0"/>
              <w:jc w:val="center"/>
              <w:rPr>
                <w:rFonts w:eastAsia="方正仿宋简体"/>
                <w:color w:val="000000"/>
                <w:szCs w:val="21"/>
              </w:rPr>
            </w:pPr>
            <w:r>
              <w:rPr>
                <w:rFonts w:eastAsia="方正仿宋简体"/>
                <w:color w:val="000000"/>
                <w:szCs w:val="21"/>
              </w:rPr>
              <w:t>13</w:t>
            </w:r>
          </w:p>
        </w:tc>
        <w:tc>
          <w:tcPr>
            <w:tcW w:w="4881" w:type="dxa"/>
            <w:gridSpan w:val="2"/>
            <w:noWrap w:val="0"/>
            <w:vAlign w:val="center"/>
          </w:tcPr>
          <w:p>
            <w:pPr>
              <w:adjustRightInd w:val="0"/>
              <w:snapToGrid w:val="0"/>
              <w:jc w:val="center"/>
              <w:rPr>
                <w:rFonts w:eastAsia="方正仿宋简体"/>
                <w:color w:val="000000"/>
                <w:szCs w:val="21"/>
              </w:rPr>
            </w:pPr>
            <w:r>
              <w:rPr>
                <w:rFonts w:eastAsia="方正仿宋简体"/>
                <w:color w:val="000000"/>
                <w:szCs w:val="21"/>
              </w:rPr>
              <w:t>非公有制经济占地区生产总值比重（%）</w:t>
            </w:r>
          </w:p>
        </w:tc>
        <w:tc>
          <w:tcPr>
            <w:tcW w:w="1543" w:type="dxa"/>
            <w:noWrap w:val="0"/>
            <w:vAlign w:val="center"/>
          </w:tcPr>
          <w:p>
            <w:pPr>
              <w:adjustRightInd w:val="0"/>
              <w:snapToGrid w:val="0"/>
              <w:jc w:val="center"/>
              <w:rPr>
                <w:rFonts w:eastAsia="方正仿宋简体"/>
                <w:color w:val="000000"/>
                <w:szCs w:val="21"/>
              </w:rPr>
            </w:pPr>
            <w:r>
              <w:rPr>
                <w:rFonts w:eastAsia="方正仿宋简体"/>
                <w:color w:val="000000"/>
                <w:szCs w:val="21"/>
              </w:rPr>
              <w:t>65</w:t>
            </w:r>
          </w:p>
        </w:tc>
        <w:tc>
          <w:tcPr>
            <w:tcW w:w="1501" w:type="dxa"/>
            <w:noWrap w:val="0"/>
            <w:vAlign w:val="center"/>
          </w:tcPr>
          <w:p>
            <w:pPr>
              <w:adjustRightInd w:val="0"/>
              <w:snapToGrid w:val="0"/>
              <w:jc w:val="center"/>
              <w:rPr>
                <w:rFonts w:eastAsia="方正仿宋简体"/>
                <w:color w:val="000000"/>
                <w:szCs w:val="21"/>
              </w:rPr>
            </w:pPr>
            <w:r>
              <w:rPr>
                <w:rFonts w:eastAsia="方正仿宋简体"/>
                <w:color w:val="000000"/>
                <w:szCs w:val="21"/>
              </w:rPr>
              <w:t>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25" w:hRule="atLeast"/>
          <w:jc w:val="center"/>
        </w:trPr>
        <w:tc>
          <w:tcPr>
            <w:tcW w:w="706" w:type="dxa"/>
            <w:vMerge w:val="restart"/>
            <w:noWrap w:val="0"/>
            <w:vAlign w:val="center"/>
          </w:tcPr>
          <w:p>
            <w:pPr>
              <w:adjustRightInd w:val="0"/>
              <w:snapToGrid w:val="0"/>
              <w:jc w:val="center"/>
              <w:rPr>
                <w:rFonts w:eastAsia="方正仿宋简体"/>
                <w:color w:val="000000"/>
                <w:szCs w:val="21"/>
              </w:rPr>
            </w:pPr>
            <w:r>
              <w:rPr>
                <w:rFonts w:eastAsia="方正仿宋简体"/>
                <w:color w:val="000000"/>
                <w:szCs w:val="21"/>
              </w:rPr>
              <w:t>14</w:t>
            </w:r>
          </w:p>
        </w:tc>
        <w:tc>
          <w:tcPr>
            <w:tcW w:w="2820" w:type="dxa"/>
            <w:vMerge w:val="restart"/>
            <w:noWrap w:val="0"/>
            <w:vAlign w:val="center"/>
          </w:tcPr>
          <w:p>
            <w:pPr>
              <w:adjustRightInd w:val="0"/>
              <w:snapToGrid w:val="0"/>
              <w:jc w:val="center"/>
              <w:rPr>
                <w:rFonts w:eastAsia="方正仿宋简体"/>
                <w:color w:val="000000"/>
                <w:szCs w:val="21"/>
              </w:rPr>
            </w:pPr>
            <w:r>
              <w:rPr>
                <w:rFonts w:eastAsia="方正仿宋简体"/>
                <w:color w:val="000000"/>
                <w:szCs w:val="21"/>
              </w:rPr>
              <w:t>城镇居民人均可支配收入</w:t>
            </w:r>
          </w:p>
        </w:tc>
        <w:tc>
          <w:tcPr>
            <w:tcW w:w="2061" w:type="dxa"/>
            <w:noWrap w:val="0"/>
            <w:vAlign w:val="center"/>
          </w:tcPr>
          <w:p>
            <w:pPr>
              <w:adjustRightInd w:val="0"/>
              <w:snapToGrid w:val="0"/>
              <w:jc w:val="center"/>
              <w:rPr>
                <w:rFonts w:eastAsia="方正仿宋简体"/>
                <w:color w:val="000000"/>
                <w:szCs w:val="21"/>
              </w:rPr>
            </w:pPr>
            <w:r>
              <w:rPr>
                <w:rFonts w:eastAsia="方正仿宋简体"/>
                <w:color w:val="000000"/>
                <w:szCs w:val="21"/>
              </w:rPr>
              <w:t>总值（元）</w:t>
            </w:r>
          </w:p>
        </w:tc>
        <w:tc>
          <w:tcPr>
            <w:tcW w:w="1543" w:type="dxa"/>
            <w:noWrap w:val="0"/>
            <w:vAlign w:val="center"/>
          </w:tcPr>
          <w:p>
            <w:pPr>
              <w:adjustRightInd w:val="0"/>
              <w:snapToGrid w:val="0"/>
              <w:jc w:val="center"/>
              <w:rPr>
                <w:rFonts w:eastAsia="方正仿宋简体"/>
                <w:color w:val="000000"/>
                <w:szCs w:val="21"/>
              </w:rPr>
            </w:pPr>
            <w:r>
              <w:rPr>
                <w:rFonts w:eastAsia="方正仿宋简体"/>
                <w:color w:val="000000"/>
                <w:szCs w:val="21"/>
              </w:rPr>
              <w:t>≥40000</w:t>
            </w:r>
          </w:p>
        </w:tc>
        <w:tc>
          <w:tcPr>
            <w:tcW w:w="1501" w:type="dxa"/>
            <w:noWrap w:val="0"/>
            <w:vAlign w:val="center"/>
          </w:tcPr>
          <w:p>
            <w:pPr>
              <w:adjustRightInd w:val="0"/>
              <w:snapToGrid w:val="0"/>
              <w:jc w:val="center"/>
              <w:rPr>
                <w:rFonts w:eastAsia="方正仿宋简体"/>
                <w:color w:val="000000"/>
                <w:szCs w:val="21"/>
              </w:rPr>
            </w:pPr>
            <w:r>
              <w:rPr>
                <w:rFonts w:eastAsia="方正仿宋简体"/>
                <w:color w:val="000000"/>
                <w:szCs w:val="21"/>
              </w:rPr>
              <w:t>39661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25" w:hRule="atLeast"/>
          <w:jc w:val="center"/>
        </w:trPr>
        <w:tc>
          <w:tcPr>
            <w:tcW w:w="706" w:type="dxa"/>
            <w:vMerge w:val="continue"/>
            <w:noWrap w:val="0"/>
            <w:vAlign w:val="center"/>
          </w:tcPr>
          <w:p>
            <w:pPr>
              <w:adjustRightInd w:val="0"/>
              <w:snapToGrid w:val="0"/>
              <w:jc w:val="center"/>
              <w:rPr>
                <w:rFonts w:eastAsia="方正仿宋简体"/>
                <w:color w:val="000000"/>
                <w:szCs w:val="21"/>
              </w:rPr>
            </w:pPr>
          </w:p>
        </w:tc>
        <w:tc>
          <w:tcPr>
            <w:tcW w:w="2820" w:type="dxa"/>
            <w:vMerge w:val="continue"/>
            <w:noWrap w:val="0"/>
            <w:vAlign w:val="center"/>
          </w:tcPr>
          <w:p>
            <w:pPr>
              <w:adjustRightInd w:val="0"/>
              <w:snapToGrid w:val="0"/>
              <w:jc w:val="center"/>
              <w:rPr>
                <w:rFonts w:eastAsia="方正仿宋简体"/>
                <w:color w:val="000000"/>
                <w:szCs w:val="21"/>
              </w:rPr>
            </w:pPr>
          </w:p>
        </w:tc>
        <w:tc>
          <w:tcPr>
            <w:tcW w:w="2061" w:type="dxa"/>
            <w:noWrap w:val="0"/>
            <w:vAlign w:val="center"/>
          </w:tcPr>
          <w:p>
            <w:pPr>
              <w:adjustRightInd w:val="0"/>
              <w:snapToGrid w:val="0"/>
              <w:jc w:val="center"/>
              <w:rPr>
                <w:rFonts w:eastAsia="方正仿宋简体"/>
                <w:color w:val="000000"/>
                <w:szCs w:val="21"/>
              </w:rPr>
            </w:pPr>
            <w:r>
              <w:rPr>
                <w:rFonts w:eastAsia="方正仿宋简体"/>
                <w:color w:val="000000"/>
                <w:szCs w:val="21"/>
              </w:rPr>
              <w:t>年均增长（%）</w:t>
            </w:r>
          </w:p>
        </w:tc>
        <w:tc>
          <w:tcPr>
            <w:tcW w:w="1543" w:type="dxa"/>
            <w:noWrap w:val="0"/>
            <w:vAlign w:val="center"/>
          </w:tcPr>
          <w:p>
            <w:pPr>
              <w:adjustRightInd w:val="0"/>
              <w:snapToGrid w:val="0"/>
              <w:jc w:val="center"/>
              <w:rPr>
                <w:rFonts w:eastAsia="方正仿宋简体"/>
                <w:color w:val="000000"/>
                <w:szCs w:val="21"/>
              </w:rPr>
            </w:pPr>
            <w:r>
              <w:rPr>
                <w:rFonts w:eastAsia="方正仿宋简体"/>
                <w:color w:val="000000"/>
                <w:szCs w:val="21"/>
              </w:rPr>
              <w:t>12</w:t>
            </w:r>
          </w:p>
        </w:tc>
        <w:tc>
          <w:tcPr>
            <w:tcW w:w="1501" w:type="dxa"/>
            <w:noWrap w:val="0"/>
            <w:vAlign w:val="center"/>
          </w:tcPr>
          <w:p>
            <w:pPr>
              <w:adjustRightInd w:val="0"/>
              <w:snapToGrid w:val="0"/>
              <w:jc w:val="center"/>
              <w:rPr>
                <w:rFonts w:eastAsia="方正仿宋简体"/>
                <w:color w:val="000000"/>
                <w:szCs w:val="21"/>
              </w:rPr>
            </w:pPr>
            <w:r>
              <w:rPr>
                <w:rFonts w:eastAsia="方正仿宋简体"/>
                <w:color w:val="000000"/>
                <w:szCs w:val="21"/>
              </w:rPr>
              <w:t>11.2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25" w:hRule="atLeast"/>
          <w:jc w:val="center"/>
        </w:trPr>
        <w:tc>
          <w:tcPr>
            <w:tcW w:w="706" w:type="dxa"/>
            <w:vMerge w:val="restart"/>
            <w:noWrap w:val="0"/>
            <w:vAlign w:val="center"/>
          </w:tcPr>
          <w:p>
            <w:pPr>
              <w:adjustRightInd w:val="0"/>
              <w:snapToGrid w:val="0"/>
              <w:jc w:val="center"/>
              <w:rPr>
                <w:rFonts w:eastAsia="方正仿宋简体"/>
                <w:color w:val="000000"/>
                <w:szCs w:val="21"/>
              </w:rPr>
            </w:pPr>
            <w:r>
              <w:rPr>
                <w:rFonts w:eastAsia="方正仿宋简体"/>
                <w:color w:val="000000"/>
                <w:szCs w:val="21"/>
              </w:rPr>
              <w:t>15</w:t>
            </w:r>
          </w:p>
        </w:tc>
        <w:tc>
          <w:tcPr>
            <w:tcW w:w="2820" w:type="dxa"/>
            <w:vMerge w:val="restart"/>
            <w:noWrap w:val="0"/>
            <w:vAlign w:val="center"/>
          </w:tcPr>
          <w:p>
            <w:pPr>
              <w:adjustRightInd w:val="0"/>
              <w:snapToGrid w:val="0"/>
              <w:jc w:val="center"/>
              <w:rPr>
                <w:rFonts w:eastAsia="方正仿宋简体"/>
                <w:color w:val="000000"/>
                <w:szCs w:val="21"/>
              </w:rPr>
            </w:pPr>
            <w:r>
              <w:rPr>
                <w:rFonts w:eastAsia="方正仿宋简体"/>
                <w:color w:val="000000"/>
                <w:szCs w:val="21"/>
              </w:rPr>
              <w:t>农村居民人均可支配收入（统计口径变化）</w:t>
            </w:r>
          </w:p>
        </w:tc>
        <w:tc>
          <w:tcPr>
            <w:tcW w:w="2061" w:type="dxa"/>
            <w:noWrap w:val="0"/>
            <w:vAlign w:val="center"/>
          </w:tcPr>
          <w:p>
            <w:pPr>
              <w:adjustRightInd w:val="0"/>
              <w:snapToGrid w:val="0"/>
              <w:jc w:val="center"/>
              <w:rPr>
                <w:rFonts w:eastAsia="方正仿宋简体"/>
                <w:color w:val="000000"/>
                <w:szCs w:val="21"/>
              </w:rPr>
            </w:pPr>
            <w:r>
              <w:rPr>
                <w:rFonts w:eastAsia="方正仿宋简体"/>
                <w:color w:val="000000"/>
                <w:szCs w:val="21"/>
              </w:rPr>
              <w:t>总值（元）</w:t>
            </w:r>
          </w:p>
        </w:tc>
        <w:tc>
          <w:tcPr>
            <w:tcW w:w="1543" w:type="dxa"/>
            <w:noWrap w:val="0"/>
            <w:vAlign w:val="center"/>
          </w:tcPr>
          <w:p>
            <w:pPr>
              <w:adjustRightInd w:val="0"/>
              <w:snapToGrid w:val="0"/>
              <w:jc w:val="center"/>
              <w:rPr>
                <w:rFonts w:eastAsia="方正仿宋简体"/>
                <w:color w:val="000000"/>
                <w:szCs w:val="21"/>
              </w:rPr>
            </w:pPr>
            <w:r>
              <w:rPr>
                <w:rFonts w:eastAsia="方正仿宋简体"/>
                <w:color w:val="000000"/>
                <w:szCs w:val="21"/>
              </w:rPr>
              <w:t>≥20000</w:t>
            </w:r>
          </w:p>
        </w:tc>
        <w:tc>
          <w:tcPr>
            <w:tcW w:w="1501" w:type="dxa"/>
            <w:noWrap w:val="0"/>
            <w:vAlign w:val="center"/>
          </w:tcPr>
          <w:p>
            <w:pPr>
              <w:adjustRightInd w:val="0"/>
              <w:snapToGrid w:val="0"/>
              <w:jc w:val="center"/>
              <w:rPr>
                <w:rFonts w:eastAsia="方正仿宋简体"/>
                <w:color w:val="000000"/>
                <w:szCs w:val="21"/>
              </w:rPr>
            </w:pPr>
            <w:r>
              <w:rPr>
                <w:rFonts w:eastAsia="方正仿宋简体"/>
                <w:color w:val="000000"/>
                <w:szCs w:val="21"/>
              </w:rPr>
              <w:t>23601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25" w:hRule="atLeast"/>
          <w:jc w:val="center"/>
        </w:trPr>
        <w:tc>
          <w:tcPr>
            <w:tcW w:w="706" w:type="dxa"/>
            <w:vMerge w:val="continue"/>
            <w:noWrap w:val="0"/>
            <w:vAlign w:val="center"/>
          </w:tcPr>
          <w:p>
            <w:pPr>
              <w:adjustRightInd w:val="0"/>
              <w:snapToGrid w:val="0"/>
              <w:jc w:val="center"/>
              <w:rPr>
                <w:rFonts w:eastAsia="方正仿宋简体"/>
                <w:color w:val="000000"/>
                <w:szCs w:val="21"/>
              </w:rPr>
            </w:pPr>
          </w:p>
        </w:tc>
        <w:tc>
          <w:tcPr>
            <w:tcW w:w="2820" w:type="dxa"/>
            <w:vMerge w:val="continue"/>
            <w:noWrap w:val="0"/>
            <w:vAlign w:val="center"/>
          </w:tcPr>
          <w:p>
            <w:pPr>
              <w:adjustRightInd w:val="0"/>
              <w:snapToGrid w:val="0"/>
              <w:jc w:val="center"/>
              <w:rPr>
                <w:rFonts w:eastAsia="方正仿宋简体"/>
                <w:color w:val="000000"/>
                <w:szCs w:val="21"/>
              </w:rPr>
            </w:pPr>
          </w:p>
        </w:tc>
        <w:tc>
          <w:tcPr>
            <w:tcW w:w="2061" w:type="dxa"/>
            <w:noWrap w:val="0"/>
            <w:vAlign w:val="center"/>
          </w:tcPr>
          <w:p>
            <w:pPr>
              <w:adjustRightInd w:val="0"/>
              <w:snapToGrid w:val="0"/>
              <w:jc w:val="center"/>
              <w:rPr>
                <w:rFonts w:eastAsia="方正仿宋简体"/>
                <w:color w:val="000000"/>
                <w:szCs w:val="21"/>
              </w:rPr>
            </w:pPr>
            <w:r>
              <w:rPr>
                <w:rFonts w:eastAsia="方正仿宋简体"/>
                <w:color w:val="000000"/>
                <w:szCs w:val="21"/>
              </w:rPr>
              <w:t>年均增长（%）</w:t>
            </w:r>
          </w:p>
        </w:tc>
        <w:tc>
          <w:tcPr>
            <w:tcW w:w="1543" w:type="dxa"/>
            <w:noWrap w:val="0"/>
            <w:vAlign w:val="center"/>
          </w:tcPr>
          <w:p>
            <w:pPr>
              <w:adjustRightInd w:val="0"/>
              <w:snapToGrid w:val="0"/>
              <w:jc w:val="center"/>
              <w:rPr>
                <w:rFonts w:eastAsia="方正仿宋简体"/>
                <w:color w:val="000000"/>
                <w:szCs w:val="21"/>
              </w:rPr>
            </w:pPr>
            <w:r>
              <w:rPr>
                <w:rFonts w:eastAsia="方正仿宋简体"/>
                <w:color w:val="000000"/>
                <w:szCs w:val="21"/>
              </w:rPr>
              <w:t>14</w:t>
            </w:r>
          </w:p>
        </w:tc>
        <w:tc>
          <w:tcPr>
            <w:tcW w:w="1501" w:type="dxa"/>
            <w:noWrap w:val="0"/>
            <w:vAlign w:val="center"/>
          </w:tcPr>
          <w:p>
            <w:pPr>
              <w:adjustRightInd w:val="0"/>
              <w:snapToGrid w:val="0"/>
              <w:jc w:val="center"/>
              <w:rPr>
                <w:rFonts w:eastAsia="方正仿宋简体"/>
                <w:color w:val="000000"/>
                <w:szCs w:val="21"/>
              </w:rPr>
            </w:pPr>
            <w:r>
              <w:rPr>
                <w:rFonts w:eastAsia="方正仿宋简体"/>
                <w:color w:val="000000"/>
                <w:szCs w:val="21"/>
              </w:rPr>
              <w:t>13.7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25" w:hRule="atLeast"/>
          <w:jc w:val="center"/>
        </w:trPr>
        <w:tc>
          <w:tcPr>
            <w:tcW w:w="706" w:type="dxa"/>
            <w:noWrap w:val="0"/>
            <w:vAlign w:val="center"/>
          </w:tcPr>
          <w:p>
            <w:pPr>
              <w:adjustRightInd w:val="0"/>
              <w:snapToGrid w:val="0"/>
              <w:jc w:val="center"/>
              <w:rPr>
                <w:rFonts w:eastAsia="方正仿宋简体"/>
                <w:color w:val="000000"/>
                <w:szCs w:val="21"/>
              </w:rPr>
            </w:pPr>
            <w:r>
              <w:rPr>
                <w:rFonts w:eastAsia="方正仿宋简体"/>
                <w:color w:val="000000"/>
                <w:szCs w:val="21"/>
              </w:rPr>
              <w:t>16</w:t>
            </w:r>
          </w:p>
        </w:tc>
        <w:tc>
          <w:tcPr>
            <w:tcW w:w="4881" w:type="dxa"/>
            <w:gridSpan w:val="2"/>
            <w:noWrap w:val="0"/>
            <w:vAlign w:val="center"/>
          </w:tcPr>
          <w:p>
            <w:pPr>
              <w:adjustRightInd w:val="0"/>
              <w:snapToGrid w:val="0"/>
              <w:jc w:val="center"/>
              <w:rPr>
                <w:rFonts w:eastAsia="方正仿宋简体"/>
                <w:color w:val="000000"/>
                <w:szCs w:val="21"/>
              </w:rPr>
            </w:pPr>
            <w:r>
              <w:rPr>
                <w:rFonts w:eastAsia="方正仿宋简体"/>
                <w:color w:val="000000"/>
                <w:szCs w:val="21"/>
              </w:rPr>
              <w:t>人口自然增长率（‰）</w:t>
            </w:r>
          </w:p>
        </w:tc>
        <w:tc>
          <w:tcPr>
            <w:tcW w:w="1543" w:type="dxa"/>
            <w:noWrap w:val="0"/>
            <w:vAlign w:val="center"/>
          </w:tcPr>
          <w:p>
            <w:pPr>
              <w:adjustRightInd w:val="0"/>
              <w:snapToGrid w:val="0"/>
              <w:jc w:val="center"/>
              <w:rPr>
                <w:rFonts w:eastAsia="方正仿宋简体"/>
                <w:color w:val="000000"/>
                <w:szCs w:val="21"/>
              </w:rPr>
            </w:pPr>
            <w:r>
              <w:rPr>
                <w:rFonts w:eastAsia="方正仿宋简体"/>
                <w:color w:val="000000"/>
                <w:szCs w:val="21"/>
              </w:rPr>
              <w:t>≤5.7</w:t>
            </w:r>
          </w:p>
        </w:tc>
        <w:tc>
          <w:tcPr>
            <w:tcW w:w="1501" w:type="dxa"/>
            <w:noWrap w:val="0"/>
            <w:vAlign w:val="center"/>
          </w:tcPr>
          <w:p>
            <w:pPr>
              <w:adjustRightInd w:val="0"/>
              <w:snapToGrid w:val="0"/>
              <w:jc w:val="center"/>
              <w:rPr>
                <w:rFonts w:eastAsia="方正仿宋简体"/>
                <w:color w:val="000000"/>
                <w:szCs w:val="21"/>
              </w:rPr>
            </w:pPr>
            <w:r>
              <w:rPr>
                <w:rFonts w:eastAsia="方正仿宋简体"/>
                <w:color w:val="000000"/>
                <w:szCs w:val="21"/>
              </w:rPr>
              <w:t>5.7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25" w:hRule="atLeast"/>
          <w:jc w:val="center"/>
        </w:trPr>
        <w:tc>
          <w:tcPr>
            <w:tcW w:w="706" w:type="dxa"/>
            <w:noWrap w:val="0"/>
            <w:vAlign w:val="center"/>
          </w:tcPr>
          <w:p>
            <w:pPr>
              <w:adjustRightInd w:val="0"/>
              <w:snapToGrid w:val="0"/>
              <w:jc w:val="center"/>
              <w:rPr>
                <w:rFonts w:eastAsia="方正仿宋简体"/>
                <w:color w:val="000000"/>
                <w:szCs w:val="21"/>
              </w:rPr>
            </w:pPr>
            <w:r>
              <w:rPr>
                <w:rFonts w:eastAsia="方正仿宋简体"/>
                <w:color w:val="000000"/>
                <w:szCs w:val="21"/>
              </w:rPr>
              <w:t>17</w:t>
            </w:r>
          </w:p>
        </w:tc>
        <w:tc>
          <w:tcPr>
            <w:tcW w:w="4881" w:type="dxa"/>
            <w:gridSpan w:val="2"/>
            <w:noWrap w:val="0"/>
            <w:vAlign w:val="center"/>
          </w:tcPr>
          <w:p>
            <w:pPr>
              <w:adjustRightInd w:val="0"/>
              <w:snapToGrid w:val="0"/>
              <w:jc w:val="center"/>
              <w:rPr>
                <w:rFonts w:eastAsia="方正仿宋简体"/>
                <w:color w:val="000000"/>
                <w:szCs w:val="21"/>
              </w:rPr>
            </w:pPr>
            <w:r>
              <w:rPr>
                <w:rFonts w:eastAsia="方正仿宋简体"/>
                <w:color w:val="000000"/>
                <w:szCs w:val="21"/>
              </w:rPr>
              <w:t>高等教育毛入学率（%）</w:t>
            </w:r>
          </w:p>
        </w:tc>
        <w:tc>
          <w:tcPr>
            <w:tcW w:w="1543" w:type="dxa"/>
            <w:noWrap w:val="0"/>
            <w:vAlign w:val="center"/>
          </w:tcPr>
          <w:p>
            <w:pPr>
              <w:adjustRightInd w:val="0"/>
              <w:snapToGrid w:val="0"/>
              <w:jc w:val="center"/>
              <w:rPr>
                <w:rFonts w:eastAsia="方正仿宋简体"/>
                <w:color w:val="000000"/>
                <w:szCs w:val="21"/>
              </w:rPr>
            </w:pPr>
            <w:r>
              <w:rPr>
                <w:rFonts w:eastAsia="方正仿宋简体"/>
                <w:color w:val="000000"/>
                <w:szCs w:val="21"/>
              </w:rPr>
              <w:t>57</w:t>
            </w:r>
          </w:p>
        </w:tc>
        <w:tc>
          <w:tcPr>
            <w:tcW w:w="1501" w:type="dxa"/>
            <w:noWrap w:val="0"/>
            <w:vAlign w:val="center"/>
          </w:tcPr>
          <w:p>
            <w:pPr>
              <w:adjustRightInd w:val="0"/>
              <w:snapToGrid w:val="0"/>
              <w:jc w:val="center"/>
              <w:rPr>
                <w:rFonts w:eastAsia="方正仿宋简体"/>
                <w:color w:val="000000"/>
                <w:szCs w:val="21"/>
              </w:rPr>
            </w:pPr>
            <w:r>
              <w:rPr>
                <w:rFonts w:eastAsia="方正仿宋简体"/>
                <w:color w:val="000000"/>
                <w:szCs w:val="21"/>
              </w:rPr>
              <w:t>72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25" w:hRule="atLeast"/>
          <w:jc w:val="center"/>
        </w:trPr>
        <w:tc>
          <w:tcPr>
            <w:tcW w:w="706" w:type="dxa"/>
            <w:noWrap w:val="0"/>
            <w:vAlign w:val="center"/>
          </w:tcPr>
          <w:p>
            <w:pPr>
              <w:adjustRightInd w:val="0"/>
              <w:snapToGrid w:val="0"/>
              <w:jc w:val="center"/>
              <w:rPr>
                <w:rFonts w:eastAsia="方正仿宋简体"/>
                <w:color w:val="000000"/>
                <w:szCs w:val="21"/>
              </w:rPr>
            </w:pPr>
            <w:r>
              <w:rPr>
                <w:rFonts w:eastAsia="方正仿宋简体"/>
                <w:color w:val="000000"/>
                <w:szCs w:val="21"/>
              </w:rPr>
              <w:t>18</w:t>
            </w:r>
          </w:p>
        </w:tc>
        <w:tc>
          <w:tcPr>
            <w:tcW w:w="4881" w:type="dxa"/>
            <w:gridSpan w:val="2"/>
            <w:noWrap w:val="0"/>
            <w:vAlign w:val="center"/>
          </w:tcPr>
          <w:p>
            <w:pPr>
              <w:adjustRightInd w:val="0"/>
              <w:snapToGrid w:val="0"/>
              <w:jc w:val="center"/>
              <w:rPr>
                <w:rFonts w:eastAsia="方正仿宋简体"/>
                <w:color w:val="000000"/>
                <w:szCs w:val="21"/>
              </w:rPr>
            </w:pPr>
            <w:r>
              <w:rPr>
                <w:rFonts w:eastAsia="方正仿宋简体"/>
                <w:color w:val="000000"/>
                <w:szCs w:val="21"/>
              </w:rPr>
              <w:t>全市人才总量（万名）</w:t>
            </w:r>
          </w:p>
        </w:tc>
        <w:tc>
          <w:tcPr>
            <w:tcW w:w="1543" w:type="dxa"/>
            <w:noWrap w:val="0"/>
            <w:vAlign w:val="center"/>
          </w:tcPr>
          <w:p>
            <w:pPr>
              <w:adjustRightInd w:val="0"/>
              <w:snapToGrid w:val="0"/>
              <w:jc w:val="center"/>
              <w:rPr>
                <w:rFonts w:eastAsia="方正仿宋简体"/>
                <w:color w:val="000000"/>
                <w:szCs w:val="21"/>
              </w:rPr>
            </w:pPr>
            <w:r>
              <w:rPr>
                <w:rFonts w:eastAsia="方正仿宋简体"/>
                <w:color w:val="000000"/>
                <w:szCs w:val="21"/>
              </w:rPr>
              <w:t>≥100</w:t>
            </w:r>
          </w:p>
        </w:tc>
        <w:tc>
          <w:tcPr>
            <w:tcW w:w="1501" w:type="dxa"/>
            <w:noWrap w:val="0"/>
            <w:vAlign w:val="center"/>
          </w:tcPr>
          <w:p>
            <w:pPr>
              <w:adjustRightInd w:val="0"/>
              <w:snapToGrid w:val="0"/>
              <w:jc w:val="center"/>
              <w:rPr>
                <w:rFonts w:eastAsia="方正仿宋简体"/>
                <w:color w:val="000000"/>
                <w:szCs w:val="21"/>
              </w:rPr>
            </w:pPr>
            <w:r>
              <w:rPr>
                <w:rFonts w:eastAsia="方正仿宋简体"/>
                <w:color w:val="000000"/>
                <w:szCs w:val="21"/>
              </w:rPr>
              <w:t>105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25" w:hRule="atLeast"/>
          <w:jc w:val="center"/>
        </w:trPr>
        <w:tc>
          <w:tcPr>
            <w:tcW w:w="706" w:type="dxa"/>
            <w:noWrap w:val="0"/>
            <w:vAlign w:val="center"/>
          </w:tcPr>
          <w:p>
            <w:pPr>
              <w:adjustRightInd w:val="0"/>
              <w:snapToGrid w:val="0"/>
              <w:jc w:val="center"/>
              <w:rPr>
                <w:rFonts w:eastAsia="方正仿宋简体"/>
                <w:color w:val="000000"/>
                <w:szCs w:val="21"/>
              </w:rPr>
            </w:pPr>
            <w:r>
              <w:rPr>
                <w:rFonts w:eastAsia="方正仿宋简体"/>
                <w:color w:val="000000"/>
                <w:szCs w:val="21"/>
              </w:rPr>
              <w:t>19</w:t>
            </w:r>
          </w:p>
        </w:tc>
        <w:tc>
          <w:tcPr>
            <w:tcW w:w="4881" w:type="dxa"/>
            <w:gridSpan w:val="2"/>
            <w:noWrap w:val="0"/>
            <w:vAlign w:val="center"/>
          </w:tcPr>
          <w:p>
            <w:pPr>
              <w:adjustRightInd w:val="0"/>
              <w:snapToGrid w:val="0"/>
              <w:jc w:val="center"/>
              <w:rPr>
                <w:rFonts w:eastAsia="方正仿宋简体"/>
                <w:color w:val="000000"/>
                <w:szCs w:val="21"/>
              </w:rPr>
            </w:pPr>
            <w:r>
              <w:rPr>
                <w:rFonts w:eastAsia="方正仿宋简体"/>
                <w:color w:val="000000"/>
                <w:szCs w:val="21"/>
              </w:rPr>
              <w:t>每年新增城镇就业岗位（万个）</w:t>
            </w:r>
          </w:p>
        </w:tc>
        <w:tc>
          <w:tcPr>
            <w:tcW w:w="1543" w:type="dxa"/>
            <w:noWrap w:val="0"/>
            <w:vAlign w:val="center"/>
          </w:tcPr>
          <w:p>
            <w:pPr>
              <w:adjustRightInd w:val="0"/>
              <w:snapToGrid w:val="0"/>
              <w:jc w:val="center"/>
              <w:rPr>
                <w:rFonts w:eastAsia="方正仿宋简体"/>
                <w:color w:val="000000"/>
                <w:szCs w:val="21"/>
              </w:rPr>
            </w:pPr>
            <w:r>
              <w:rPr>
                <w:rFonts w:eastAsia="方正仿宋简体"/>
                <w:color w:val="000000"/>
                <w:szCs w:val="21"/>
              </w:rPr>
              <w:t>≥10</w:t>
            </w:r>
          </w:p>
        </w:tc>
        <w:tc>
          <w:tcPr>
            <w:tcW w:w="1501" w:type="dxa"/>
            <w:noWrap w:val="0"/>
            <w:vAlign w:val="center"/>
          </w:tcPr>
          <w:p>
            <w:pPr>
              <w:adjustRightInd w:val="0"/>
              <w:snapToGrid w:val="0"/>
              <w:jc w:val="center"/>
              <w:rPr>
                <w:rFonts w:eastAsia="方正仿宋简体"/>
                <w:color w:val="000000"/>
                <w:szCs w:val="21"/>
              </w:rPr>
            </w:pPr>
            <w:r>
              <w:rPr>
                <w:rFonts w:eastAsia="方正仿宋简体"/>
                <w:color w:val="000000"/>
                <w:szCs w:val="21"/>
              </w:rPr>
              <w:t>{70.96}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25" w:hRule="atLeast"/>
          <w:jc w:val="center"/>
        </w:trPr>
        <w:tc>
          <w:tcPr>
            <w:tcW w:w="706" w:type="dxa"/>
            <w:noWrap w:val="0"/>
            <w:vAlign w:val="center"/>
          </w:tcPr>
          <w:p>
            <w:pPr>
              <w:adjustRightInd w:val="0"/>
              <w:snapToGrid w:val="0"/>
              <w:jc w:val="center"/>
              <w:rPr>
                <w:rFonts w:eastAsia="方正仿宋简体"/>
                <w:color w:val="000000"/>
                <w:szCs w:val="21"/>
              </w:rPr>
            </w:pPr>
            <w:r>
              <w:rPr>
                <w:rFonts w:eastAsia="方正仿宋简体"/>
                <w:color w:val="000000"/>
                <w:szCs w:val="21"/>
              </w:rPr>
              <w:t>20</w:t>
            </w:r>
          </w:p>
        </w:tc>
        <w:tc>
          <w:tcPr>
            <w:tcW w:w="4881" w:type="dxa"/>
            <w:gridSpan w:val="2"/>
            <w:noWrap w:val="0"/>
            <w:vAlign w:val="center"/>
          </w:tcPr>
          <w:p>
            <w:pPr>
              <w:adjustRightInd w:val="0"/>
              <w:snapToGrid w:val="0"/>
              <w:jc w:val="center"/>
              <w:rPr>
                <w:rFonts w:eastAsia="方正仿宋简体"/>
                <w:color w:val="000000"/>
                <w:szCs w:val="21"/>
              </w:rPr>
            </w:pPr>
            <w:r>
              <w:rPr>
                <w:rFonts w:eastAsia="方正仿宋简体"/>
                <w:color w:val="000000"/>
                <w:szCs w:val="21"/>
              </w:rPr>
              <w:t>城镇登记失业率（%）</w:t>
            </w:r>
          </w:p>
        </w:tc>
        <w:tc>
          <w:tcPr>
            <w:tcW w:w="1543" w:type="dxa"/>
            <w:noWrap w:val="0"/>
            <w:vAlign w:val="center"/>
          </w:tcPr>
          <w:p>
            <w:pPr>
              <w:adjustRightInd w:val="0"/>
              <w:snapToGrid w:val="0"/>
              <w:jc w:val="center"/>
              <w:rPr>
                <w:rFonts w:eastAsia="方正仿宋简体"/>
                <w:color w:val="000000"/>
                <w:szCs w:val="21"/>
              </w:rPr>
            </w:pPr>
            <w:r>
              <w:rPr>
                <w:rFonts w:eastAsia="方正仿宋简体"/>
                <w:color w:val="000000"/>
                <w:szCs w:val="21"/>
              </w:rPr>
              <w:t>＜4</w:t>
            </w:r>
          </w:p>
        </w:tc>
        <w:tc>
          <w:tcPr>
            <w:tcW w:w="1501" w:type="dxa"/>
            <w:noWrap w:val="0"/>
            <w:vAlign w:val="center"/>
          </w:tcPr>
          <w:p>
            <w:pPr>
              <w:adjustRightInd w:val="0"/>
              <w:snapToGrid w:val="0"/>
              <w:jc w:val="center"/>
              <w:rPr>
                <w:rFonts w:eastAsia="方正仿宋简体"/>
                <w:color w:val="000000"/>
                <w:szCs w:val="21"/>
              </w:rPr>
            </w:pPr>
            <w:r>
              <w:rPr>
                <w:rFonts w:eastAsia="方正仿宋简体"/>
                <w:color w:val="000000"/>
                <w:szCs w:val="21"/>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25" w:hRule="atLeast"/>
          <w:jc w:val="center"/>
        </w:trPr>
        <w:tc>
          <w:tcPr>
            <w:tcW w:w="706" w:type="dxa"/>
            <w:noWrap w:val="0"/>
            <w:vAlign w:val="center"/>
          </w:tcPr>
          <w:p>
            <w:pPr>
              <w:adjustRightInd w:val="0"/>
              <w:snapToGrid w:val="0"/>
              <w:jc w:val="center"/>
              <w:rPr>
                <w:rFonts w:eastAsia="方正仿宋简体"/>
                <w:color w:val="000000"/>
                <w:szCs w:val="21"/>
              </w:rPr>
            </w:pPr>
            <w:r>
              <w:rPr>
                <w:rFonts w:eastAsia="方正仿宋简体"/>
                <w:color w:val="000000"/>
                <w:szCs w:val="21"/>
              </w:rPr>
              <w:t>21</w:t>
            </w:r>
          </w:p>
        </w:tc>
        <w:tc>
          <w:tcPr>
            <w:tcW w:w="4881" w:type="dxa"/>
            <w:gridSpan w:val="2"/>
            <w:noWrap w:val="0"/>
            <w:vAlign w:val="center"/>
          </w:tcPr>
          <w:p>
            <w:pPr>
              <w:adjustRightInd w:val="0"/>
              <w:snapToGrid w:val="0"/>
              <w:jc w:val="center"/>
              <w:rPr>
                <w:rFonts w:eastAsia="方正仿宋简体"/>
                <w:color w:val="000000"/>
                <w:szCs w:val="21"/>
              </w:rPr>
            </w:pPr>
            <w:r>
              <w:rPr>
                <w:rFonts w:eastAsia="方正仿宋简体"/>
                <w:color w:val="000000"/>
                <w:szCs w:val="21"/>
              </w:rPr>
              <w:t>城乡基本养老保险覆盖率（%）</w:t>
            </w:r>
          </w:p>
        </w:tc>
        <w:tc>
          <w:tcPr>
            <w:tcW w:w="1543" w:type="dxa"/>
            <w:noWrap w:val="0"/>
            <w:vAlign w:val="center"/>
          </w:tcPr>
          <w:p>
            <w:pPr>
              <w:adjustRightInd w:val="0"/>
              <w:snapToGrid w:val="0"/>
              <w:jc w:val="center"/>
              <w:rPr>
                <w:rFonts w:eastAsia="方正仿宋简体"/>
                <w:color w:val="000000"/>
                <w:szCs w:val="21"/>
              </w:rPr>
            </w:pPr>
            <w:r>
              <w:rPr>
                <w:rFonts w:eastAsia="方正仿宋简体"/>
                <w:color w:val="000000"/>
                <w:szCs w:val="21"/>
              </w:rPr>
              <w:t>≥95</w:t>
            </w:r>
          </w:p>
        </w:tc>
        <w:tc>
          <w:tcPr>
            <w:tcW w:w="1501" w:type="dxa"/>
            <w:noWrap w:val="0"/>
            <w:vAlign w:val="center"/>
          </w:tcPr>
          <w:p>
            <w:pPr>
              <w:adjustRightInd w:val="0"/>
              <w:snapToGrid w:val="0"/>
              <w:jc w:val="center"/>
              <w:rPr>
                <w:rFonts w:eastAsia="方正仿宋简体"/>
                <w:color w:val="000000"/>
                <w:szCs w:val="21"/>
              </w:rPr>
            </w:pPr>
            <w:r>
              <w:rPr>
                <w:rFonts w:eastAsia="方正仿宋简体"/>
                <w:color w:val="000000"/>
                <w:szCs w:val="21"/>
              </w:rPr>
              <w:t>96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25" w:hRule="atLeast"/>
          <w:jc w:val="center"/>
        </w:trPr>
        <w:tc>
          <w:tcPr>
            <w:tcW w:w="706" w:type="dxa"/>
            <w:noWrap w:val="0"/>
            <w:vAlign w:val="center"/>
          </w:tcPr>
          <w:p>
            <w:pPr>
              <w:adjustRightInd w:val="0"/>
              <w:snapToGrid w:val="0"/>
              <w:jc w:val="center"/>
              <w:rPr>
                <w:rFonts w:eastAsia="方正仿宋简体"/>
                <w:color w:val="000000"/>
                <w:szCs w:val="21"/>
              </w:rPr>
            </w:pPr>
            <w:r>
              <w:rPr>
                <w:rFonts w:eastAsia="方正仿宋简体"/>
                <w:color w:val="000000"/>
                <w:szCs w:val="21"/>
              </w:rPr>
              <w:t>22</w:t>
            </w:r>
          </w:p>
        </w:tc>
        <w:tc>
          <w:tcPr>
            <w:tcW w:w="4881" w:type="dxa"/>
            <w:gridSpan w:val="2"/>
            <w:noWrap w:val="0"/>
            <w:vAlign w:val="center"/>
          </w:tcPr>
          <w:p>
            <w:pPr>
              <w:adjustRightInd w:val="0"/>
              <w:snapToGrid w:val="0"/>
              <w:jc w:val="center"/>
              <w:rPr>
                <w:rFonts w:eastAsia="方正仿宋简体"/>
                <w:color w:val="000000"/>
                <w:szCs w:val="21"/>
              </w:rPr>
            </w:pPr>
            <w:r>
              <w:rPr>
                <w:rFonts w:eastAsia="方正仿宋简体"/>
                <w:color w:val="000000"/>
                <w:szCs w:val="21"/>
              </w:rPr>
              <w:t>城乡基本医疗保险覆盖率（%）</w:t>
            </w:r>
          </w:p>
        </w:tc>
        <w:tc>
          <w:tcPr>
            <w:tcW w:w="1543" w:type="dxa"/>
            <w:noWrap w:val="0"/>
            <w:vAlign w:val="center"/>
          </w:tcPr>
          <w:p>
            <w:pPr>
              <w:adjustRightInd w:val="0"/>
              <w:snapToGrid w:val="0"/>
              <w:jc w:val="center"/>
              <w:rPr>
                <w:rFonts w:eastAsia="方正仿宋简体"/>
                <w:color w:val="000000"/>
                <w:szCs w:val="21"/>
              </w:rPr>
            </w:pPr>
            <w:r>
              <w:rPr>
                <w:rFonts w:eastAsia="方正仿宋简体"/>
                <w:color w:val="000000"/>
                <w:szCs w:val="21"/>
              </w:rPr>
              <w:t>≥95</w:t>
            </w:r>
          </w:p>
        </w:tc>
        <w:tc>
          <w:tcPr>
            <w:tcW w:w="1501" w:type="dxa"/>
            <w:noWrap w:val="0"/>
            <w:vAlign w:val="center"/>
          </w:tcPr>
          <w:p>
            <w:pPr>
              <w:adjustRightInd w:val="0"/>
              <w:snapToGrid w:val="0"/>
              <w:jc w:val="center"/>
              <w:rPr>
                <w:rFonts w:eastAsia="方正仿宋简体"/>
                <w:color w:val="000000"/>
                <w:szCs w:val="21"/>
              </w:rPr>
            </w:pPr>
            <w:r>
              <w:rPr>
                <w:rFonts w:eastAsia="方正仿宋简体"/>
                <w:color w:val="000000"/>
                <w:szCs w:val="21"/>
              </w:rPr>
              <w:t>96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25" w:hRule="atLeast"/>
          <w:jc w:val="center"/>
        </w:trPr>
        <w:tc>
          <w:tcPr>
            <w:tcW w:w="706" w:type="dxa"/>
            <w:noWrap w:val="0"/>
            <w:vAlign w:val="center"/>
          </w:tcPr>
          <w:p>
            <w:pPr>
              <w:adjustRightInd w:val="0"/>
              <w:snapToGrid w:val="0"/>
              <w:jc w:val="center"/>
              <w:rPr>
                <w:rFonts w:eastAsia="方正仿宋简体"/>
                <w:color w:val="000000"/>
                <w:szCs w:val="21"/>
              </w:rPr>
            </w:pPr>
            <w:r>
              <w:rPr>
                <w:rFonts w:eastAsia="方正仿宋简体"/>
                <w:color w:val="000000"/>
                <w:szCs w:val="21"/>
              </w:rPr>
              <w:t>23</w:t>
            </w:r>
          </w:p>
        </w:tc>
        <w:tc>
          <w:tcPr>
            <w:tcW w:w="4881" w:type="dxa"/>
            <w:gridSpan w:val="2"/>
            <w:noWrap w:val="0"/>
            <w:vAlign w:val="center"/>
          </w:tcPr>
          <w:p>
            <w:pPr>
              <w:adjustRightInd w:val="0"/>
              <w:snapToGrid w:val="0"/>
              <w:jc w:val="center"/>
              <w:rPr>
                <w:rFonts w:eastAsia="方正仿宋简体"/>
                <w:color w:val="000000"/>
                <w:szCs w:val="21"/>
              </w:rPr>
            </w:pPr>
            <w:r>
              <w:rPr>
                <w:rFonts w:eastAsia="方正仿宋简体"/>
                <w:color w:val="000000"/>
                <w:szCs w:val="21"/>
              </w:rPr>
              <w:t>单位地区生产总值能耗降低（%）</w:t>
            </w:r>
          </w:p>
        </w:tc>
        <w:tc>
          <w:tcPr>
            <w:tcW w:w="1543" w:type="dxa"/>
            <w:noWrap w:val="0"/>
            <w:vAlign w:val="center"/>
          </w:tcPr>
          <w:p>
            <w:pPr>
              <w:adjustRightInd w:val="0"/>
              <w:snapToGrid w:val="0"/>
              <w:jc w:val="center"/>
              <w:rPr>
                <w:rFonts w:eastAsia="方正仿宋简体"/>
                <w:color w:val="000000"/>
                <w:szCs w:val="21"/>
              </w:rPr>
            </w:pPr>
            <w:r>
              <w:rPr>
                <w:rFonts w:eastAsia="方正仿宋简体"/>
                <w:color w:val="000000"/>
                <w:szCs w:val="21"/>
              </w:rPr>
              <w:t>{16}</w:t>
            </w:r>
          </w:p>
        </w:tc>
        <w:tc>
          <w:tcPr>
            <w:tcW w:w="1501" w:type="dxa"/>
            <w:noWrap w:val="0"/>
            <w:vAlign w:val="center"/>
          </w:tcPr>
          <w:p>
            <w:pPr>
              <w:adjustRightInd w:val="0"/>
              <w:snapToGrid w:val="0"/>
              <w:jc w:val="center"/>
              <w:rPr>
                <w:rFonts w:eastAsia="方正仿宋简体"/>
                <w:color w:val="000000"/>
                <w:szCs w:val="21"/>
              </w:rPr>
            </w:pPr>
            <w:r>
              <w:rPr>
                <w:rFonts w:eastAsia="方正仿宋简体"/>
                <w:color w:val="000000"/>
                <w:szCs w:val="21"/>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25" w:hRule="atLeast"/>
          <w:jc w:val="center"/>
        </w:trPr>
        <w:tc>
          <w:tcPr>
            <w:tcW w:w="706" w:type="dxa"/>
            <w:noWrap w:val="0"/>
            <w:vAlign w:val="center"/>
          </w:tcPr>
          <w:p>
            <w:pPr>
              <w:adjustRightInd w:val="0"/>
              <w:snapToGrid w:val="0"/>
              <w:jc w:val="center"/>
              <w:rPr>
                <w:rFonts w:eastAsia="方正仿宋简体"/>
                <w:color w:val="000000"/>
                <w:szCs w:val="21"/>
              </w:rPr>
            </w:pPr>
            <w:r>
              <w:rPr>
                <w:rFonts w:eastAsia="方正仿宋简体"/>
                <w:color w:val="000000"/>
                <w:szCs w:val="21"/>
              </w:rPr>
              <w:t>24</w:t>
            </w:r>
          </w:p>
        </w:tc>
        <w:tc>
          <w:tcPr>
            <w:tcW w:w="4881" w:type="dxa"/>
            <w:gridSpan w:val="2"/>
            <w:noWrap w:val="0"/>
            <w:vAlign w:val="center"/>
          </w:tcPr>
          <w:p>
            <w:pPr>
              <w:adjustRightInd w:val="0"/>
              <w:snapToGrid w:val="0"/>
              <w:jc w:val="center"/>
              <w:rPr>
                <w:rFonts w:eastAsia="方正仿宋简体"/>
                <w:color w:val="000000"/>
                <w:szCs w:val="21"/>
              </w:rPr>
            </w:pPr>
            <w:r>
              <w:rPr>
                <w:rFonts w:eastAsia="方正仿宋简体"/>
                <w:color w:val="000000"/>
                <w:szCs w:val="21"/>
              </w:rPr>
              <w:t>单位地区生产总值二氧化碳排放量（%）</w:t>
            </w:r>
          </w:p>
        </w:tc>
        <w:tc>
          <w:tcPr>
            <w:tcW w:w="1543" w:type="dxa"/>
            <w:noWrap w:val="0"/>
            <w:vAlign w:val="center"/>
          </w:tcPr>
          <w:p>
            <w:pPr>
              <w:adjustRightInd w:val="0"/>
              <w:snapToGrid w:val="0"/>
              <w:jc w:val="center"/>
              <w:rPr>
                <w:rFonts w:eastAsia="方正仿宋简体"/>
                <w:color w:val="000000"/>
                <w:szCs w:val="21"/>
              </w:rPr>
            </w:pPr>
            <w:r>
              <w:rPr>
                <w:rFonts w:eastAsia="方正仿宋简体"/>
                <w:color w:val="000000"/>
                <w:szCs w:val="21"/>
              </w:rPr>
              <w:t>{17}</w:t>
            </w:r>
          </w:p>
        </w:tc>
        <w:tc>
          <w:tcPr>
            <w:tcW w:w="1501" w:type="dxa"/>
            <w:noWrap w:val="0"/>
            <w:vAlign w:val="center"/>
          </w:tcPr>
          <w:p>
            <w:pPr>
              <w:adjustRightInd w:val="0"/>
              <w:snapToGrid w:val="0"/>
              <w:jc w:val="center"/>
              <w:rPr>
                <w:rFonts w:eastAsia="方正仿宋简体"/>
                <w:color w:val="000000"/>
                <w:szCs w:val="21"/>
              </w:rPr>
            </w:pPr>
            <w:r>
              <w:rPr>
                <w:rFonts w:eastAsia="方正仿宋简体"/>
                <w:color w:val="000000"/>
                <w:szCs w:val="21"/>
              </w:rPr>
              <w:t>{17}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25" w:hRule="atLeast"/>
          <w:jc w:val="center"/>
        </w:trPr>
        <w:tc>
          <w:tcPr>
            <w:tcW w:w="706" w:type="dxa"/>
            <w:noWrap w:val="0"/>
            <w:vAlign w:val="center"/>
          </w:tcPr>
          <w:p>
            <w:pPr>
              <w:adjustRightInd w:val="0"/>
              <w:snapToGrid w:val="0"/>
              <w:jc w:val="center"/>
              <w:rPr>
                <w:rFonts w:eastAsia="方正仿宋简体"/>
                <w:color w:val="000000"/>
                <w:szCs w:val="21"/>
              </w:rPr>
            </w:pPr>
            <w:r>
              <w:rPr>
                <w:rFonts w:eastAsia="方正仿宋简体"/>
                <w:color w:val="000000"/>
                <w:szCs w:val="21"/>
              </w:rPr>
              <w:t>25</w:t>
            </w:r>
          </w:p>
        </w:tc>
        <w:tc>
          <w:tcPr>
            <w:tcW w:w="2820" w:type="dxa"/>
            <w:vMerge w:val="restart"/>
            <w:noWrap w:val="0"/>
            <w:vAlign w:val="center"/>
          </w:tcPr>
          <w:p>
            <w:pPr>
              <w:adjustRightInd w:val="0"/>
              <w:snapToGrid w:val="0"/>
              <w:jc w:val="center"/>
              <w:rPr>
                <w:rFonts w:eastAsia="方正仿宋简体"/>
                <w:color w:val="000000"/>
                <w:szCs w:val="21"/>
              </w:rPr>
            </w:pPr>
            <w:r>
              <w:rPr>
                <w:rFonts w:eastAsia="方正仿宋简体"/>
                <w:color w:val="000000"/>
                <w:szCs w:val="21"/>
              </w:rPr>
              <w:t>主要污染物</w:t>
            </w:r>
          </w:p>
          <w:p>
            <w:pPr>
              <w:adjustRightInd w:val="0"/>
              <w:snapToGrid w:val="0"/>
              <w:jc w:val="center"/>
              <w:rPr>
                <w:rFonts w:eastAsia="方正仿宋简体"/>
                <w:color w:val="000000"/>
                <w:szCs w:val="21"/>
              </w:rPr>
            </w:pPr>
            <w:r>
              <w:rPr>
                <w:rFonts w:eastAsia="方正仿宋简体"/>
                <w:color w:val="000000"/>
                <w:szCs w:val="21"/>
              </w:rPr>
              <w:t>排放累计减少（%）</w:t>
            </w:r>
          </w:p>
        </w:tc>
        <w:tc>
          <w:tcPr>
            <w:tcW w:w="2061" w:type="dxa"/>
            <w:noWrap w:val="0"/>
            <w:vAlign w:val="center"/>
          </w:tcPr>
          <w:p>
            <w:pPr>
              <w:adjustRightInd w:val="0"/>
              <w:snapToGrid w:val="0"/>
              <w:jc w:val="center"/>
              <w:rPr>
                <w:rFonts w:eastAsia="方正仿宋简体"/>
                <w:color w:val="000000"/>
                <w:szCs w:val="21"/>
              </w:rPr>
            </w:pPr>
            <w:r>
              <w:rPr>
                <w:rFonts w:eastAsia="方正仿宋简体"/>
                <w:color w:val="000000"/>
                <w:szCs w:val="21"/>
              </w:rPr>
              <w:t>化学需氧量</w:t>
            </w:r>
          </w:p>
        </w:tc>
        <w:tc>
          <w:tcPr>
            <w:tcW w:w="1543" w:type="dxa"/>
            <w:noWrap w:val="0"/>
            <w:vAlign w:val="center"/>
          </w:tcPr>
          <w:p>
            <w:pPr>
              <w:adjustRightInd w:val="0"/>
              <w:snapToGrid w:val="0"/>
              <w:jc w:val="center"/>
              <w:rPr>
                <w:rFonts w:eastAsia="方正仿宋简体"/>
                <w:color w:val="000000"/>
                <w:szCs w:val="21"/>
              </w:rPr>
            </w:pPr>
            <w:r>
              <w:rPr>
                <w:rFonts w:eastAsia="方正仿宋简体"/>
                <w:color w:val="000000"/>
                <w:szCs w:val="21"/>
              </w:rPr>
              <w:t>{14.05}</w:t>
            </w:r>
          </w:p>
        </w:tc>
        <w:tc>
          <w:tcPr>
            <w:tcW w:w="1501" w:type="dxa"/>
            <w:noWrap w:val="0"/>
            <w:vAlign w:val="center"/>
          </w:tcPr>
          <w:p>
            <w:pPr>
              <w:adjustRightInd w:val="0"/>
              <w:snapToGrid w:val="0"/>
              <w:jc w:val="center"/>
              <w:rPr>
                <w:rFonts w:eastAsia="方正仿宋简体"/>
                <w:color w:val="000000"/>
                <w:szCs w:val="21"/>
              </w:rPr>
            </w:pPr>
            <w:r>
              <w:rPr>
                <w:rFonts w:eastAsia="方正仿宋简体"/>
                <w:color w:val="000000"/>
                <w:szCs w:val="21"/>
              </w:rPr>
              <w:t>{20.72}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25" w:hRule="atLeast"/>
          <w:jc w:val="center"/>
        </w:trPr>
        <w:tc>
          <w:tcPr>
            <w:tcW w:w="706" w:type="dxa"/>
            <w:noWrap w:val="0"/>
            <w:vAlign w:val="center"/>
          </w:tcPr>
          <w:p>
            <w:pPr>
              <w:adjustRightInd w:val="0"/>
              <w:snapToGrid w:val="0"/>
              <w:jc w:val="center"/>
              <w:rPr>
                <w:rFonts w:eastAsia="方正仿宋简体"/>
                <w:color w:val="000000"/>
                <w:szCs w:val="21"/>
              </w:rPr>
            </w:pPr>
            <w:r>
              <w:rPr>
                <w:rFonts w:eastAsia="方正仿宋简体"/>
                <w:color w:val="000000"/>
                <w:szCs w:val="21"/>
              </w:rPr>
              <w:t>26</w:t>
            </w:r>
          </w:p>
        </w:tc>
        <w:tc>
          <w:tcPr>
            <w:tcW w:w="2820" w:type="dxa"/>
            <w:vMerge w:val="continue"/>
            <w:noWrap w:val="0"/>
            <w:vAlign w:val="center"/>
          </w:tcPr>
          <w:p>
            <w:pPr>
              <w:adjustRightInd w:val="0"/>
              <w:snapToGrid w:val="0"/>
              <w:jc w:val="center"/>
              <w:rPr>
                <w:rFonts w:eastAsia="方正仿宋简体"/>
                <w:color w:val="000000"/>
                <w:szCs w:val="21"/>
              </w:rPr>
            </w:pPr>
          </w:p>
        </w:tc>
        <w:tc>
          <w:tcPr>
            <w:tcW w:w="2061" w:type="dxa"/>
            <w:noWrap w:val="0"/>
            <w:vAlign w:val="center"/>
          </w:tcPr>
          <w:p>
            <w:pPr>
              <w:adjustRightInd w:val="0"/>
              <w:snapToGrid w:val="0"/>
              <w:jc w:val="center"/>
              <w:rPr>
                <w:rFonts w:eastAsia="方正仿宋简体"/>
                <w:color w:val="000000"/>
                <w:szCs w:val="21"/>
              </w:rPr>
            </w:pPr>
            <w:r>
              <w:rPr>
                <w:rFonts w:eastAsia="方正仿宋简体"/>
                <w:color w:val="000000"/>
                <w:szCs w:val="21"/>
              </w:rPr>
              <w:t>二氧化硫</w:t>
            </w:r>
          </w:p>
        </w:tc>
        <w:tc>
          <w:tcPr>
            <w:tcW w:w="1543" w:type="dxa"/>
            <w:noWrap w:val="0"/>
            <w:vAlign w:val="center"/>
          </w:tcPr>
          <w:p>
            <w:pPr>
              <w:adjustRightInd w:val="0"/>
              <w:snapToGrid w:val="0"/>
              <w:jc w:val="center"/>
              <w:rPr>
                <w:rFonts w:eastAsia="方正仿宋简体"/>
                <w:color w:val="000000"/>
                <w:szCs w:val="21"/>
              </w:rPr>
            </w:pPr>
            <w:r>
              <w:rPr>
                <w:rFonts w:eastAsia="方正仿宋简体"/>
                <w:color w:val="000000"/>
                <w:szCs w:val="21"/>
              </w:rPr>
              <w:t>{4.61}</w:t>
            </w:r>
          </w:p>
        </w:tc>
        <w:tc>
          <w:tcPr>
            <w:tcW w:w="1501" w:type="dxa"/>
            <w:noWrap w:val="0"/>
            <w:vAlign w:val="center"/>
          </w:tcPr>
          <w:p>
            <w:pPr>
              <w:adjustRightInd w:val="0"/>
              <w:snapToGrid w:val="0"/>
              <w:jc w:val="center"/>
              <w:rPr>
                <w:rFonts w:eastAsia="方正仿宋简体"/>
                <w:color w:val="000000"/>
                <w:szCs w:val="21"/>
              </w:rPr>
            </w:pPr>
            <w:r>
              <w:rPr>
                <w:rFonts w:eastAsia="方正仿宋简体"/>
                <w:color w:val="000000"/>
                <w:szCs w:val="21"/>
              </w:rPr>
              <w:t>{30.28}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25" w:hRule="atLeast"/>
          <w:jc w:val="center"/>
        </w:trPr>
        <w:tc>
          <w:tcPr>
            <w:tcW w:w="706" w:type="dxa"/>
            <w:noWrap w:val="0"/>
            <w:vAlign w:val="center"/>
          </w:tcPr>
          <w:p>
            <w:pPr>
              <w:adjustRightInd w:val="0"/>
              <w:snapToGrid w:val="0"/>
              <w:jc w:val="center"/>
              <w:rPr>
                <w:rFonts w:eastAsia="方正仿宋简体"/>
                <w:color w:val="000000"/>
                <w:szCs w:val="21"/>
              </w:rPr>
            </w:pPr>
            <w:r>
              <w:rPr>
                <w:rFonts w:eastAsia="方正仿宋简体"/>
                <w:color w:val="000000"/>
                <w:szCs w:val="21"/>
              </w:rPr>
              <w:t>27</w:t>
            </w:r>
          </w:p>
        </w:tc>
        <w:tc>
          <w:tcPr>
            <w:tcW w:w="2820" w:type="dxa"/>
            <w:vMerge w:val="continue"/>
            <w:noWrap w:val="0"/>
            <w:vAlign w:val="center"/>
          </w:tcPr>
          <w:p>
            <w:pPr>
              <w:adjustRightInd w:val="0"/>
              <w:snapToGrid w:val="0"/>
              <w:jc w:val="center"/>
              <w:rPr>
                <w:rFonts w:eastAsia="方正仿宋简体"/>
                <w:color w:val="000000"/>
                <w:szCs w:val="21"/>
              </w:rPr>
            </w:pPr>
          </w:p>
        </w:tc>
        <w:tc>
          <w:tcPr>
            <w:tcW w:w="2061" w:type="dxa"/>
            <w:noWrap w:val="0"/>
            <w:vAlign w:val="center"/>
          </w:tcPr>
          <w:p>
            <w:pPr>
              <w:adjustRightInd w:val="0"/>
              <w:snapToGrid w:val="0"/>
              <w:jc w:val="center"/>
              <w:rPr>
                <w:rFonts w:eastAsia="方正仿宋简体"/>
                <w:color w:val="000000"/>
                <w:szCs w:val="21"/>
              </w:rPr>
            </w:pPr>
            <w:r>
              <w:rPr>
                <w:rFonts w:eastAsia="方正仿宋简体"/>
                <w:color w:val="000000"/>
                <w:szCs w:val="21"/>
              </w:rPr>
              <w:t>氨氮</w:t>
            </w:r>
          </w:p>
        </w:tc>
        <w:tc>
          <w:tcPr>
            <w:tcW w:w="1543" w:type="dxa"/>
            <w:noWrap w:val="0"/>
            <w:vAlign w:val="center"/>
          </w:tcPr>
          <w:p>
            <w:pPr>
              <w:adjustRightInd w:val="0"/>
              <w:snapToGrid w:val="0"/>
              <w:jc w:val="center"/>
              <w:rPr>
                <w:rFonts w:eastAsia="方正仿宋简体"/>
                <w:color w:val="000000"/>
                <w:szCs w:val="21"/>
              </w:rPr>
            </w:pPr>
            <w:r>
              <w:rPr>
                <w:rFonts w:eastAsia="方正仿宋简体"/>
                <w:color w:val="000000"/>
                <w:szCs w:val="21"/>
              </w:rPr>
              <w:t>{14.85}</w:t>
            </w:r>
          </w:p>
        </w:tc>
        <w:tc>
          <w:tcPr>
            <w:tcW w:w="1501" w:type="dxa"/>
            <w:noWrap w:val="0"/>
            <w:vAlign w:val="center"/>
          </w:tcPr>
          <w:p>
            <w:pPr>
              <w:adjustRightInd w:val="0"/>
              <w:snapToGrid w:val="0"/>
              <w:jc w:val="center"/>
              <w:rPr>
                <w:rFonts w:eastAsia="方正仿宋简体"/>
                <w:color w:val="000000"/>
                <w:szCs w:val="21"/>
              </w:rPr>
            </w:pPr>
            <w:r>
              <w:rPr>
                <w:rFonts w:eastAsia="方正仿宋简体"/>
                <w:color w:val="000000"/>
                <w:szCs w:val="21"/>
              </w:rPr>
              <w:t>{15.14}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25" w:hRule="atLeast"/>
          <w:jc w:val="center"/>
        </w:trPr>
        <w:tc>
          <w:tcPr>
            <w:tcW w:w="706" w:type="dxa"/>
            <w:noWrap w:val="0"/>
            <w:vAlign w:val="center"/>
          </w:tcPr>
          <w:p>
            <w:pPr>
              <w:adjustRightInd w:val="0"/>
              <w:snapToGrid w:val="0"/>
              <w:jc w:val="center"/>
              <w:rPr>
                <w:rFonts w:eastAsia="方正仿宋简体"/>
                <w:color w:val="000000"/>
                <w:szCs w:val="21"/>
              </w:rPr>
            </w:pPr>
            <w:r>
              <w:rPr>
                <w:rFonts w:eastAsia="方正仿宋简体"/>
                <w:color w:val="000000"/>
                <w:szCs w:val="21"/>
              </w:rPr>
              <w:t>28</w:t>
            </w:r>
          </w:p>
        </w:tc>
        <w:tc>
          <w:tcPr>
            <w:tcW w:w="2820" w:type="dxa"/>
            <w:vMerge w:val="continue"/>
            <w:noWrap w:val="0"/>
            <w:vAlign w:val="center"/>
          </w:tcPr>
          <w:p>
            <w:pPr>
              <w:adjustRightInd w:val="0"/>
              <w:snapToGrid w:val="0"/>
              <w:jc w:val="center"/>
              <w:rPr>
                <w:rFonts w:eastAsia="方正仿宋简体"/>
                <w:color w:val="000000"/>
                <w:szCs w:val="21"/>
              </w:rPr>
            </w:pPr>
          </w:p>
        </w:tc>
        <w:tc>
          <w:tcPr>
            <w:tcW w:w="2061" w:type="dxa"/>
            <w:noWrap w:val="0"/>
            <w:vAlign w:val="center"/>
          </w:tcPr>
          <w:p>
            <w:pPr>
              <w:adjustRightInd w:val="0"/>
              <w:snapToGrid w:val="0"/>
              <w:jc w:val="center"/>
              <w:rPr>
                <w:rFonts w:eastAsia="方正仿宋简体"/>
                <w:color w:val="000000"/>
                <w:szCs w:val="21"/>
              </w:rPr>
            </w:pPr>
            <w:r>
              <w:rPr>
                <w:rFonts w:eastAsia="方正仿宋简体"/>
                <w:color w:val="000000"/>
                <w:szCs w:val="21"/>
              </w:rPr>
              <w:t>氮氧化物</w:t>
            </w:r>
          </w:p>
        </w:tc>
        <w:tc>
          <w:tcPr>
            <w:tcW w:w="1543" w:type="dxa"/>
            <w:noWrap w:val="0"/>
            <w:vAlign w:val="center"/>
          </w:tcPr>
          <w:p>
            <w:pPr>
              <w:adjustRightInd w:val="0"/>
              <w:snapToGrid w:val="0"/>
              <w:jc w:val="center"/>
              <w:rPr>
                <w:rFonts w:eastAsia="方正仿宋简体"/>
                <w:color w:val="000000"/>
                <w:szCs w:val="21"/>
              </w:rPr>
            </w:pPr>
            <w:r>
              <w:rPr>
                <w:rFonts w:eastAsia="方正仿宋简体"/>
                <w:color w:val="000000"/>
                <w:szCs w:val="21"/>
              </w:rPr>
              <w:t>{3.85}</w:t>
            </w:r>
          </w:p>
        </w:tc>
        <w:tc>
          <w:tcPr>
            <w:tcW w:w="1501" w:type="dxa"/>
            <w:noWrap w:val="0"/>
            <w:vAlign w:val="center"/>
          </w:tcPr>
          <w:p>
            <w:pPr>
              <w:adjustRightInd w:val="0"/>
              <w:snapToGrid w:val="0"/>
              <w:jc w:val="center"/>
              <w:rPr>
                <w:rFonts w:eastAsia="方正仿宋简体"/>
                <w:color w:val="000000"/>
                <w:szCs w:val="21"/>
              </w:rPr>
            </w:pPr>
            <w:r>
              <w:rPr>
                <w:rFonts w:eastAsia="方正仿宋简体"/>
                <w:color w:val="000000"/>
                <w:szCs w:val="21"/>
              </w:rPr>
              <w:t>{7.82}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25" w:hRule="atLeast"/>
          <w:jc w:val="center"/>
        </w:trPr>
        <w:tc>
          <w:tcPr>
            <w:tcW w:w="706" w:type="dxa"/>
            <w:noWrap w:val="0"/>
            <w:vAlign w:val="center"/>
          </w:tcPr>
          <w:p>
            <w:pPr>
              <w:adjustRightInd w:val="0"/>
              <w:snapToGrid w:val="0"/>
              <w:jc w:val="center"/>
              <w:rPr>
                <w:rFonts w:eastAsia="方正仿宋简体"/>
                <w:color w:val="000000"/>
                <w:szCs w:val="21"/>
              </w:rPr>
            </w:pPr>
            <w:r>
              <w:rPr>
                <w:rFonts w:eastAsia="方正仿宋简体"/>
                <w:color w:val="000000"/>
                <w:szCs w:val="21"/>
              </w:rPr>
              <w:t>29</w:t>
            </w:r>
          </w:p>
        </w:tc>
        <w:tc>
          <w:tcPr>
            <w:tcW w:w="4881" w:type="dxa"/>
            <w:gridSpan w:val="2"/>
            <w:noWrap w:val="0"/>
            <w:vAlign w:val="center"/>
          </w:tcPr>
          <w:p>
            <w:pPr>
              <w:adjustRightInd w:val="0"/>
              <w:snapToGrid w:val="0"/>
              <w:jc w:val="center"/>
              <w:rPr>
                <w:rFonts w:eastAsia="方正仿宋简体"/>
                <w:color w:val="000000"/>
                <w:szCs w:val="21"/>
              </w:rPr>
            </w:pPr>
            <w:r>
              <w:rPr>
                <w:rFonts w:eastAsia="方正仿宋简体"/>
                <w:color w:val="000000"/>
                <w:szCs w:val="21"/>
              </w:rPr>
              <w:t>城市空气质量优良率（%）</w:t>
            </w:r>
          </w:p>
        </w:tc>
        <w:tc>
          <w:tcPr>
            <w:tcW w:w="1543" w:type="dxa"/>
            <w:noWrap w:val="0"/>
            <w:vAlign w:val="center"/>
          </w:tcPr>
          <w:p>
            <w:pPr>
              <w:adjustRightInd w:val="0"/>
              <w:snapToGrid w:val="0"/>
              <w:jc w:val="center"/>
              <w:rPr>
                <w:rFonts w:eastAsia="方正仿宋简体"/>
                <w:color w:val="000000"/>
                <w:szCs w:val="21"/>
              </w:rPr>
            </w:pPr>
            <w:r>
              <w:rPr>
                <w:rFonts w:eastAsia="方正仿宋简体"/>
                <w:color w:val="000000"/>
                <w:szCs w:val="21"/>
              </w:rPr>
              <w:t>≥92（旧标准）</w:t>
            </w:r>
          </w:p>
        </w:tc>
        <w:tc>
          <w:tcPr>
            <w:tcW w:w="1501" w:type="dxa"/>
            <w:noWrap w:val="0"/>
            <w:vAlign w:val="center"/>
          </w:tcPr>
          <w:p>
            <w:pPr>
              <w:adjustRightInd w:val="0"/>
              <w:snapToGrid w:val="0"/>
              <w:jc w:val="center"/>
              <w:rPr>
                <w:rFonts w:eastAsia="方正仿宋简体"/>
                <w:color w:val="000000"/>
                <w:szCs w:val="21"/>
              </w:rPr>
            </w:pPr>
            <w:r>
              <w:rPr>
                <w:rFonts w:eastAsia="方正仿宋简体"/>
                <w:color w:val="000000"/>
                <w:szCs w:val="21"/>
              </w:rPr>
              <w:t>94（旧标准）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25" w:hRule="atLeast"/>
          <w:jc w:val="center"/>
        </w:trPr>
        <w:tc>
          <w:tcPr>
            <w:tcW w:w="706" w:type="dxa"/>
            <w:noWrap w:val="0"/>
            <w:vAlign w:val="center"/>
          </w:tcPr>
          <w:p>
            <w:pPr>
              <w:adjustRightInd w:val="0"/>
              <w:snapToGrid w:val="0"/>
              <w:jc w:val="center"/>
              <w:rPr>
                <w:rFonts w:eastAsia="方正仿宋简体"/>
                <w:color w:val="000000"/>
                <w:szCs w:val="21"/>
              </w:rPr>
            </w:pPr>
            <w:r>
              <w:rPr>
                <w:rFonts w:eastAsia="方正仿宋简体"/>
                <w:color w:val="000000"/>
                <w:szCs w:val="21"/>
              </w:rPr>
              <w:t>30</w:t>
            </w:r>
          </w:p>
        </w:tc>
        <w:tc>
          <w:tcPr>
            <w:tcW w:w="4881" w:type="dxa"/>
            <w:gridSpan w:val="2"/>
            <w:noWrap w:val="0"/>
            <w:vAlign w:val="center"/>
          </w:tcPr>
          <w:p>
            <w:pPr>
              <w:adjustRightInd w:val="0"/>
              <w:snapToGrid w:val="0"/>
              <w:jc w:val="center"/>
              <w:rPr>
                <w:rFonts w:eastAsia="方正仿宋简体"/>
                <w:color w:val="000000"/>
                <w:szCs w:val="21"/>
              </w:rPr>
            </w:pPr>
            <w:r>
              <w:rPr>
                <w:rFonts w:eastAsia="方正仿宋简体"/>
                <w:color w:val="000000"/>
                <w:szCs w:val="21"/>
              </w:rPr>
              <w:t>城市污水处理率（%）</w:t>
            </w:r>
          </w:p>
        </w:tc>
        <w:tc>
          <w:tcPr>
            <w:tcW w:w="1543" w:type="dxa"/>
            <w:noWrap w:val="0"/>
            <w:vAlign w:val="center"/>
          </w:tcPr>
          <w:p>
            <w:pPr>
              <w:adjustRightInd w:val="0"/>
              <w:snapToGrid w:val="0"/>
              <w:jc w:val="center"/>
              <w:rPr>
                <w:rFonts w:eastAsia="方正仿宋简体"/>
                <w:color w:val="000000"/>
                <w:szCs w:val="21"/>
              </w:rPr>
            </w:pPr>
            <w:r>
              <w:rPr>
                <w:rFonts w:eastAsia="方正仿宋简体"/>
                <w:color w:val="000000"/>
                <w:szCs w:val="21"/>
              </w:rPr>
              <w:t>95</w:t>
            </w:r>
          </w:p>
        </w:tc>
        <w:tc>
          <w:tcPr>
            <w:tcW w:w="1501" w:type="dxa"/>
            <w:noWrap w:val="0"/>
            <w:vAlign w:val="center"/>
          </w:tcPr>
          <w:p>
            <w:pPr>
              <w:adjustRightInd w:val="0"/>
              <w:snapToGrid w:val="0"/>
              <w:jc w:val="center"/>
              <w:rPr>
                <w:rFonts w:eastAsia="方正仿宋简体"/>
                <w:color w:val="000000"/>
                <w:szCs w:val="21"/>
              </w:rPr>
            </w:pPr>
            <w:r>
              <w:rPr>
                <w:rFonts w:eastAsia="方正仿宋简体"/>
                <w:color w:val="000000"/>
                <w:szCs w:val="21"/>
              </w:rPr>
              <w:t>96.9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25" w:hRule="atLeast"/>
          <w:jc w:val="center"/>
        </w:trPr>
        <w:tc>
          <w:tcPr>
            <w:tcW w:w="706" w:type="dxa"/>
            <w:noWrap w:val="0"/>
            <w:vAlign w:val="center"/>
          </w:tcPr>
          <w:p>
            <w:pPr>
              <w:adjustRightInd w:val="0"/>
              <w:snapToGrid w:val="0"/>
              <w:jc w:val="center"/>
              <w:rPr>
                <w:rFonts w:eastAsia="方正仿宋简体"/>
                <w:color w:val="000000"/>
                <w:szCs w:val="21"/>
              </w:rPr>
            </w:pPr>
            <w:r>
              <w:rPr>
                <w:rFonts w:eastAsia="方正仿宋简体"/>
                <w:color w:val="000000"/>
                <w:szCs w:val="21"/>
              </w:rPr>
              <w:t>31</w:t>
            </w:r>
          </w:p>
        </w:tc>
        <w:tc>
          <w:tcPr>
            <w:tcW w:w="4881" w:type="dxa"/>
            <w:gridSpan w:val="2"/>
            <w:noWrap w:val="0"/>
            <w:vAlign w:val="center"/>
          </w:tcPr>
          <w:p>
            <w:pPr>
              <w:adjustRightInd w:val="0"/>
              <w:snapToGrid w:val="0"/>
              <w:jc w:val="center"/>
              <w:rPr>
                <w:rFonts w:eastAsia="方正仿宋简体"/>
                <w:color w:val="000000"/>
                <w:szCs w:val="21"/>
              </w:rPr>
            </w:pPr>
            <w:r>
              <w:rPr>
                <w:rFonts w:eastAsia="方正仿宋简体"/>
                <w:color w:val="000000"/>
                <w:szCs w:val="21"/>
              </w:rPr>
              <w:t>建成区绿化覆盖率（%）</w:t>
            </w:r>
          </w:p>
        </w:tc>
        <w:tc>
          <w:tcPr>
            <w:tcW w:w="1543" w:type="dxa"/>
            <w:noWrap w:val="0"/>
            <w:vAlign w:val="center"/>
          </w:tcPr>
          <w:p>
            <w:pPr>
              <w:adjustRightInd w:val="0"/>
              <w:snapToGrid w:val="0"/>
              <w:jc w:val="center"/>
              <w:rPr>
                <w:rFonts w:eastAsia="方正仿宋简体"/>
                <w:color w:val="000000"/>
                <w:szCs w:val="21"/>
              </w:rPr>
            </w:pPr>
            <w:r>
              <w:rPr>
                <w:rFonts w:eastAsia="方正仿宋简体"/>
                <w:color w:val="000000"/>
                <w:szCs w:val="21"/>
              </w:rPr>
              <w:t>40</w:t>
            </w:r>
          </w:p>
        </w:tc>
        <w:tc>
          <w:tcPr>
            <w:tcW w:w="1501" w:type="dxa"/>
            <w:noWrap w:val="0"/>
            <w:vAlign w:val="center"/>
          </w:tcPr>
          <w:p>
            <w:pPr>
              <w:adjustRightInd w:val="0"/>
              <w:snapToGrid w:val="0"/>
              <w:jc w:val="center"/>
              <w:rPr>
                <w:rFonts w:eastAsia="方正仿宋简体"/>
                <w:color w:val="000000"/>
                <w:szCs w:val="21"/>
              </w:rPr>
            </w:pPr>
            <w:r>
              <w:rPr>
                <w:rFonts w:eastAsia="方正仿宋简体"/>
                <w:color w:val="000000"/>
                <w:szCs w:val="21"/>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25" w:hRule="atLeast"/>
          <w:jc w:val="center"/>
        </w:trPr>
        <w:tc>
          <w:tcPr>
            <w:tcW w:w="706" w:type="dxa"/>
            <w:noWrap w:val="0"/>
            <w:vAlign w:val="center"/>
          </w:tcPr>
          <w:p>
            <w:pPr>
              <w:adjustRightInd w:val="0"/>
              <w:snapToGrid w:val="0"/>
              <w:jc w:val="center"/>
              <w:rPr>
                <w:rFonts w:eastAsia="方正仿宋简体"/>
                <w:color w:val="000000"/>
                <w:szCs w:val="21"/>
              </w:rPr>
            </w:pPr>
            <w:r>
              <w:rPr>
                <w:rFonts w:eastAsia="方正仿宋简体"/>
                <w:color w:val="000000"/>
                <w:szCs w:val="21"/>
              </w:rPr>
              <w:t>32</w:t>
            </w:r>
          </w:p>
        </w:tc>
        <w:tc>
          <w:tcPr>
            <w:tcW w:w="4881" w:type="dxa"/>
            <w:gridSpan w:val="2"/>
            <w:noWrap w:val="0"/>
            <w:vAlign w:val="center"/>
          </w:tcPr>
          <w:p>
            <w:pPr>
              <w:adjustRightInd w:val="0"/>
              <w:snapToGrid w:val="0"/>
              <w:jc w:val="center"/>
              <w:rPr>
                <w:rFonts w:eastAsia="方正仿宋简体"/>
                <w:color w:val="000000"/>
                <w:szCs w:val="21"/>
              </w:rPr>
            </w:pPr>
            <w:r>
              <w:rPr>
                <w:rFonts w:eastAsia="方正仿宋简体"/>
                <w:color w:val="000000"/>
                <w:szCs w:val="21"/>
              </w:rPr>
              <w:t>森林覆盖率（%）</w:t>
            </w:r>
          </w:p>
        </w:tc>
        <w:tc>
          <w:tcPr>
            <w:tcW w:w="1543" w:type="dxa"/>
            <w:noWrap w:val="0"/>
            <w:vAlign w:val="center"/>
          </w:tcPr>
          <w:p>
            <w:pPr>
              <w:adjustRightInd w:val="0"/>
              <w:snapToGrid w:val="0"/>
              <w:jc w:val="center"/>
              <w:rPr>
                <w:rFonts w:eastAsia="方正仿宋简体"/>
                <w:color w:val="000000"/>
                <w:szCs w:val="21"/>
              </w:rPr>
            </w:pPr>
            <w:r>
              <w:rPr>
                <w:rFonts w:eastAsia="方正仿宋简体"/>
                <w:color w:val="000000"/>
                <w:szCs w:val="21"/>
              </w:rPr>
              <w:t>≥53.5</w:t>
            </w:r>
          </w:p>
        </w:tc>
        <w:tc>
          <w:tcPr>
            <w:tcW w:w="1501" w:type="dxa"/>
            <w:noWrap w:val="0"/>
            <w:vAlign w:val="center"/>
          </w:tcPr>
          <w:p>
            <w:pPr>
              <w:adjustRightInd w:val="0"/>
              <w:snapToGrid w:val="0"/>
              <w:jc w:val="center"/>
              <w:rPr>
                <w:rFonts w:eastAsia="方正仿宋简体"/>
                <w:color w:val="000000"/>
                <w:szCs w:val="21"/>
              </w:rPr>
            </w:pPr>
            <w:r>
              <w:rPr>
                <w:rFonts w:eastAsia="方正仿宋简体"/>
                <w:color w:val="000000"/>
                <w:szCs w:val="21"/>
              </w:rPr>
              <w:t>54.8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25" w:hRule="atLeast"/>
          <w:jc w:val="center"/>
        </w:trPr>
        <w:tc>
          <w:tcPr>
            <w:tcW w:w="706" w:type="dxa"/>
            <w:noWrap w:val="0"/>
            <w:vAlign w:val="center"/>
          </w:tcPr>
          <w:p>
            <w:pPr>
              <w:adjustRightInd w:val="0"/>
              <w:snapToGrid w:val="0"/>
              <w:jc w:val="center"/>
              <w:rPr>
                <w:rFonts w:eastAsia="方正仿宋简体"/>
                <w:color w:val="000000"/>
                <w:szCs w:val="21"/>
              </w:rPr>
            </w:pPr>
            <w:r>
              <w:rPr>
                <w:rFonts w:eastAsia="方正仿宋简体"/>
                <w:color w:val="000000"/>
                <w:szCs w:val="21"/>
              </w:rPr>
              <w:t>33</w:t>
            </w:r>
          </w:p>
        </w:tc>
        <w:tc>
          <w:tcPr>
            <w:tcW w:w="4881" w:type="dxa"/>
            <w:gridSpan w:val="2"/>
            <w:noWrap w:val="0"/>
            <w:vAlign w:val="center"/>
          </w:tcPr>
          <w:p>
            <w:pPr>
              <w:adjustRightInd w:val="0"/>
              <w:snapToGrid w:val="0"/>
              <w:jc w:val="center"/>
              <w:rPr>
                <w:rFonts w:eastAsia="方正仿宋简体"/>
                <w:color w:val="000000"/>
                <w:szCs w:val="21"/>
              </w:rPr>
            </w:pPr>
            <w:r>
              <w:rPr>
                <w:rFonts w:eastAsia="方正仿宋简体"/>
                <w:color w:val="000000"/>
                <w:szCs w:val="21"/>
              </w:rPr>
              <w:t>乡镇集镇污水处理率（%）</w:t>
            </w:r>
          </w:p>
        </w:tc>
        <w:tc>
          <w:tcPr>
            <w:tcW w:w="1543" w:type="dxa"/>
            <w:noWrap w:val="0"/>
            <w:vAlign w:val="center"/>
          </w:tcPr>
          <w:p>
            <w:pPr>
              <w:adjustRightInd w:val="0"/>
              <w:snapToGrid w:val="0"/>
              <w:jc w:val="center"/>
              <w:rPr>
                <w:rFonts w:eastAsia="方正仿宋简体"/>
                <w:color w:val="000000"/>
                <w:szCs w:val="21"/>
              </w:rPr>
            </w:pPr>
            <w:r>
              <w:rPr>
                <w:rFonts w:eastAsia="方正仿宋简体"/>
                <w:color w:val="000000"/>
                <w:szCs w:val="21"/>
              </w:rPr>
              <w:t>80</w:t>
            </w:r>
          </w:p>
        </w:tc>
        <w:tc>
          <w:tcPr>
            <w:tcW w:w="1501" w:type="dxa"/>
            <w:noWrap w:val="0"/>
            <w:vAlign w:val="center"/>
          </w:tcPr>
          <w:p>
            <w:pPr>
              <w:adjustRightInd w:val="0"/>
              <w:snapToGrid w:val="0"/>
              <w:jc w:val="center"/>
              <w:rPr>
                <w:rFonts w:eastAsia="方正仿宋简体"/>
                <w:color w:val="000000"/>
                <w:szCs w:val="21"/>
              </w:rPr>
            </w:pPr>
            <w:r>
              <w:rPr>
                <w:rFonts w:eastAsia="方正仿宋简体"/>
                <w:color w:val="000000"/>
                <w:szCs w:val="21"/>
              </w:rPr>
              <w:t>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25" w:hRule="atLeast"/>
          <w:jc w:val="center"/>
        </w:trPr>
        <w:tc>
          <w:tcPr>
            <w:tcW w:w="706" w:type="dxa"/>
            <w:noWrap w:val="0"/>
            <w:vAlign w:val="center"/>
          </w:tcPr>
          <w:p>
            <w:pPr>
              <w:adjustRightInd w:val="0"/>
              <w:snapToGrid w:val="0"/>
              <w:jc w:val="center"/>
              <w:rPr>
                <w:rFonts w:eastAsia="方正仿宋简体"/>
                <w:color w:val="000000"/>
                <w:szCs w:val="21"/>
              </w:rPr>
            </w:pPr>
            <w:r>
              <w:rPr>
                <w:rFonts w:eastAsia="方正仿宋简体"/>
                <w:color w:val="000000"/>
                <w:szCs w:val="21"/>
              </w:rPr>
              <w:t>34</w:t>
            </w:r>
          </w:p>
        </w:tc>
        <w:tc>
          <w:tcPr>
            <w:tcW w:w="4881" w:type="dxa"/>
            <w:gridSpan w:val="2"/>
            <w:noWrap w:val="0"/>
            <w:vAlign w:val="center"/>
          </w:tcPr>
          <w:p>
            <w:pPr>
              <w:adjustRightInd w:val="0"/>
              <w:snapToGrid w:val="0"/>
              <w:jc w:val="center"/>
              <w:rPr>
                <w:rFonts w:eastAsia="方正仿宋简体"/>
                <w:color w:val="000000"/>
                <w:szCs w:val="21"/>
              </w:rPr>
            </w:pPr>
            <w:r>
              <w:rPr>
                <w:rFonts w:eastAsia="方正仿宋简体"/>
                <w:color w:val="000000"/>
                <w:szCs w:val="21"/>
              </w:rPr>
              <w:t>农村集镇生活垃圾无害化处置率（%）</w:t>
            </w:r>
          </w:p>
        </w:tc>
        <w:tc>
          <w:tcPr>
            <w:tcW w:w="1543" w:type="dxa"/>
            <w:noWrap w:val="0"/>
            <w:vAlign w:val="center"/>
          </w:tcPr>
          <w:p>
            <w:pPr>
              <w:adjustRightInd w:val="0"/>
              <w:snapToGrid w:val="0"/>
              <w:jc w:val="center"/>
              <w:rPr>
                <w:rFonts w:eastAsia="方正仿宋简体"/>
                <w:color w:val="000000"/>
                <w:szCs w:val="21"/>
              </w:rPr>
            </w:pPr>
            <w:r>
              <w:rPr>
                <w:rFonts w:eastAsia="方正仿宋简体"/>
                <w:color w:val="000000"/>
                <w:szCs w:val="21"/>
              </w:rPr>
              <w:t>60</w:t>
            </w:r>
          </w:p>
        </w:tc>
        <w:tc>
          <w:tcPr>
            <w:tcW w:w="1501" w:type="dxa"/>
            <w:noWrap w:val="0"/>
            <w:vAlign w:val="center"/>
          </w:tcPr>
          <w:p>
            <w:pPr>
              <w:adjustRightInd w:val="0"/>
              <w:snapToGrid w:val="0"/>
              <w:jc w:val="center"/>
              <w:rPr>
                <w:rFonts w:eastAsia="方正仿宋简体"/>
                <w:color w:val="000000"/>
                <w:szCs w:val="21"/>
              </w:rPr>
            </w:pPr>
            <w:r>
              <w:rPr>
                <w:rFonts w:eastAsia="方正仿宋简体"/>
                <w:color w:val="000000"/>
                <w:szCs w:val="21"/>
              </w:rPr>
              <w:t>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25" w:hRule="atLeast"/>
          <w:jc w:val="center"/>
        </w:trPr>
        <w:tc>
          <w:tcPr>
            <w:tcW w:w="8631" w:type="dxa"/>
            <w:gridSpan w:val="5"/>
            <w:noWrap w:val="0"/>
            <w:vAlign w:val="center"/>
          </w:tcPr>
          <w:p>
            <w:pPr>
              <w:adjustRightInd w:val="0"/>
              <w:snapToGrid w:val="0"/>
              <w:rPr>
                <w:rFonts w:eastAsia="方正仿宋简体"/>
                <w:color w:val="000000"/>
                <w:szCs w:val="21"/>
              </w:rPr>
            </w:pPr>
            <w:r>
              <w:rPr>
                <w:rFonts w:eastAsia="方正仿宋简体"/>
                <w:color w:val="000000"/>
                <w:szCs w:val="21"/>
              </w:rPr>
              <w:t>注：{ }表示五年累计数</w:t>
            </w:r>
          </w:p>
        </w:tc>
      </w:tr>
    </w:tbl>
    <w:p>
      <w:pPr>
        <w:adjustRightInd w:val="0"/>
        <w:snapToGrid w:val="0"/>
        <w:spacing w:line="600" w:lineRule="exact"/>
        <w:ind w:firstLine="600" w:firstLineChars="200"/>
        <w:rPr>
          <w:rFonts w:eastAsia="方正仿宋简体"/>
          <w:color w:val="000000"/>
          <w:sz w:val="30"/>
          <w:szCs w:val="30"/>
        </w:rPr>
      </w:pPr>
    </w:p>
    <w:p>
      <w:pPr>
        <w:adjustRightInd w:val="0"/>
        <w:snapToGrid w:val="0"/>
        <w:spacing w:line="600" w:lineRule="exact"/>
        <w:ind w:firstLine="600" w:firstLineChars="200"/>
        <w:rPr>
          <w:rFonts w:eastAsia="方正仿宋简体"/>
          <w:color w:val="000000"/>
          <w:sz w:val="30"/>
          <w:szCs w:val="30"/>
        </w:rPr>
      </w:pPr>
      <w:r>
        <w:rPr>
          <w:rFonts w:eastAsia="方正仿宋简体"/>
          <w:color w:val="000000"/>
          <w:sz w:val="30"/>
          <w:szCs w:val="30"/>
        </w:rPr>
        <w:br w:type="page"/>
      </w:r>
      <w:r>
        <w:rPr>
          <w:rFonts w:eastAsia="方正仿宋简体"/>
          <w:color w:val="000000"/>
          <w:sz w:val="30"/>
          <w:szCs w:val="30"/>
        </w:rPr>
        <w:t>五年来，全市上下始终坚持强化产业支撑，铸发展之基；突出项目拉动，抓发展之要；实施创新驱动，聚发展之力；深化改革开放，谋发展之势，经济社会许多领域均取得突破性进展，为加快转型创新发展积累了宝贵经验。但同时也存在一些困难和问题，主要是：经济结构调整面临诸多矛盾和制约，持续较快增长的压力较大；全面深化改革进入攻坚期和深水区，突破思想观念的禁锢和利益固化的藩篱难度加大；城市快速发展带来的新矛盾和历史遗留问题交织出现，社会治理水平亟待提升等等。这些困难和问题，我们必须勇于面对，切实增强忧患意识，坚持问题导向，在“十三五”期间采取有效措施加以解决。</w:t>
      </w:r>
    </w:p>
    <w:p>
      <w:pPr>
        <w:adjustRightInd w:val="0"/>
        <w:snapToGrid w:val="0"/>
        <w:spacing w:before="312" w:beforeLines="100" w:after="312" w:afterLines="100" w:line="600" w:lineRule="exact"/>
        <w:jc w:val="center"/>
        <w:rPr>
          <w:rFonts w:eastAsia="方正仿宋简体"/>
          <w:color w:val="000000"/>
          <w:sz w:val="30"/>
          <w:szCs w:val="30"/>
        </w:rPr>
      </w:pPr>
      <w:r>
        <w:rPr>
          <w:rFonts w:eastAsia="方正仿宋简体"/>
          <w:color w:val="000000"/>
          <w:sz w:val="30"/>
          <w:szCs w:val="30"/>
        </w:rPr>
        <w:t>第二节  发展环境</w:t>
      </w:r>
    </w:p>
    <w:p>
      <w:pPr>
        <w:adjustRightInd w:val="0"/>
        <w:snapToGrid w:val="0"/>
        <w:spacing w:line="600" w:lineRule="exact"/>
        <w:ind w:firstLine="600" w:firstLineChars="200"/>
        <w:rPr>
          <w:rFonts w:eastAsia="方正仿宋简体"/>
          <w:color w:val="000000"/>
          <w:sz w:val="30"/>
          <w:szCs w:val="30"/>
        </w:rPr>
      </w:pPr>
      <w:r>
        <w:rPr>
          <w:rFonts w:eastAsia="方正仿宋简体"/>
          <w:bCs/>
          <w:color w:val="000000"/>
          <w:sz w:val="30"/>
          <w:szCs w:val="30"/>
        </w:rPr>
        <w:t>一、全球经济处于曲折复苏的深度调整期。</w:t>
      </w:r>
      <w:r>
        <w:rPr>
          <w:rFonts w:eastAsia="方正仿宋简体"/>
          <w:color w:val="000000"/>
          <w:sz w:val="30"/>
          <w:szCs w:val="30"/>
        </w:rPr>
        <w:t>“十三五”时期，和平与发展仍是时代主题，曲折复苏和分化调整是世界经济的主要特征，新型竞合将成为发展大趋势。美国、欧盟等发达地区“制造业回归”持续推进，日本经济复苏的稳定性预期不强，新兴经济体增长动力相对较弱。以互联网、工业4.0等为标识的新一轮科技革命和产业变革步伐加快，将为我市参与国际分工合作、促进产业转型升级等带来新的机遇。</w:t>
      </w:r>
    </w:p>
    <w:p>
      <w:pPr>
        <w:adjustRightInd w:val="0"/>
        <w:snapToGrid w:val="0"/>
        <w:spacing w:line="600" w:lineRule="exact"/>
        <w:ind w:firstLine="600" w:firstLineChars="200"/>
        <w:rPr>
          <w:rFonts w:eastAsia="方正仿宋简体"/>
          <w:color w:val="000000"/>
          <w:sz w:val="30"/>
          <w:szCs w:val="30"/>
        </w:rPr>
      </w:pPr>
      <w:r>
        <w:rPr>
          <w:rFonts w:eastAsia="方正仿宋简体"/>
          <w:bCs/>
          <w:color w:val="000000"/>
          <w:sz w:val="30"/>
          <w:szCs w:val="30"/>
        </w:rPr>
        <w:t>二、国内经济进入转型提质的发展新常态。</w:t>
      </w:r>
      <w:r>
        <w:rPr>
          <w:rFonts w:eastAsia="方正仿宋简体"/>
          <w:color w:val="000000"/>
          <w:sz w:val="30"/>
          <w:szCs w:val="30"/>
        </w:rPr>
        <w:t>“十三五”时期，我国经济将在新常态下发生深刻变化：发展速度由高速增长转向中高</w:t>
      </w:r>
      <w:r>
        <w:rPr>
          <w:rFonts w:eastAsia="方正仿宋简体"/>
          <w:color w:val="000000"/>
          <w:spacing w:val="6"/>
          <w:sz w:val="30"/>
          <w:szCs w:val="30"/>
        </w:rPr>
        <w:t>速，更加注重有质量、有效益和可持续发展；发展水平由中低端</w:t>
      </w:r>
    </w:p>
    <w:p>
      <w:pPr>
        <w:adjustRightInd w:val="0"/>
        <w:snapToGrid w:val="0"/>
        <w:spacing w:line="600" w:lineRule="exact"/>
        <w:rPr>
          <w:rFonts w:eastAsia="方正仿宋简体"/>
          <w:color w:val="000000"/>
          <w:sz w:val="30"/>
          <w:szCs w:val="30"/>
        </w:rPr>
      </w:pPr>
      <w:r>
        <w:rPr>
          <w:rFonts w:eastAsia="方正仿宋简体"/>
          <w:color w:val="000000"/>
          <w:sz w:val="30"/>
          <w:szCs w:val="30"/>
        </w:rPr>
        <w:br w:type="page"/>
      </w:r>
      <w:r>
        <w:rPr>
          <w:rFonts w:eastAsia="方正仿宋简体"/>
          <w:color w:val="000000"/>
          <w:sz w:val="30"/>
          <w:szCs w:val="30"/>
        </w:rPr>
        <w:t>迈向中高端，更加注重新型工业化、新型城镇化、信息化、农业现代化和绿色化协同发展；发展动力由要素驱动转向创新驱动，全面创新加快催生新的增长点，深化改革持续释放巨大红利，将有力推动我国跨越“中等收入陷阱”。</w:t>
      </w:r>
    </w:p>
    <w:p>
      <w:pPr>
        <w:adjustRightInd w:val="0"/>
        <w:snapToGrid w:val="0"/>
        <w:spacing w:line="600" w:lineRule="exact"/>
        <w:ind w:firstLine="600" w:firstLineChars="200"/>
        <w:rPr>
          <w:rFonts w:eastAsia="方正仿宋简体"/>
          <w:color w:val="000000"/>
          <w:sz w:val="30"/>
          <w:szCs w:val="30"/>
        </w:rPr>
      </w:pPr>
      <w:r>
        <w:rPr>
          <w:rFonts w:eastAsia="方正仿宋简体"/>
          <w:bCs/>
          <w:color w:val="000000"/>
          <w:sz w:val="30"/>
          <w:szCs w:val="30"/>
        </w:rPr>
        <w:t>三、全市经济迈向实现基本现代化新阶段。一是承载发展的框架加快形成，将持续放大我市发展新优势。</w:t>
      </w:r>
      <w:r>
        <w:rPr>
          <w:rFonts w:eastAsia="方正仿宋简体"/>
          <w:color w:val="000000"/>
          <w:sz w:val="30"/>
          <w:szCs w:val="30"/>
        </w:rPr>
        <w:t>长沙作为“一带一路”重要节点城市、“一带一部”首位城市和长江中游城市群中心城市，承东启西、连南接北、通江达海的区位优势和战略地位将更加突出，区域经济辐射带动能力将持续增强。</w:t>
      </w:r>
      <w:r>
        <w:rPr>
          <w:rFonts w:eastAsia="方正仿宋简体"/>
          <w:bCs/>
          <w:color w:val="000000"/>
          <w:sz w:val="30"/>
          <w:szCs w:val="30"/>
        </w:rPr>
        <w:t>二是先行先试的平台全面筑牢，将有效提升我市核心竞争力。</w:t>
      </w:r>
      <w:r>
        <w:rPr>
          <w:rFonts w:eastAsia="方正仿宋简体"/>
          <w:color w:val="000000"/>
          <w:sz w:val="30"/>
          <w:szCs w:val="30"/>
        </w:rPr>
        <w:t>我市拥有全国两型社会建设综合配套改革试验区、国家自主创新示范区、国家级湘江新区三大战略平台， 依托国家支持政策与自身探索实践的叠加优势，培育形成有利于转型创新发展的制度环境，将推动我市在更大范围内加速产业、人口及要素集聚，构筑新的竞争优势。</w:t>
      </w:r>
      <w:r>
        <w:rPr>
          <w:rFonts w:eastAsia="方正仿宋简体"/>
          <w:bCs/>
          <w:color w:val="000000"/>
          <w:sz w:val="30"/>
          <w:szCs w:val="30"/>
        </w:rPr>
        <w:t>三是产业升级的潜力逐步释放，将有力推动我市转型创新发展。</w:t>
      </w:r>
      <w:r>
        <w:rPr>
          <w:rFonts w:eastAsia="方正仿宋简体"/>
          <w:color w:val="000000"/>
          <w:sz w:val="30"/>
          <w:szCs w:val="30"/>
        </w:rPr>
        <w:t>我市在新材料、生物产业、节能环保等一批新兴产业领域，有技术、有优势、有潜力、有前景，有望成为“十三五”时期率先突破的关键点，进而加速形成新的经济增长点，为全市转型创新发展提供有力支撑。</w:t>
      </w:r>
    </w:p>
    <w:p>
      <w:pPr>
        <w:adjustRightInd w:val="0"/>
        <w:snapToGrid w:val="0"/>
        <w:spacing w:line="600" w:lineRule="exact"/>
        <w:ind w:firstLine="616" w:firstLineChars="200"/>
        <w:rPr>
          <w:rFonts w:eastAsia="方正仿宋简体"/>
          <w:color w:val="000000"/>
          <w:spacing w:val="4"/>
          <w:sz w:val="30"/>
          <w:szCs w:val="30"/>
        </w:rPr>
      </w:pPr>
      <w:r>
        <w:rPr>
          <w:rFonts w:eastAsia="方正仿宋简体"/>
          <w:color w:val="000000"/>
          <w:spacing w:val="4"/>
          <w:sz w:val="30"/>
          <w:szCs w:val="30"/>
        </w:rPr>
        <w:t>总体来看，“十三五”时期是贯彻落实国家“四个全面”战略的重要时期，是长沙转型创新发展的关键时期，也是率先全面建成小康的决战时期，既面临重大机遇，也面临诸多挑战。我们必须立</w:t>
      </w:r>
      <w:r>
        <w:rPr>
          <w:rFonts w:eastAsia="方正仿宋简体"/>
          <w:color w:val="000000"/>
          <w:spacing w:val="2"/>
          <w:sz w:val="30"/>
          <w:szCs w:val="30"/>
        </w:rPr>
        <w:t>足市情，顺势而为，引领新常态，培育新动力，厚植新优势，推动</w:t>
      </w:r>
    </w:p>
    <w:p>
      <w:pPr>
        <w:adjustRightInd w:val="0"/>
        <w:snapToGrid w:val="0"/>
        <w:spacing w:line="600" w:lineRule="exact"/>
        <w:rPr>
          <w:rFonts w:eastAsia="方正仿宋简体"/>
          <w:color w:val="000000"/>
          <w:sz w:val="30"/>
          <w:szCs w:val="30"/>
        </w:rPr>
      </w:pPr>
      <w:r>
        <w:rPr>
          <w:rFonts w:eastAsia="方正仿宋简体"/>
          <w:color w:val="000000"/>
          <w:sz w:val="30"/>
          <w:szCs w:val="30"/>
        </w:rPr>
        <w:br w:type="page"/>
      </w:r>
      <w:r>
        <w:rPr>
          <w:rFonts w:eastAsia="方正仿宋简体"/>
          <w:color w:val="000000"/>
          <w:sz w:val="30"/>
          <w:szCs w:val="30"/>
        </w:rPr>
        <w:t>长沙实现新一轮较快发展。</w:t>
      </w:r>
    </w:p>
    <w:p>
      <w:pPr>
        <w:adjustRightInd w:val="0"/>
        <w:snapToGrid w:val="0"/>
        <w:spacing w:before="312" w:beforeLines="100" w:after="312" w:afterLines="100" w:line="600" w:lineRule="exact"/>
        <w:jc w:val="center"/>
        <w:rPr>
          <w:rFonts w:eastAsia="方正仿宋简体"/>
          <w:color w:val="000000"/>
          <w:sz w:val="30"/>
          <w:szCs w:val="30"/>
        </w:rPr>
      </w:pPr>
      <w:r>
        <w:rPr>
          <w:rFonts w:eastAsia="方正仿宋简体"/>
          <w:color w:val="000000"/>
          <w:sz w:val="30"/>
          <w:szCs w:val="30"/>
        </w:rPr>
        <w:t>第三节  总体要求</w:t>
      </w:r>
    </w:p>
    <w:p>
      <w:pPr>
        <w:adjustRightInd w:val="0"/>
        <w:snapToGrid w:val="0"/>
        <w:spacing w:line="600" w:lineRule="exact"/>
        <w:ind w:firstLine="600" w:firstLineChars="200"/>
        <w:rPr>
          <w:rFonts w:eastAsia="方正仿宋简体"/>
          <w:bCs/>
          <w:color w:val="000000"/>
          <w:sz w:val="30"/>
          <w:szCs w:val="30"/>
        </w:rPr>
      </w:pPr>
      <w:r>
        <w:rPr>
          <w:rFonts w:eastAsia="方正仿宋简体"/>
          <w:bCs/>
          <w:color w:val="000000"/>
          <w:sz w:val="30"/>
          <w:szCs w:val="30"/>
        </w:rPr>
        <w:t>一、指导思想</w:t>
      </w:r>
    </w:p>
    <w:p>
      <w:pPr>
        <w:adjustRightInd w:val="0"/>
        <w:snapToGrid w:val="0"/>
        <w:spacing w:line="600" w:lineRule="exact"/>
        <w:ind w:firstLine="600" w:firstLineChars="200"/>
        <w:rPr>
          <w:rFonts w:eastAsia="方正仿宋简体"/>
          <w:color w:val="000000"/>
          <w:sz w:val="30"/>
          <w:szCs w:val="30"/>
        </w:rPr>
      </w:pPr>
      <w:r>
        <w:rPr>
          <w:rFonts w:eastAsia="方正仿宋简体"/>
          <w:color w:val="000000"/>
          <w:sz w:val="30"/>
          <w:szCs w:val="30"/>
        </w:rPr>
        <w:t>高举中国特色社会主义伟大旗帜，全面贯彻党的十八大和十八届三中、四中、五中全会精神，以马克思列宁主义、毛泽东思想、邓小平理论、“三个代表”重要思想、科学发展观为指导，深入贯彻习近平总书记系列重要讲话精神，协调推进“四个全面”，大力促进“三量齐升”、“五化同步”、“六个走在前列”，以创新、协调、绿色、开放、共享发展为引领，以提高发展质量和效益为中心，以供给侧结构性改革为主线，加快形成引领经济发展新常态的体制机制和发展方式，着力建设能量更大、实力更强、城乡更美、民生更爽的长沙，率先全面建成小康加快实现基本现代化。</w:t>
      </w:r>
    </w:p>
    <w:p>
      <w:pPr>
        <w:adjustRightInd w:val="0"/>
        <w:snapToGrid w:val="0"/>
        <w:spacing w:line="600" w:lineRule="exact"/>
        <w:ind w:firstLine="600" w:firstLineChars="200"/>
        <w:rPr>
          <w:rFonts w:eastAsia="方正仿宋简体"/>
          <w:bCs/>
          <w:color w:val="000000"/>
          <w:sz w:val="30"/>
          <w:szCs w:val="30"/>
        </w:rPr>
      </w:pPr>
      <w:r>
        <w:rPr>
          <w:rFonts w:eastAsia="方正仿宋简体"/>
          <w:bCs/>
          <w:color w:val="000000"/>
          <w:sz w:val="30"/>
          <w:szCs w:val="30"/>
        </w:rPr>
        <w:t>二、基本原则</w:t>
      </w:r>
    </w:p>
    <w:p>
      <w:pPr>
        <w:adjustRightInd w:val="0"/>
        <w:snapToGrid w:val="0"/>
        <w:spacing w:line="600" w:lineRule="exact"/>
        <w:ind w:firstLine="600" w:firstLineChars="200"/>
        <w:rPr>
          <w:rFonts w:eastAsia="方正仿宋简体"/>
          <w:color w:val="000000"/>
          <w:sz w:val="30"/>
          <w:szCs w:val="30"/>
        </w:rPr>
      </w:pPr>
      <w:r>
        <w:rPr>
          <w:rFonts w:eastAsia="方正仿宋简体"/>
          <w:color w:val="000000"/>
          <w:sz w:val="30"/>
          <w:szCs w:val="30"/>
        </w:rPr>
        <w:t>——突出转型升级。着眼于区域发展差异化、资源利用最优化和整体功能最大化，强力推动产业转型升级、经济转型升级、城市转型升级，实现更高质量、更有效率、更加公平、更可持续的发展。</w:t>
      </w:r>
    </w:p>
    <w:p>
      <w:pPr>
        <w:adjustRightInd w:val="0"/>
        <w:snapToGrid w:val="0"/>
        <w:spacing w:line="600" w:lineRule="exact"/>
        <w:ind w:firstLine="600" w:firstLineChars="200"/>
        <w:rPr>
          <w:rFonts w:eastAsia="方正仿宋简体"/>
          <w:color w:val="000000"/>
          <w:sz w:val="30"/>
          <w:szCs w:val="30"/>
        </w:rPr>
      </w:pPr>
      <w:r>
        <w:rPr>
          <w:rFonts w:eastAsia="方正仿宋简体"/>
          <w:color w:val="000000"/>
          <w:sz w:val="30"/>
          <w:szCs w:val="30"/>
        </w:rPr>
        <w:t>——突出改革创新。坚持在改革助推、创新引领中推进发展，更加注重供给侧结构性改革，更加注重以科技创新为核心的全面创新，同步实现增速换挡、动力转换和结构优化。</w:t>
      </w:r>
    </w:p>
    <w:p>
      <w:pPr>
        <w:adjustRightInd w:val="0"/>
        <w:snapToGrid w:val="0"/>
        <w:spacing w:line="600" w:lineRule="exact"/>
        <w:ind w:firstLine="600" w:firstLineChars="200"/>
        <w:rPr>
          <w:rFonts w:eastAsia="方正仿宋简体"/>
          <w:color w:val="000000"/>
          <w:sz w:val="30"/>
          <w:szCs w:val="30"/>
        </w:rPr>
      </w:pPr>
      <w:r>
        <w:rPr>
          <w:rFonts w:eastAsia="方正仿宋简体"/>
          <w:color w:val="000000"/>
          <w:sz w:val="30"/>
          <w:szCs w:val="30"/>
        </w:rPr>
        <w:t>——突出补齐短板。坚持问题导向，破解发展瓶颈，在打造开放型文化、开放型经济、开放型城市上取得突破性进展，推动现代服务业总量与质量“双提升”，补齐补强结构性、功能性发展短板。</w:t>
      </w:r>
    </w:p>
    <w:p>
      <w:pPr>
        <w:adjustRightInd w:val="0"/>
        <w:snapToGrid w:val="0"/>
        <w:spacing w:line="600" w:lineRule="exact"/>
        <w:ind w:firstLine="600" w:firstLineChars="200"/>
        <w:rPr>
          <w:rFonts w:eastAsia="方正仿宋简体"/>
          <w:color w:val="000000"/>
          <w:sz w:val="30"/>
          <w:szCs w:val="30"/>
        </w:rPr>
      </w:pPr>
      <w:r>
        <w:rPr>
          <w:rFonts w:eastAsia="方正仿宋简体"/>
          <w:color w:val="000000"/>
          <w:sz w:val="30"/>
          <w:szCs w:val="30"/>
        </w:rPr>
        <w:t>——突出平台支撑。着力打造湖南湘江新区、东部开放型经济走廊“双引擎”，建设创新高地、开放高地“两高地”，进一步强化转型创新发展的驱动力、优化对外开放格局和城市空间格局。</w:t>
      </w:r>
    </w:p>
    <w:p>
      <w:pPr>
        <w:adjustRightInd w:val="0"/>
        <w:snapToGrid w:val="0"/>
        <w:spacing w:line="600" w:lineRule="exact"/>
        <w:ind w:firstLine="600" w:firstLineChars="200"/>
        <w:rPr>
          <w:rFonts w:eastAsia="方正仿宋简体"/>
          <w:color w:val="000000"/>
          <w:sz w:val="30"/>
          <w:szCs w:val="30"/>
        </w:rPr>
      </w:pPr>
      <w:r>
        <w:rPr>
          <w:rFonts w:eastAsia="方正仿宋简体"/>
          <w:color w:val="000000"/>
          <w:sz w:val="30"/>
          <w:szCs w:val="30"/>
        </w:rPr>
        <w:t>——突出项目建设。坚持把项目建设作为发展的“牛鼻子”来抓，将转型创新发展落实到具体项目，实施一大批优质项目、高端项目、引领项目，形成以项目促投资、促消费、促创新的更浓氛围。</w:t>
      </w:r>
    </w:p>
    <w:p>
      <w:pPr>
        <w:adjustRightInd w:val="0"/>
        <w:snapToGrid w:val="0"/>
        <w:spacing w:line="600" w:lineRule="exact"/>
        <w:ind w:firstLine="600" w:firstLineChars="200"/>
        <w:rPr>
          <w:rFonts w:eastAsia="方正仿宋简体"/>
          <w:color w:val="000000"/>
          <w:sz w:val="30"/>
          <w:szCs w:val="30"/>
        </w:rPr>
      </w:pPr>
      <w:r>
        <w:rPr>
          <w:rFonts w:eastAsia="方正仿宋简体"/>
          <w:color w:val="000000"/>
          <w:sz w:val="30"/>
          <w:szCs w:val="30"/>
        </w:rPr>
        <w:t>——突出让人民生活更加美好。坚持把增进人民群众福祉、促进人的全面发展作为一切工作的出发点和落脚点，加强保障和改善民生，使改革发展成果更多更公平惠及全市人民。</w:t>
      </w:r>
    </w:p>
    <w:p>
      <w:pPr>
        <w:adjustRightInd w:val="0"/>
        <w:snapToGrid w:val="0"/>
        <w:spacing w:line="600" w:lineRule="exact"/>
        <w:ind w:firstLine="600" w:firstLineChars="200"/>
        <w:rPr>
          <w:rFonts w:eastAsia="方正仿宋简体"/>
          <w:bCs/>
          <w:color w:val="000000"/>
          <w:sz w:val="30"/>
          <w:szCs w:val="30"/>
        </w:rPr>
      </w:pPr>
      <w:r>
        <w:rPr>
          <w:rFonts w:eastAsia="方正仿宋简体"/>
          <w:bCs/>
          <w:color w:val="000000"/>
          <w:sz w:val="30"/>
          <w:szCs w:val="30"/>
        </w:rPr>
        <w:t>三、主要目标</w:t>
      </w:r>
    </w:p>
    <w:p>
      <w:pPr>
        <w:adjustRightInd w:val="0"/>
        <w:snapToGrid w:val="0"/>
        <w:spacing w:line="600" w:lineRule="exact"/>
        <w:ind w:firstLine="600" w:firstLineChars="200"/>
        <w:rPr>
          <w:rFonts w:eastAsia="方正仿宋简体"/>
          <w:color w:val="000000"/>
          <w:sz w:val="30"/>
          <w:szCs w:val="30"/>
        </w:rPr>
      </w:pPr>
      <w:r>
        <w:rPr>
          <w:rFonts w:eastAsia="方正仿宋简体"/>
          <w:color w:val="000000"/>
          <w:sz w:val="30"/>
          <w:szCs w:val="30"/>
        </w:rPr>
        <w:t>“十三五”时期长沙经济社会发展的总体目标是：率先全面建成小康加快实现基本现代化。进一步提升全面小康的总体水平，推动经济更加繁荣、社会更加和谐、公共服务更加优质、民主法治更加健全、生态环境更加良好、人民生活更有品质、区域发展更为均衡，到2017年，率先全面建成小康社会、率先打赢扶贫开发攻坚战。在此基础上用五年时间进行探索实践，到2022年，实现基本现代化阶段性目标，向更高水平的现代化迈进。</w:t>
      </w:r>
    </w:p>
    <w:p>
      <w:pPr>
        <w:adjustRightInd w:val="0"/>
        <w:snapToGrid w:val="0"/>
        <w:spacing w:line="600" w:lineRule="exact"/>
        <w:ind w:firstLine="600" w:firstLineChars="200"/>
        <w:rPr>
          <w:rFonts w:eastAsia="方正仿宋简体"/>
          <w:bCs/>
          <w:color w:val="000000"/>
          <w:sz w:val="30"/>
          <w:szCs w:val="30"/>
        </w:rPr>
      </w:pPr>
      <w:r>
        <w:rPr>
          <w:rFonts w:eastAsia="方正仿宋简体"/>
          <w:bCs/>
          <w:color w:val="000000"/>
          <w:sz w:val="30"/>
          <w:szCs w:val="30"/>
        </w:rPr>
        <w:t>1、建设能量更大的长沙</w:t>
      </w:r>
    </w:p>
    <w:p>
      <w:pPr>
        <w:adjustRightInd w:val="0"/>
        <w:snapToGrid w:val="0"/>
        <w:spacing w:line="600" w:lineRule="exact"/>
        <w:ind w:firstLine="600" w:firstLineChars="200"/>
        <w:rPr>
          <w:rFonts w:eastAsia="方正仿宋简体"/>
          <w:color w:val="000000"/>
          <w:sz w:val="30"/>
          <w:szCs w:val="30"/>
        </w:rPr>
      </w:pPr>
      <w:r>
        <w:rPr>
          <w:rFonts w:eastAsia="方正仿宋简体"/>
          <w:bCs/>
          <w:color w:val="000000"/>
          <w:sz w:val="30"/>
          <w:szCs w:val="30"/>
        </w:rPr>
        <w:t>——做大经济总量。</w:t>
      </w:r>
      <w:r>
        <w:rPr>
          <w:rFonts w:eastAsia="方正仿宋简体"/>
          <w:color w:val="000000"/>
          <w:sz w:val="30"/>
          <w:szCs w:val="30"/>
        </w:rPr>
        <w:t>地区生产总值年均增长9%，2020年经济总量达13000亿元左右，人均地区生产总值达16万元；固定资产投资年均增长12%；社会消费品零售总额年均增长10.5%；财政总收入年均增长10%，经济综合实力位居全国省会城市前列。</w:t>
      </w:r>
    </w:p>
    <w:p>
      <w:pPr>
        <w:adjustRightInd w:val="0"/>
        <w:snapToGrid w:val="0"/>
        <w:spacing w:line="600" w:lineRule="exact"/>
        <w:ind w:firstLine="600" w:firstLineChars="200"/>
        <w:rPr>
          <w:rFonts w:eastAsia="方正仿宋简体"/>
          <w:color w:val="000000"/>
          <w:sz w:val="30"/>
          <w:szCs w:val="30"/>
        </w:rPr>
      </w:pPr>
      <w:r>
        <w:rPr>
          <w:rFonts w:eastAsia="方正仿宋简体"/>
          <w:color w:val="000000"/>
          <w:sz w:val="30"/>
          <w:szCs w:val="30"/>
        </w:rPr>
        <w:t>——</w:t>
      </w:r>
      <w:r>
        <w:rPr>
          <w:rFonts w:eastAsia="方正仿宋简体"/>
          <w:bCs/>
          <w:color w:val="000000"/>
          <w:sz w:val="30"/>
          <w:szCs w:val="30"/>
        </w:rPr>
        <w:t>做大城市容量。</w:t>
      </w:r>
      <w:r>
        <w:rPr>
          <w:rFonts w:eastAsia="方正仿宋简体"/>
          <w:color w:val="000000"/>
          <w:sz w:val="30"/>
          <w:szCs w:val="30"/>
        </w:rPr>
        <w:t>进一步提升公共设施容量、公共服务容量和人居环境容量，构建500万人以上特大型城市格局，加快建设具有国际品质和湖湘文化标识的现代化大都市。</w:t>
      </w:r>
    </w:p>
    <w:p>
      <w:pPr>
        <w:adjustRightInd w:val="0"/>
        <w:snapToGrid w:val="0"/>
        <w:spacing w:line="600" w:lineRule="exact"/>
        <w:ind w:firstLine="600" w:firstLineChars="200"/>
        <w:rPr>
          <w:rFonts w:eastAsia="方正仿宋简体"/>
          <w:color w:val="000000"/>
          <w:sz w:val="30"/>
          <w:szCs w:val="30"/>
        </w:rPr>
      </w:pPr>
      <w:r>
        <w:rPr>
          <w:rFonts w:eastAsia="方正仿宋简体"/>
          <w:bCs/>
          <w:color w:val="000000"/>
          <w:sz w:val="30"/>
          <w:szCs w:val="30"/>
        </w:rPr>
        <w:t>——做大开放格局。</w:t>
      </w:r>
      <w:r>
        <w:rPr>
          <w:rFonts w:eastAsia="方正仿宋简体"/>
          <w:color w:val="000000"/>
          <w:sz w:val="30"/>
          <w:szCs w:val="30"/>
        </w:rPr>
        <w:t>构建全方位开放体制机制，增创对内对外开放新优势，实际利用外资年均增长8%，进出口总额年均增长10%，实现开放型经济发展新提升。</w:t>
      </w:r>
    </w:p>
    <w:p>
      <w:pPr>
        <w:adjustRightInd w:val="0"/>
        <w:snapToGrid w:val="0"/>
        <w:spacing w:line="600" w:lineRule="exact"/>
        <w:ind w:firstLine="600" w:firstLineChars="200"/>
        <w:rPr>
          <w:rFonts w:eastAsia="方正仿宋简体"/>
          <w:bCs/>
          <w:color w:val="000000"/>
          <w:sz w:val="30"/>
          <w:szCs w:val="30"/>
        </w:rPr>
      </w:pPr>
      <w:r>
        <w:rPr>
          <w:rFonts w:eastAsia="方正仿宋简体"/>
          <w:color w:val="000000"/>
          <w:sz w:val="30"/>
          <w:szCs w:val="30"/>
        </w:rPr>
        <w:t>2、</w:t>
      </w:r>
      <w:r>
        <w:rPr>
          <w:rFonts w:eastAsia="方正仿宋简体"/>
          <w:bCs/>
          <w:color w:val="000000"/>
          <w:sz w:val="30"/>
          <w:szCs w:val="30"/>
        </w:rPr>
        <w:t>建设实力更强的长沙</w:t>
      </w:r>
    </w:p>
    <w:p>
      <w:pPr>
        <w:adjustRightInd w:val="0"/>
        <w:snapToGrid w:val="0"/>
        <w:spacing w:line="600" w:lineRule="exact"/>
        <w:ind w:firstLine="600" w:firstLineChars="200"/>
        <w:rPr>
          <w:rFonts w:eastAsia="方正仿宋简体"/>
          <w:bCs/>
          <w:color w:val="000000"/>
          <w:sz w:val="30"/>
          <w:szCs w:val="30"/>
        </w:rPr>
      </w:pPr>
      <w:r>
        <w:rPr>
          <w:rFonts w:eastAsia="方正仿宋简体"/>
          <w:bCs/>
          <w:color w:val="000000"/>
          <w:sz w:val="30"/>
          <w:szCs w:val="30"/>
        </w:rPr>
        <w:t>——提升自主创新力。</w:t>
      </w:r>
      <w:r>
        <w:rPr>
          <w:rFonts w:eastAsia="方正仿宋简体"/>
          <w:color w:val="000000"/>
          <w:sz w:val="30"/>
          <w:szCs w:val="30"/>
        </w:rPr>
        <w:t>主要创新指标达到创新型城市中等以上水平，高新技术产业增加值占地区生产总值比重达35%，研究与试验发展经费支出（R&amp;D）占地区生产总值比重达2.8%。</w:t>
      </w:r>
    </w:p>
    <w:p>
      <w:pPr>
        <w:adjustRightInd w:val="0"/>
        <w:snapToGrid w:val="0"/>
        <w:spacing w:line="600" w:lineRule="exact"/>
        <w:ind w:firstLine="600" w:firstLineChars="200"/>
        <w:rPr>
          <w:rFonts w:eastAsia="方正仿宋简体"/>
          <w:color w:val="000000"/>
          <w:sz w:val="30"/>
          <w:szCs w:val="30"/>
        </w:rPr>
      </w:pPr>
      <w:r>
        <w:rPr>
          <w:rFonts w:eastAsia="方正仿宋简体"/>
          <w:bCs/>
          <w:color w:val="000000"/>
          <w:sz w:val="30"/>
          <w:szCs w:val="30"/>
        </w:rPr>
        <w:t>——提升产业竞争力。</w:t>
      </w:r>
      <w:r>
        <w:rPr>
          <w:rFonts w:eastAsia="方正仿宋简体"/>
          <w:color w:val="000000"/>
          <w:sz w:val="30"/>
          <w:szCs w:val="30"/>
        </w:rPr>
        <w:t>推动产业向中高端迈进，打造具有国际竞争力的先进制造业基地、战略性新兴产业基地、全国文化创意中心。“十三五”期间，规模工业增加值年均增长9%；到2020年，战略性新兴产业增加值占地区生产总值比重达20%。</w:t>
      </w:r>
    </w:p>
    <w:p>
      <w:pPr>
        <w:adjustRightInd w:val="0"/>
        <w:snapToGrid w:val="0"/>
        <w:spacing w:line="600" w:lineRule="exact"/>
        <w:ind w:firstLine="600" w:firstLineChars="200"/>
        <w:rPr>
          <w:rFonts w:eastAsia="方正仿宋简体"/>
          <w:color w:val="000000"/>
          <w:sz w:val="30"/>
          <w:szCs w:val="30"/>
        </w:rPr>
      </w:pPr>
      <w:r>
        <w:rPr>
          <w:rFonts w:eastAsia="方正仿宋简体"/>
          <w:color w:val="000000"/>
          <w:sz w:val="30"/>
          <w:szCs w:val="30"/>
        </w:rPr>
        <w:t>——</w:t>
      </w:r>
      <w:r>
        <w:rPr>
          <w:rFonts w:eastAsia="方正仿宋简体"/>
          <w:bCs/>
          <w:color w:val="000000"/>
          <w:sz w:val="30"/>
          <w:szCs w:val="30"/>
        </w:rPr>
        <w:t>提升城乡承载力。</w:t>
      </w:r>
      <w:r>
        <w:rPr>
          <w:rFonts w:eastAsia="方正仿宋简体"/>
          <w:color w:val="000000"/>
          <w:sz w:val="30"/>
          <w:szCs w:val="30"/>
        </w:rPr>
        <w:t>城市空间结构更加优化，综合服务功能明显增强，以人为核心的新型城镇化取得明显成效。到2020年，常住人口城镇化率达81%，户籍人口城镇化率达50%以上。</w:t>
      </w:r>
    </w:p>
    <w:p>
      <w:pPr>
        <w:adjustRightInd w:val="0"/>
        <w:snapToGrid w:val="0"/>
        <w:spacing w:line="600" w:lineRule="exact"/>
        <w:ind w:firstLine="600" w:firstLineChars="200"/>
        <w:rPr>
          <w:rFonts w:eastAsia="方正仿宋简体"/>
          <w:color w:val="000000"/>
          <w:sz w:val="30"/>
          <w:szCs w:val="30"/>
        </w:rPr>
      </w:pPr>
      <w:r>
        <w:rPr>
          <w:rFonts w:eastAsia="方正仿宋简体"/>
          <w:bCs/>
          <w:color w:val="000000"/>
          <w:sz w:val="30"/>
          <w:szCs w:val="30"/>
        </w:rPr>
        <w:t>——提升政府服务力。</w:t>
      </w:r>
      <w:r>
        <w:rPr>
          <w:rFonts w:eastAsia="方正仿宋简体"/>
          <w:color w:val="000000"/>
          <w:sz w:val="30"/>
          <w:szCs w:val="30"/>
        </w:rPr>
        <w:t>发展环境和服务效能进一步优化，治理体系和治理能力现代化迈出重大步伐，社会诚信体系日益健全，政府的公信力和执行力大幅提高。</w:t>
      </w:r>
    </w:p>
    <w:p>
      <w:pPr>
        <w:adjustRightInd w:val="0"/>
        <w:snapToGrid w:val="0"/>
        <w:spacing w:line="600" w:lineRule="exact"/>
        <w:ind w:firstLine="600" w:firstLineChars="200"/>
        <w:rPr>
          <w:rFonts w:eastAsia="方正仿宋简体"/>
          <w:bCs/>
          <w:color w:val="000000"/>
          <w:sz w:val="30"/>
          <w:szCs w:val="30"/>
        </w:rPr>
      </w:pPr>
      <w:r>
        <w:rPr>
          <w:rFonts w:eastAsia="方正仿宋简体"/>
          <w:bCs/>
          <w:color w:val="000000"/>
          <w:sz w:val="30"/>
          <w:szCs w:val="30"/>
        </w:rPr>
        <w:t>3、建设城乡更美的长沙</w:t>
      </w:r>
    </w:p>
    <w:p>
      <w:pPr>
        <w:adjustRightInd w:val="0"/>
        <w:snapToGrid w:val="0"/>
        <w:spacing w:line="600" w:lineRule="exact"/>
        <w:ind w:firstLine="600" w:firstLineChars="200"/>
        <w:rPr>
          <w:rFonts w:eastAsia="方正仿宋简体"/>
          <w:color w:val="000000"/>
          <w:sz w:val="30"/>
          <w:szCs w:val="30"/>
        </w:rPr>
      </w:pPr>
      <w:r>
        <w:rPr>
          <w:rFonts w:eastAsia="方正仿宋简体"/>
          <w:bCs/>
          <w:color w:val="000000"/>
          <w:sz w:val="30"/>
          <w:szCs w:val="30"/>
        </w:rPr>
        <w:t>——自然生态更加秀美。</w:t>
      </w:r>
      <w:r>
        <w:rPr>
          <w:rFonts w:eastAsia="方正仿宋简体"/>
          <w:color w:val="000000"/>
          <w:sz w:val="30"/>
          <w:szCs w:val="30"/>
        </w:rPr>
        <w:t>严格控制能源消费总量，单位地区生产总值能耗和二氧化碳排放强度持续降低，主要污染物排放总量继续减少。到2020年，城市污水处理率达98%，城市生活垃圾无害化处理率达100%，城市空气质量优良率保持80%（新标准）以上。</w:t>
      </w:r>
    </w:p>
    <w:p>
      <w:pPr>
        <w:adjustRightInd w:val="0"/>
        <w:snapToGrid w:val="0"/>
        <w:spacing w:line="600" w:lineRule="exact"/>
        <w:ind w:firstLine="600" w:firstLineChars="200"/>
        <w:rPr>
          <w:rFonts w:eastAsia="方正仿宋简体"/>
          <w:color w:val="000000"/>
          <w:sz w:val="30"/>
          <w:szCs w:val="30"/>
        </w:rPr>
      </w:pPr>
      <w:r>
        <w:rPr>
          <w:rFonts w:eastAsia="方正仿宋简体"/>
          <w:bCs/>
          <w:color w:val="000000"/>
          <w:sz w:val="30"/>
          <w:szCs w:val="30"/>
        </w:rPr>
        <w:t>——城乡环境更加精美。</w:t>
      </w:r>
      <w:r>
        <w:rPr>
          <w:rFonts w:eastAsia="方正仿宋简体"/>
          <w:color w:val="000000"/>
          <w:sz w:val="30"/>
          <w:szCs w:val="30"/>
        </w:rPr>
        <w:t>城乡基础设施、公共服务达到基本现代化水平，城乡管理常态化，形成“畅净宁绿亮美”的良好环境。到2020年，新改建农村公路6000公里，农村自来水普及率达85%，农村集镇生活垃圾无害化处理率达90%。</w:t>
      </w:r>
    </w:p>
    <w:p>
      <w:pPr>
        <w:adjustRightInd w:val="0"/>
        <w:snapToGrid w:val="0"/>
        <w:spacing w:line="600" w:lineRule="exact"/>
        <w:ind w:firstLine="600" w:firstLineChars="200"/>
        <w:rPr>
          <w:rFonts w:eastAsia="方正仿宋简体"/>
          <w:color w:val="000000"/>
          <w:sz w:val="30"/>
          <w:szCs w:val="30"/>
        </w:rPr>
      </w:pPr>
      <w:r>
        <w:rPr>
          <w:rFonts w:eastAsia="方正仿宋简体"/>
          <w:color w:val="000000"/>
          <w:sz w:val="30"/>
          <w:szCs w:val="30"/>
        </w:rPr>
        <w:t>——</w:t>
      </w:r>
      <w:r>
        <w:rPr>
          <w:rFonts w:eastAsia="方正仿宋简体"/>
          <w:bCs/>
          <w:color w:val="000000"/>
          <w:sz w:val="30"/>
          <w:szCs w:val="30"/>
        </w:rPr>
        <w:t>城市风貌更加优美。</w:t>
      </w:r>
      <w:r>
        <w:rPr>
          <w:rFonts w:eastAsia="方正仿宋简体"/>
          <w:color w:val="000000"/>
          <w:sz w:val="30"/>
          <w:szCs w:val="30"/>
        </w:rPr>
        <w:t>着力构建天蓝、水碧、空气清新的生态环境，彰显城在林中、路在绿中、人在景中的独特景致。到2020年，集中式饮用水源水质达标率达100%，建成区绿化覆盖率达41%，森林覆盖率达55%。</w:t>
      </w:r>
    </w:p>
    <w:p>
      <w:pPr>
        <w:adjustRightInd w:val="0"/>
        <w:snapToGrid w:val="0"/>
        <w:spacing w:line="600" w:lineRule="exact"/>
        <w:ind w:firstLine="600" w:firstLineChars="200"/>
        <w:rPr>
          <w:rFonts w:eastAsia="方正仿宋简体"/>
          <w:color w:val="000000"/>
          <w:sz w:val="30"/>
          <w:szCs w:val="30"/>
        </w:rPr>
      </w:pPr>
      <w:r>
        <w:rPr>
          <w:rFonts w:eastAsia="方正仿宋简体"/>
          <w:bCs/>
          <w:color w:val="000000"/>
          <w:sz w:val="30"/>
          <w:szCs w:val="30"/>
        </w:rPr>
        <w:t>4、建设民生更爽的长沙</w:t>
      </w:r>
    </w:p>
    <w:p>
      <w:pPr>
        <w:adjustRightInd w:val="0"/>
        <w:snapToGrid w:val="0"/>
        <w:spacing w:line="600" w:lineRule="exact"/>
        <w:ind w:firstLine="600" w:firstLineChars="200"/>
        <w:rPr>
          <w:rFonts w:eastAsia="方正仿宋简体"/>
          <w:color w:val="000000"/>
          <w:sz w:val="30"/>
          <w:szCs w:val="30"/>
        </w:rPr>
      </w:pPr>
      <w:r>
        <w:rPr>
          <w:rFonts w:eastAsia="方正仿宋简体"/>
          <w:bCs/>
          <w:color w:val="000000"/>
          <w:sz w:val="30"/>
          <w:szCs w:val="30"/>
        </w:rPr>
        <w:t>——增强民生殷实感。</w:t>
      </w:r>
      <w:r>
        <w:rPr>
          <w:rFonts w:eastAsia="方正仿宋简体"/>
          <w:color w:val="000000"/>
          <w:sz w:val="30"/>
          <w:szCs w:val="30"/>
        </w:rPr>
        <w:t>居民收入结构不断优化，收入差距缩小，就业更加充分，率先实现精准脱贫，大众创业、万众创新蔚成风气。城乡居民人均可支配收入年均增长9%，城镇登记失业率控制在4%以内。</w:t>
      </w:r>
    </w:p>
    <w:p>
      <w:pPr>
        <w:adjustRightInd w:val="0"/>
        <w:snapToGrid w:val="0"/>
        <w:spacing w:line="600" w:lineRule="exact"/>
        <w:ind w:firstLine="600" w:firstLineChars="200"/>
        <w:rPr>
          <w:rFonts w:eastAsia="方正仿宋简体"/>
          <w:color w:val="000000"/>
          <w:sz w:val="30"/>
          <w:szCs w:val="30"/>
        </w:rPr>
      </w:pPr>
      <w:r>
        <w:rPr>
          <w:rFonts w:eastAsia="方正仿宋简体"/>
          <w:bCs/>
          <w:color w:val="000000"/>
          <w:sz w:val="30"/>
          <w:szCs w:val="30"/>
        </w:rPr>
        <w:t>——增强民生舒适感。</w:t>
      </w:r>
      <w:r>
        <w:rPr>
          <w:rFonts w:eastAsia="方正仿宋简体"/>
          <w:color w:val="000000"/>
          <w:sz w:val="30"/>
          <w:szCs w:val="30"/>
        </w:rPr>
        <w:t>社会保障制度更加公平更可持续，基本实现法定人员社会保障全覆盖。居民享有现代化的教育、医疗、卫生、文化、养老、住房、健身、公共交通等服务体系，“健康长沙”基本建成。</w:t>
      </w:r>
    </w:p>
    <w:p>
      <w:pPr>
        <w:adjustRightInd w:val="0"/>
        <w:snapToGrid w:val="0"/>
        <w:spacing w:line="600" w:lineRule="exact"/>
        <w:ind w:firstLine="600" w:firstLineChars="200"/>
        <w:rPr>
          <w:rFonts w:eastAsia="方正仿宋简体"/>
          <w:color w:val="000000"/>
          <w:sz w:val="30"/>
          <w:szCs w:val="30"/>
        </w:rPr>
      </w:pPr>
      <w:r>
        <w:rPr>
          <w:rFonts w:eastAsia="方正仿宋简体"/>
          <w:bCs/>
          <w:color w:val="000000"/>
          <w:sz w:val="30"/>
          <w:szCs w:val="30"/>
        </w:rPr>
        <w:t>——增强民生安全感。</w:t>
      </w:r>
      <w:r>
        <w:rPr>
          <w:rFonts w:eastAsia="方正仿宋简体"/>
          <w:color w:val="000000"/>
          <w:sz w:val="30"/>
          <w:szCs w:val="30"/>
        </w:rPr>
        <w:t>依法治市成效明显，法治政府、法治社会、法治城市基本建成，公共安全水平明显提高，社会公平正义得到有效维护，社会治安公众满意度达90%。</w:t>
      </w:r>
    </w:p>
    <w:p>
      <w:pPr>
        <w:adjustRightInd w:val="0"/>
        <w:snapToGrid w:val="0"/>
        <w:spacing w:line="600" w:lineRule="exact"/>
        <w:ind w:firstLine="600" w:firstLineChars="200"/>
        <w:rPr>
          <w:rFonts w:hint="eastAsia" w:eastAsia="方正仿宋简体"/>
          <w:color w:val="000000"/>
          <w:sz w:val="30"/>
          <w:szCs w:val="30"/>
        </w:rPr>
      </w:pPr>
      <w:r>
        <w:rPr>
          <w:rFonts w:eastAsia="方正仿宋简体"/>
          <w:bCs/>
          <w:color w:val="000000"/>
          <w:sz w:val="30"/>
          <w:szCs w:val="30"/>
        </w:rPr>
        <w:t>——增强民生愉悦感。</w:t>
      </w:r>
      <w:r>
        <w:rPr>
          <w:rFonts w:eastAsia="方正仿宋简体"/>
          <w:color w:val="000000"/>
          <w:sz w:val="30"/>
          <w:szCs w:val="30"/>
        </w:rPr>
        <w:t>中国梦和社会主义核心价值观更加深入人心，向上向善、互信互助的社会风尚更加浓厚，人民群众思想道德素质、科学文化素质明显提高。</w:t>
      </w:r>
    </w:p>
    <w:p>
      <w:pPr>
        <w:adjustRightInd w:val="0"/>
        <w:snapToGrid w:val="0"/>
        <w:spacing w:line="600" w:lineRule="exact"/>
        <w:ind w:firstLine="560" w:firstLineChars="200"/>
        <w:jc w:val="center"/>
        <w:rPr>
          <w:rFonts w:hint="eastAsia" w:ascii="黑体" w:eastAsia="黑体"/>
          <w:color w:val="000000"/>
          <w:sz w:val="28"/>
          <w:szCs w:val="28"/>
        </w:rPr>
      </w:pPr>
      <w:r>
        <w:rPr>
          <w:rFonts w:hint="eastAsia" w:ascii="黑体" w:eastAsia="黑体"/>
          <w:color w:val="000000"/>
          <w:sz w:val="28"/>
          <w:szCs w:val="28"/>
        </w:rPr>
        <w:t>专栏2：长沙市“十三五”经济社会发展主要目标</w:t>
      </w:r>
    </w:p>
    <w:tbl>
      <w:tblPr>
        <w:tblStyle w:val="15"/>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82"/>
        <w:gridCol w:w="693"/>
        <w:gridCol w:w="2124"/>
        <w:gridCol w:w="1596"/>
        <w:gridCol w:w="1287"/>
        <w:gridCol w:w="1484"/>
        <w:gridCol w:w="11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39" w:hRule="atLeast"/>
          <w:tblHeader/>
          <w:jc w:val="center"/>
        </w:trPr>
        <w:tc>
          <w:tcPr>
            <w:tcW w:w="682" w:type="dxa"/>
            <w:noWrap w:val="0"/>
            <w:vAlign w:val="center"/>
          </w:tcPr>
          <w:p>
            <w:pPr>
              <w:adjustRightInd w:val="0"/>
              <w:snapToGrid w:val="0"/>
              <w:jc w:val="center"/>
              <w:rPr>
                <w:rFonts w:eastAsia="方正仿宋简体"/>
                <w:bCs/>
                <w:color w:val="000000"/>
                <w:szCs w:val="21"/>
              </w:rPr>
            </w:pPr>
            <w:r>
              <w:rPr>
                <w:rFonts w:eastAsia="方正仿宋简体"/>
                <w:bCs/>
                <w:color w:val="000000"/>
                <w:szCs w:val="21"/>
              </w:rPr>
              <w:t>序号</w:t>
            </w:r>
          </w:p>
        </w:tc>
        <w:tc>
          <w:tcPr>
            <w:tcW w:w="2817" w:type="dxa"/>
            <w:gridSpan w:val="2"/>
            <w:noWrap w:val="0"/>
            <w:vAlign w:val="center"/>
          </w:tcPr>
          <w:p>
            <w:pPr>
              <w:adjustRightInd w:val="0"/>
              <w:snapToGrid w:val="0"/>
              <w:jc w:val="center"/>
              <w:rPr>
                <w:rFonts w:eastAsia="方正仿宋简体"/>
                <w:bCs/>
                <w:color w:val="000000"/>
                <w:szCs w:val="21"/>
              </w:rPr>
            </w:pPr>
            <w:r>
              <w:rPr>
                <w:rFonts w:eastAsia="方正仿宋简体"/>
                <w:bCs/>
                <w:color w:val="000000"/>
                <w:szCs w:val="21"/>
              </w:rPr>
              <w:t>指    标</w:t>
            </w:r>
          </w:p>
        </w:tc>
        <w:tc>
          <w:tcPr>
            <w:tcW w:w="1596" w:type="dxa"/>
            <w:noWrap w:val="0"/>
            <w:vAlign w:val="center"/>
          </w:tcPr>
          <w:p>
            <w:pPr>
              <w:adjustRightInd w:val="0"/>
              <w:snapToGrid w:val="0"/>
              <w:jc w:val="center"/>
              <w:rPr>
                <w:rFonts w:eastAsia="方正仿宋简体"/>
                <w:bCs/>
                <w:color w:val="000000"/>
                <w:szCs w:val="21"/>
              </w:rPr>
            </w:pPr>
            <w:r>
              <w:rPr>
                <w:rFonts w:eastAsia="方正仿宋简体"/>
                <w:bCs/>
                <w:color w:val="000000"/>
                <w:szCs w:val="21"/>
              </w:rPr>
              <w:t>单  位</w:t>
            </w:r>
          </w:p>
        </w:tc>
        <w:tc>
          <w:tcPr>
            <w:tcW w:w="1287" w:type="dxa"/>
            <w:noWrap w:val="0"/>
            <w:vAlign w:val="center"/>
          </w:tcPr>
          <w:p>
            <w:pPr>
              <w:adjustRightInd w:val="0"/>
              <w:snapToGrid w:val="0"/>
              <w:jc w:val="center"/>
              <w:rPr>
                <w:rFonts w:eastAsia="方正仿宋简体"/>
                <w:bCs/>
                <w:color w:val="000000"/>
                <w:szCs w:val="21"/>
              </w:rPr>
            </w:pPr>
            <w:r>
              <w:rPr>
                <w:rFonts w:eastAsia="方正仿宋简体"/>
                <w:bCs/>
                <w:color w:val="000000"/>
                <w:szCs w:val="21"/>
              </w:rPr>
              <w:t>2015年</w:t>
            </w:r>
          </w:p>
        </w:tc>
        <w:tc>
          <w:tcPr>
            <w:tcW w:w="1484" w:type="dxa"/>
            <w:noWrap w:val="0"/>
            <w:vAlign w:val="center"/>
          </w:tcPr>
          <w:p>
            <w:pPr>
              <w:adjustRightInd w:val="0"/>
              <w:snapToGrid w:val="0"/>
              <w:jc w:val="center"/>
              <w:rPr>
                <w:rFonts w:eastAsia="方正仿宋简体"/>
                <w:bCs/>
                <w:color w:val="000000"/>
                <w:szCs w:val="21"/>
              </w:rPr>
            </w:pPr>
            <w:r>
              <w:rPr>
                <w:rFonts w:eastAsia="方正仿宋简体"/>
                <w:bCs/>
                <w:color w:val="000000"/>
                <w:szCs w:val="21"/>
              </w:rPr>
              <w:t>2020年</w:t>
            </w:r>
          </w:p>
        </w:tc>
        <w:tc>
          <w:tcPr>
            <w:tcW w:w="1134" w:type="dxa"/>
            <w:noWrap w:val="0"/>
            <w:vAlign w:val="center"/>
          </w:tcPr>
          <w:p>
            <w:pPr>
              <w:adjustRightInd w:val="0"/>
              <w:snapToGrid w:val="0"/>
              <w:jc w:val="center"/>
              <w:rPr>
                <w:rFonts w:eastAsia="方正仿宋简体"/>
                <w:bCs/>
                <w:color w:val="000000"/>
                <w:szCs w:val="21"/>
              </w:rPr>
            </w:pPr>
            <w:r>
              <w:rPr>
                <w:rFonts w:eastAsia="方正仿宋简体"/>
                <w:bCs/>
                <w:color w:val="000000"/>
                <w:szCs w:val="21"/>
              </w:rPr>
              <w:t>指标属性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39" w:hRule="atLeast"/>
          <w:jc w:val="center"/>
        </w:trPr>
        <w:tc>
          <w:tcPr>
            <w:tcW w:w="682" w:type="dxa"/>
            <w:vMerge w:val="restart"/>
            <w:noWrap w:val="0"/>
            <w:vAlign w:val="center"/>
          </w:tcPr>
          <w:p>
            <w:pPr>
              <w:adjustRightInd w:val="0"/>
              <w:snapToGrid w:val="0"/>
              <w:jc w:val="center"/>
              <w:rPr>
                <w:rFonts w:eastAsia="方正仿宋简体"/>
                <w:color w:val="000000"/>
                <w:szCs w:val="21"/>
              </w:rPr>
            </w:pPr>
            <w:r>
              <w:rPr>
                <w:rFonts w:eastAsia="方正仿宋简体"/>
                <w:color w:val="000000"/>
                <w:szCs w:val="21"/>
              </w:rPr>
              <w:t>1</w:t>
            </w:r>
          </w:p>
        </w:tc>
        <w:tc>
          <w:tcPr>
            <w:tcW w:w="2817" w:type="dxa"/>
            <w:gridSpan w:val="2"/>
            <w:vMerge w:val="restart"/>
            <w:noWrap w:val="0"/>
            <w:vAlign w:val="center"/>
          </w:tcPr>
          <w:p>
            <w:pPr>
              <w:adjustRightInd w:val="0"/>
              <w:snapToGrid w:val="0"/>
              <w:jc w:val="center"/>
              <w:rPr>
                <w:rFonts w:eastAsia="方正仿宋简体"/>
                <w:color w:val="000000"/>
                <w:szCs w:val="21"/>
              </w:rPr>
            </w:pPr>
            <w:r>
              <w:rPr>
                <w:rFonts w:eastAsia="方正仿宋简体"/>
                <w:color w:val="000000"/>
                <w:szCs w:val="21"/>
              </w:rPr>
              <w:t>地区生产总值</w:t>
            </w:r>
          </w:p>
        </w:tc>
        <w:tc>
          <w:tcPr>
            <w:tcW w:w="1596" w:type="dxa"/>
            <w:noWrap w:val="0"/>
            <w:vAlign w:val="center"/>
          </w:tcPr>
          <w:p>
            <w:pPr>
              <w:adjustRightInd w:val="0"/>
              <w:snapToGrid w:val="0"/>
              <w:jc w:val="center"/>
              <w:rPr>
                <w:rFonts w:eastAsia="方正仿宋简体"/>
                <w:color w:val="000000"/>
                <w:szCs w:val="21"/>
              </w:rPr>
            </w:pPr>
            <w:r>
              <w:rPr>
                <w:rFonts w:eastAsia="方正仿宋简体"/>
                <w:color w:val="000000"/>
                <w:szCs w:val="21"/>
              </w:rPr>
              <w:t>总值（亿元）</w:t>
            </w:r>
          </w:p>
        </w:tc>
        <w:tc>
          <w:tcPr>
            <w:tcW w:w="1287" w:type="dxa"/>
            <w:noWrap w:val="0"/>
            <w:vAlign w:val="center"/>
          </w:tcPr>
          <w:p>
            <w:pPr>
              <w:adjustRightInd w:val="0"/>
              <w:snapToGrid w:val="0"/>
              <w:jc w:val="center"/>
              <w:rPr>
                <w:rFonts w:eastAsia="方正仿宋简体"/>
                <w:color w:val="000000"/>
                <w:szCs w:val="21"/>
              </w:rPr>
            </w:pPr>
            <w:r>
              <w:rPr>
                <w:rFonts w:eastAsia="方正仿宋简体"/>
                <w:color w:val="000000"/>
                <w:szCs w:val="21"/>
              </w:rPr>
              <w:t>8510.13</w:t>
            </w:r>
          </w:p>
        </w:tc>
        <w:tc>
          <w:tcPr>
            <w:tcW w:w="1484" w:type="dxa"/>
            <w:noWrap w:val="0"/>
            <w:vAlign w:val="center"/>
          </w:tcPr>
          <w:p>
            <w:pPr>
              <w:adjustRightInd w:val="0"/>
              <w:snapToGrid w:val="0"/>
              <w:jc w:val="center"/>
              <w:rPr>
                <w:rFonts w:eastAsia="方正仿宋简体"/>
                <w:color w:val="000000"/>
                <w:szCs w:val="21"/>
              </w:rPr>
            </w:pPr>
            <w:r>
              <w:rPr>
                <w:rFonts w:eastAsia="方正仿宋简体"/>
                <w:color w:val="000000"/>
                <w:szCs w:val="21"/>
              </w:rPr>
              <w:t>13000</w:t>
            </w:r>
          </w:p>
        </w:tc>
        <w:tc>
          <w:tcPr>
            <w:tcW w:w="1134" w:type="dxa"/>
            <w:noWrap w:val="0"/>
            <w:vAlign w:val="center"/>
          </w:tcPr>
          <w:p>
            <w:pPr>
              <w:adjustRightInd w:val="0"/>
              <w:snapToGrid w:val="0"/>
              <w:jc w:val="center"/>
              <w:rPr>
                <w:rFonts w:eastAsia="方正仿宋简体"/>
                <w:color w:val="000000"/>
                <w:szCs w:val="21"/>
              </w:rPr>
            </w:pPr>
            <w:r>
              <w:rPr>
                <w:rFonts w:eastAsia="方正仿宋简体"/>
                <w:color w:val="000000"/>
                <w:szCs w:val="21"/>
              </w:rPr>
              <w:t>预期性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39" w:hRule="atLeast"/>
          <w:jc w:val="center"/>
        </w:trPr>
        <w:tc>
          <w:tcPr>
            <w:tcW w:w="682" w:type="dxa"/>
            <w:vMerge w:val="continue"/>
            <w:noWrap w:val="0"/>
            <w:vAlign w:val="center"/>
          </w:tcPr>
          <w:p>
            <w:pPr>
              <w:adjustRightInd w:val="0"/>
              <w:snapToGrid w:val="0"/>
              <w:jc w:val="left"/>
              <w:rPr>
                <w:rFonts w:eastAsia="方正仿宋简体"/>
                <w:color w:val="000000"/>
                <w:szCs w:val="21"/>
              </w:rPr>
            </w:pPr>
          </w:p>
        </w:tc>
        <w:tc>
          <w:tcPr>
            <w:tcW w:w="2817" w:type="dxa"/>
            <w:gridSpan w:val="2"/>
            <w:vMerge w:val="continue"/>
            <w:noWrap w:val="0"/>
            <w:vAlign w:val="center"/>
          </w:tcPr>
          <w:p>
            <w:pPr>
              <w:adjustRightInd w:val="0"/>
              <w:snapToGrid w:val="0"/>
              <w:jc w:val="left"/>
              <w:rPr>
                <w:rFonts w:eastAsia="方正仿宋简体"/>
                <w:color w:val="000000"/>
                <w:szCs w:val="21"/>
              </w:rPr>
            </w:pPr>
          </w:p>
        </w:tc>
        <w:tc>
          <w:tcPr>
            <w:tcW w:w="1596" w:type="dxa"/>
            <w:noWrap w:val="0"/>
            <w:vAlign w:val="center"/>
          </w:tcPr>
          <w:p>
            <w:pPr>
              <w:adjustRightInd w:val="0"/>
              <w:snapToGrid w:val="0"/>
              <w:jc w:val="center"/>
              <w:rPr>
                <w:rFonts w:eastAsia="方正仿宋简体"/>
                <w:color w:val="000000"/>
                <w:szCs w:val="21"/>
              </w:rPr>
            </w:pPr>
            <w:r>
              <w:rPr>
                <w:rFonts w:eastAsia="方正仿宋简体"/>
                <w:color w:val="000000"/>
                <w:szCs w:val="21"/>
              </w:rPr>
              <w:t>年均增长（%）</w:t>
            </w:r>
          </w:p>
        </w:tc>
        <w:tc>
          <w:tcPr>
            <w:tcW w:w="1287" w:type="dxa"/>
            <w:noWrap w:val="0"/>
            <w:vAlign w:val="center"/>
          </w:tcPr>
          <w:p>
            <w:pPr>
              <w:adjustRightInd w:val="0"/>
              <w:snapToGrid w:val="0"/>
              <w:jc w:val="center"/>
              <w:rPr>
                <w:rFonts w:eastAsia="方正仿宋简体"/>
                <w:color w:val="000000"/>
                <w:szCs w:val="21"/>
              </w:rPr>
            </w:pPr>
            <w:r>
              <w:rPr>
                <w:rFonts w:eastAsia="方正仿宋简体"/>
                <w:color w:val="000000"/>
                <w:szCs w:val="21"/>
              </w:rPr>
              <w:t>12</w:t>
            </w:r>
          </w:p>
        </w:tc>
        <w:tc>
          <w:tcPr>
            <w:tcW w:w="1484" w:type="dxa"/>
            <w:noWrap w:val="0"/>
            <w:vAlign w:val="center"/>
          </w:tcPr>
          <w:p>
            <w:pPr>
              <w:adjustRightInd w:val="0"/>
              <w:snapToGrid w:val="0"/>
              <w:jc w:val="center"/>
              <w:rPr>
                <w:rFonts w:eastAsia="方正仿宋简体"/>
                <w:color w:val="000000"/>
                <w:szCs w:val="21"/>
              </w:rPr>
            </w:pPr>
            <w:r>
              <w:rPr>
                <w:rFonts w:eastAsia="方正仿宋简体"/>
                <w:color w:val="000000"/>
                <w:szCs w:val="21"/>
              </w:rPr>
              <w:t>9</w:t>
            </w:r>
          </w:p>
        </w:tc>
        <w:tc>
          <w:tcPr>
            <w:tcW w:w="1134" w:type="dxa"/>
            <w:noWrap w:val="0"/>
            <w:vAlign w:val="center"/>
          </w:tcPr>
          <w:p>
            <w:pPr>
              <w:adjustRightInd w:val="0"/>
              <w:snapToGrid w:val="0"/>
              <w:jc w:val="center"/>
              <w:rPr>
                <w:rFonts w:eastAsia="方正仿宋简体"/>
                <w:color w:val="000000"/>
                <w:szCs w:val="21"/>
              </w:rPr>
            </w:pPr>
            <w:r>
              <w:rPr>
                <w:rFonts w:eastAsia="方正仿宋简体"/>
                <w:color w:val="000000"/>
                <w:szCs w:val="21"/>
              </w:rPr>
              <w:t>预期性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39" w:hRule="atLeast"/>
          <w:jc w:val="center"/>
        </w:trPr>
        <w:tc>
          <w:tcPr>
            <w:tcW w:w="682" w:type="dxa"/>
            <w:noWrap w:val="0"/>
            <w:vAlign w:val="center"/>
          </w:tcPr>
          <w:p>
            <w:pPr>
              <w:adjustRightInd w:val="0"/>
              <w:snapToGrid w:val="0"/>
              <w:jc w:val="center"/>
              <w:rPr>
                <w:rFonts w:eastAsia="方正仿宋简体"/>
                <w:color w:val="000000"/>
                <w:szCs w:val="21"/>
              </w:rPr>
            </w:pPr>
            <w:r>
              <w:rPr>
                <w:rFonts w:eastAsia="方正仿宋简体"/>
                <w:color w:val="000000"/>
                <w:szCs w:val="21"/>
              </w:rPr>
              <w:t>2</w:t>
            </w:r>
          </w:p>
        </w:tc>
        <w:tc>
          <w:tcPr>
            <w:tcW w:w="2817" w:type="dxa"/>
            <w:gridSpan w:val="2"/>
            <w:noWrap w:val="0"/>
            <w:vAlign w:val="center"/>
          </w:tcPr>
          <w:p>
            <w:pPr>
              <w:adjustRightInd w:val="0"/>
              <w:snapToGrid w:val="0"/>
              <w:jc w:val="center"/>
              <w:rPr>
                <w:rFonts w:eastAsia="方正仿宋简体"/>
                <w:color w:val="000000"/>
                <w:szCs w:val="21"/>
              </w:rPr>
            </w:pPr>
            <w:r>
              <w:rPr>
                <w:rFonts w:eastAsia="方正仿宋简体"/>
                <w:color w:val="000000"/>
                <w:szCs w:val="21"/>
              </w:rPr>
              <w:t>人均地区生产总值</w:t>
            </w:r>
          </w:p>
        </w:tc>
        <w:tc>
          <w:tcPr>
            <w:tcW w:w="1596" w:type="dxa"/>
            <w:noWrap w:val="0"/>
            <w:vAlign w:val="center"/>
          </w:tcPr>
          <w:p>
            <w:pPr>
              <w:adjustRightInd w:val="0"/>
              <w:snapToGrid w:val="0"/>
              <w:jc w:val="center"/>
              <w:rPr>
                <w:rFonts w:eastAsia="方正仿宋简体"/>
                <w:color w:val="000000"/>
                <w:szCs w:val="21"/>
              </w:rPr>
            </w:pPr>
            <w:r>
              <w:rPr>
                <w:rFonts w:eastAsia="方正仿宋简体"/>
                <w:color w:val="000000"/>
                <w:szCs w:val="21"/>
              </w:rPr>
              <w:t>元</w:t>
            </w:r>
          </w:p>
        </w:tc>
        <w:tc>
          <w:tcPr>
            <w:tcW w:w="1287" w:type="dxa"/>
            <w:noWrap w:val="0"/>
            <w:vAlign w:val="center"/>
          </w:tcPr>
          <w:p>
            <w:pPr>
              <w:adjustRightInd w:val="0"/>
              <w:snapToGrid w:val="0"/>
              <w:jc w:val="center"/>
              <w:rPr>
                <w:rFonts w:eastAsia="方正仿宋简体"/>
                <w:color w:val="000000"/>
                <w:szCs w:val="21"/>
              </w:rPr>
            </w:pPr>
            <w:r>
              <w:rPr>
                <w:rFonts w:eastAsia="方正仿宋简体"/>
                <w:color w:val="000000"/>
                <w:szCs w:val="21"/>
              </w:rPr>
              <w:t>115443</w:t>
            </w:r>
          </w:p>
        </w:tc>
        <w:tc>
          <w:tcPr>
            <w:tcW w:w="1484" w:type="dxa"/>
            <w:noWrap w:val="0"/>
            <w:vAlign w:val="center"/>
          </w:tcPr>
          <w:p>
            <w:pPr>
              <w:adjustRightInd w:val="0"/>
              <w:snapToGrid w:val="0"/>
              <w:jc w:val="center"/>
              <w:rPr>
                <w:rFonts w:eastAsia="方正仿宋简体"/>
                <w:color w:val="000000"/>
                <w:szCs w:val="21"/>
              </w:rPr>
            </w:pPr>
            <w:r>
              <w:rPr>
                <w:rFonts w:eastAsia="方正仿宋简体"/>
                <w:color w:val="000000"/>
                <w:szCs w:val="21"/>
              </w:rPr>
              <w:t>160000</w:t>
            </w:r>
          </w:p>
        </w:tc>
        <w:tc>
          <w:tcPr>
            <w:tcW w:w="1134" w:type="dxa"/>
            <w:noWrap w:val="0"/>
            <w:vAlign w:val="center"/>
          </w:tcPr>
          <w:p>
            <w:pPr>
              <w:adjustRightInd w:val="0"/>
              <w:snapToGrid w:val="0"/>
              <w:jc w:val="center"/>
              <w:rPr>
                <w:rFonts w:eastAsia="方正仿宋简体"/>
                <w:color w:val="000000"/>
                <w:szCs w:val="21"/>
              </w:rPr>
            </w:pPr>
            <w:r>
              <w:rPr>
                <w:rFonts w:eastAsia="方正仿宋简体"/>
                <w:color w:val="000000"/>
                <w:szCs w:val="21"/>
              </w:rPr>
              <w:t>预期性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39" w:hRule="atLeast"/>
          <w:jc w:val="center"/>
        </w:trPr>
        <w:tc>
          <w:tcPr>
            <w:tcW w:w="682" w:type="dxa"/>
            <w:noWrap w:val="0"/>
            <w:vAlign w:val="center"/>
          </w:tcPr>
          <w:p>
            <w:pPr>
              <w:adjustRightInd w:val="0"/>
              <w:snapToGrid w:val="0"/>
              <w:jc w:val="center"/>
              <w:rPr>
                <w:rFonts w:eastAsia="方正仿宋简体"/>
                <w:color w:val="000000"/>
                <w:szCs w:val="21"/>
              </w:rPr>
            </w:pPr>
            <w:r>
              <w:rPr>
                <w:rFonts w:eastAsia="方正仿宋简体"/>
                <w:color w:val="000000"/>
                <w:szCs w:val="21"/>
              </w:rPr>
              <w:t>3</w:t>
            </w:r>
          </w:p>
        </w:tc>
        <w:tc>
          <w:tcPr>
            <w:tcW w:w="2817" w:type="dxa"/>
            <w:gridSpan w:val="2"/>
            <w:noWrap w:val="0"/>
            <w:vAlign w:val="center"/>
          </w:tcPr>
          <w:p>
            <w:pPr>
              <w:adjustRightInd w:val="0"/>
              <w:snapToGrid w:val="0"/>
              <w:jc w:val="center"/>
              <w:rPr>
                <w:rFonts w:eastAsia="方正仿宋简体"/>
                <w:color w:val="000000"/>
                <w:szCs w:val="21"/>
              </w:rPr>
            </w:pPr>
            <w:r>
              <w:rPr>
                <w:rFonts w:eastAsia="方正仿宋简体"/>
                <w:color w:val="000000"/>
                <w:szCs w:val="21"/>
              </w:rPr>
              <w:t>财政总收入</w:t>
            </w:r>
          </w:p>
        </w:tc>
        <w:tc>
          <w:tcPr>
            <w:tcW w:w="1596" w:type="dxa"/>
            <w:noWrap w:val="0"/>
            <w:vAlign w:val="center"/>
          </w:tcPr>
          <w:p>
            <w:pPr>
              <w:adjustRightInd w:val="0"/>
              <w:snapToGrid w:val="0"/>
              <w:jc w:val="center"/>
              <w:rPr>
                <w:rFonts w:eastAsia="方正仿宋简体"/>
                <w:color w:val="000000"/>
                <w:szCs w:val="21"/>
              </w:rPr>
            </w:pPr>
            <w:r>
              <w:rPr>
                <w:rFonts w:eastAsia="方正仿宋简体"/>
                <w:color w:val="000000"/>
                <w:szCs w:val="21"/>
              </w:rPr>
              <w:t>年均增长（%）</w:t>
            </w:r>
          </w:p>
        </w:tc>
        <w:tc>
          <w:tcPr>
            <w:tcW w:w="1287" w:type="dxa"/>
            <w:noWrap w:val="0"/>
            <w:vAlign w:val="center"/>
          </w:tcPr>
          <w:p>
            <w:pPr>
              <w:adjustRightInd w:val="0"/>
              <w:snapToGrid w:val="0"/>
              <w:jc w:val="center"/>
              <w:rPr>
                <w:rFonts w:eastAsia="方正仿宋简体"/>
                <w:color w:val="000000"/>
                <w:szCs w:val="21"/>
              </w:rPr>
            </w:pPr>
            <w:r>
              <w:rPr>
                <w:rFonts w:eastAsia="方正仿宋简体"/>
                <w:color w:val="000000"/>
                <w:szCs w:val="21"/>
              </w:rPr>
              <w:t>16.8</w:t>
            </w:r>
          </w:p>
        </w:tc>
        <w:tc>
          <w:tcPr>
            <w:tcW w:w="1484" w:type="dxa"/>
            <w:noWrap w:val="0"/>
            <w:vAlign w:val="center"/>
          </w:tcPr>
          <w:p>
            <w:pPr>
              <w:adjustRightInd w:val="0"/>
              <w:snapToGrid w:val="0"/>
              <w:jc w:val="center"/>
              <w:rPr>
                <w:rFonts w:eastAsia="方正仿宋简体"/>
                <w:color w:val="000000"/>
                <w:szCs w:val="21"/>
              </w:rPr>
            </w:pPr>
            <w:r>
              <w:rPr>
                <w:rFonts w:eastAsia="方正仿宋简体"/>
                <w:color w:val="000000"/>
                <w:szCs w:val="21"/>
              </w:rPr>
              <w:t>10</w:t>
            </w:r>
          </w:p>
        </w:tc>
        <w:tc>
          <w:tcPr>
            <w:tcW w:w="1134" w:type="dxa"/>
            <w:noWrap w:val="0"/>
            <w:vAlign w:val="center"/>
          </w:tcPr>
          <w:p>
            <w:pPr>
              <w:adjustRightInd w:val="0"/>
              <w:snapToGrid w:val="0"/>
              <w:jc w:val="center"/>
              <w:rPr>
                <w:rFonts w:eastAsia="方正仿宋简体"/>
                <w:color w:val="000000"/>
                <w:szCs w:val="21"/>
              </w:rPr>
            </w:pPr>
            <w:r>
              <w:rPr>
                <w:rFonts w:eastAsia="方正仿宋简体"/>
                <w:color w:val="000000"/>
                <w:szCs w:val="21"/>
              </w:rPr>
              <w:t>预期性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39" w:hRule="atLeast"/>
          <w:jc w:val="center"/>
        </w:trPr>
        <w:tc>
          <w:tcPr>
            <w:tcW w:w="682" w:type="dxa"/>
            <w:noWrap w:val="0"/>
            <w:vAlign w:val="center"/>
          </w:tcPr>
          <w:p>
            <w:pPr>
              <w:adjustRightInd w:val="0"/>
              <w:snapToGrid w:val="0"/>
              <w:jc w:val="center"/>
              <w:rPr>
                <w:rFonts w:eastAsia="方正仿宋简体"/>
                <w:color w:val="000000"/>
                <w:szCs w:val="21"/>
              </w:rPr>
            </w:pPr>
            <w:r>
              <w:rPr>
                <w:rFonts w:eastAsia="方正仿宋简体"/>
                <w:color w:val="000000"/>
                <w:szCs w:val="21"/>
              </w:rPr>
              <w:t>4</w:t>
            </w:r>
          </w:p>
        </w:tc>
        <w:tc>
          <w:tcPr>
            <w:tcW w:w="2817" w:type="dxa"/>
            <w:gridSpan w:val="2"/>
            <w:noWrap w:val="0"/>
            <w:vAlign w:val="center"/>
          </w:tcPr>
          <w:p>
            <w:pPr>
              <w:adjustRightInd w:val="0"/>
              <w:snapToGrid w:val="0"/>
              <w:jc w:val="center"/>
              <w:rPr>
                <w:rFonts w:eastAsia="方正仿宋简体"/>
                <w:color w:val="000000"/>
                <w:szCs w:val="21"/>
              </w:rPr>
            </w:pPr>
            <w:r>
              <w:rPr>
                <w:rFonts w:eastAsia="方正仿宋简体"/>
                <w:color w:val="000000"/>
                <w:szCs w:val="21"/>
              </w:rPr>
              <w:t>固定资产投资</w:t>
            </w:r>
          </w:p>
        </w:tc>
        <w:tc>
          <w:tcPr>
            <w:tcW w:w="1596" w:type="dxa"/>
            <w:noWrap w:val="0"/>
            <w:vAlign w:val="center"/>
          </w:tcPr>
          <w:p>
            <w:pPr>
              <w:adjustRightInd w:val="0"/>
              <w:snapToGrid w:val="0"/>
              <w:jc w:val="center"/>
              <w:rPr>
                <w:rFonts w:eastAsia="方正仿宋简体"/>
                <w:color w:val="000000"/>
                <w:szCs w:val="21"/>
              </w:rPr>
            </w:pPr>
            <w:r>
              <w:rPr>
                <w:rFonts w:eastAsia="方正仿宋简体"/>
                <w:color w:val="000000"/>
                <w:szCs w:val="21"/>
              </w:rPr>
              <w:t>年均增长（%）</w:t>
            </w:r>
          </w:p>
        </w:tc>
        <w:tc>
          <w:tcPr>
            <w:tcW w:w="1287" w:type="dxa"/>
            <w:noWrap w:val="0"/>
            <w:vAlign w:val="center"/>
          </w:tcPr>
          <w:p>
            <w:pPr>
              <w:adjustRightInd w:val="0"/>
              <w:snapToGrid w:val="0"/>
              <w:jc w:val="center"/>
              <w:rPr>
                <w:rFonts w:eastAsia="方正仿宋简体"/>
                <w:color w:val="000000"/>
                <w:szCs w:val="21"/>
              </w:rPr>
            </w:pPr>
            <w:r>
              <w:rPr>
                <w:rFonts w:eastAsia="方正仿宋简体"/>
                <w:color w:val="000000"/>
                <w:szCs w:val="21"/>
              </w:rPr>
              <w:t>20.2</w:t>
            </w:r>
          </w:p>
        </w:tc>
        <w:tc>
          <w:tcPr>
            <w:tcW w:w="1484" w:type="dxa"/>
            <w:noWrap w:val="0"/>
            <w:vAlign w:val="center"/>
          </w:tcPr>
          <w:p>
            <w:pPr>
              <w:adjustRightInd w:val="0"/>
              <w:snapToGrid w:val="0"/>
              <w:jc w:val="center"/>
              <w:rPr>
                <w:rFonts w:eastAsia="方正仿宋简体"/>
                <w:color w:val="000000"/>
                <w:szCs w:val="21"/>
              </w:rPr>
            </w:pPr>
            <w:r>
              <w:rPr>
                <w:rFonts w:eastAsia="方正仿宋简体"/>
                <w:color w:val="000000"/>
                <w:szCs w:val="21"/>
              </w:rPr>
              <w:t>12</w:t>
            </w:r>
          </w:p>
        </w:tc>
        <w:tc>
          <w:tcPr>
            <w:tcW w:w="1134" w:type="dxa"/>
            <w:noWrap w:val="0"/>
            <w:vAlign w:val="center"/>
          </w:tcPr>
          <w:p>
            <w:pPr>
              <w:adjustRightInd w:val="0"/>
              <w:snapToGrid w:val="0"/>
              <w:jc w:val="center"/>
              <w:rPr>
                <w:rFonts w:eastAsia="方正仿宋简体"/>
                <w:color w:val="000000"/>
                <w:szCs w:val="21"/>
              </w:rPr>
            </w:pPr>
            <w:r>
              <w:rPr>
                <w:rFonts w:eastAsia="方正仿宋简体"/>
                <w:color w:val="000000"/>
                <w:szCs w:val="21"/>
              </w:rPr>
              <w:t>预期性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39" w:hRule="atLeast"/>
          <w:jc w:val="center"/>
        </w:trPr>
        <w:tc>
          <w:tcPr>
            <w:tcW w:w="682" w:type="dxa"/>
            <w:noWrap w:val="0"/>
            <w:vAlign w:val="center"/>
          </w:tcPr>
          <w:p>
            <w:pPr>
              <w:adjustRightInd w:val="0"/>
              <w:snapToGrid w:val="0"/>
              <w:jc w:val="center"/>
              <w:rPr>
                <w:rFonts w:eastAsia="方正仿宋简体"/>
                <w:color w:val="000000"/>
                <w:szCs w:val="21"/>
              </w:rPr>
            </w:pPr>
            <w:r>
              <w:rPr>
                <w:rFonts w:eastAsia="方正仿宋简体"/>
                <w:color w:val="000000"/>
                <w:szCs w:val="21"/>
              </w:rPr>
              <w:t>5</w:t>
            </w:r>
          </w:p>
        </w:tc>
        <w:tc>
          <w:tcPr>
            <w:tcW w:w="2817" w:type="dxa"/>
            <w:gridSpan w:val="2"/>
            <w:noWrap w:val="0"/>
            <w:vAlign w:val="center"/>
          </w:tcPr>
          <w:p>
            <w:pPr>
              <w:adjustRightInd w:val="0"/>
              <w:snapToGrid w:val="0"/>
              <w:jc w:val="center"/>
              <w:rPr>
                <w:rFonts w:eastAsia="方正仿宋简体"/>
                <w:color w:val="000000"/>
                <w:szCs w:val="21"/>
              </w:rPr>
            </w:pPr>
            <w:r>
              <w:rPr>
                <w:rFonts w:eastAsia="方正仿宋简体"/>
                <w:color w:val="000000"/>
                <w:szCs w:val="21"/>
              </w:rPr>
              <w:t>社会消费品零售总额</w:t>
            </w:r>
          </w:p>
        </w:tc>
        <w:tc>
          <w:tcPr>
            <w:tcW w:w="1596" w:type="dxa"/>
            <w:noWrap w:val="0"/>
            <w:vAlign w:val="center"/>
          </w:tcPr>
          <w:p>
            <w:pPr>
              <w:adjustRightInd w:val="0"/>
              <w:snapToGrid w:val="0"/>
              <w:jc w:val="center"/>
              <w:rPr>
                <w:rFonts w:eastAsia="方正仿宋简体"/>
                <w:color w:val="000000"/>
                <w:szCs w:val="21"/>
              </w:rPr>
            </w:pPr>
            <w:r>
              <w:rPr>
                <w:rFonts w:eastAsia="方正仿宋简体"/>
                <w:color w:val="000000"/>
                <w:szCs w:val="21"/>
              </w:rPr>
              <w:t>年均增长（%）</w:t>
            </w:r>
          </w:p>
        </w:tc>
        <w:tc>
          <w:tcPr>
            <w:tcW w:w="1287" w:type="dxa"/>
            <w:noWrap w:val="0"/>
            <w:vAlign w:val="center"/>
          </w:tcPr>
          <w:p>
            <w:pPr>
              <w:adjustRightInd w:val="0"/>
              <w:snapToGrid w:val="0"/>
              <w:jc w:val="center"/>
              <w:rPr>
                <w:rFonts w:eastAsia="方正仿宋简体"/>
                <w:color w:val="000000"/>
                <w:szCs w:val="21"/>
              </w:rPr>
            </w:pPr>
            <w:r>
              <w:rPr>
                <w:rFonts w:eastAsia="方正仿宋简体"/>
                <w:color w:val="000000"/>
                <w:szCs w:val="21"/>
              </w:rPr>
              <w:t>15.1</w:t>
            </w:r>
          </w:p>
        </w:tc>
        <w:tc>
          <w:tcPr>
            <w:tcW w:w="1484" w:type="dxa"/>
            <w:noWrap w:val="0"/>
            <w:vAlign w:val="center"/>
          </w:tcPr>
          <w:p>
            <w:pPr>
              <w:adjustRightInd w:val="0"/>
              <w:snapToGrid w:val="0"/>
              <w:jc w:val="center"/>
              <w:rPr>
                <w:rFonts w:eastAsia="方正仿宋简体"/>
                <w:color w:val="000000"/>
                <w:szCs w:val="21"/>
              </w:rPr>
            </w:pPr>
            <w:r>
              <w:rPr>
                <w:rFonts w:eastAsia="方正仿宋简体"/>
                <w:color w:val="000000"/>
                <w:szCs w:val="21"/>
              </w:rPr>
              <w:t>10.5</w:t>
            </w:r>
          </w:p>
        </w:tc>
        <w:tc>
          <w:tcPr>
            <w:tcW w:w="1134" w:type="dxa"/>
            <w:noWrap w:val="0"/>
            <w:vAlign w:val="center"/>
          </w:tcPr>
          <w:p>
            <w:pPr>
              <w:adjustRightInd w:val="0"/>
              <w:snapToGrid w:val="0"/>
              <w:jc w:val="center"/>
              <w:rPr>
                <w:rFonts w:eastAsia="方正仿宋简体"/>
                <w:color w:val="000000"/>
                <w:szCs w:val="21"/>
              </w:rPr>
            </w:pPr>
            <w:r>
              <w:rPr>
                <w:rFonts w:eastAsia="方正仿宋简体"/>
                <w:color w:val="000000"/>
                <w:szCs w:val="21"/>
              </w:rPr>
              <w:t>预期性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39" w:hRule="atLeast"/>
          <w:jc w:val="center"/>
        </w:trPr>
        <w:tc>
          <w:tcPr>
            <w:tcW w:w="682" w:type="dxa"/>
            <w:noWrap w:val="0"/>
            <w:vAlign w:val="center"/>
          </w:tcPr>
          <w:p>
            <w:pPr>
              <w:adjustRightInd w:val="0"/>
              <w:snapToGrid w:val="0"/>
              <w:jc w:val="center"/>
              <w:rPr>
                <w:rFonts w:eastAsia="方正仿宋简体"/>
                <w:color w:val="000000"/>
                <w:szCs w:val="21"/>
              </w:rPr>
            </w:pPr>
            <w:r>
              <w:rPr>
                <w:rFonts w:eastAsia="方正仿宋简体"/>
                <w:color w:val="000000"/>
                <w:szCs w:val="21"/>
              </w:rPr>
              <w:t>6</w:t>
            </w:r>
          </w:p>
        </w:tc>
        <w:tc>
          <w:tcPr>
            <w:tcW w:w="2817" w:type="dxa"/>
            <w:gridSpan w:val="2"/>
            <w:noWrap w:val="0"/>
            <w:vAlign w:val="center"/>
          </w:tcPr>
          <w:p>
            <w:pPr>
              <w:adjustRightInd w:val="0"/>
              <w:snapToGrid w:val="0"/>
              <w:jc w:val="center"/>
              <w:rPr>
                <w:rFonts w:eastAsia="方正仿宋简体"/>
                <w:color w:val="000000"/>
                <w:szCs w:val="21"/>
              </w:rPr>
            </w:pPr>
            <w:r>
              <w:rPr>
                <w:rFonts w:eastAsia="方正仿宋简体"/>
                <w:color w:val="000000"/>
                <w:szCs w:val="21"/>
              </w:rPr>
              <w:t>规模工业增加值</w:t>
            </w:r>
          </w:p>
        </w:tc>
        <w:tc>
          <w:tcPr>
            <w:tcW w:w="1596" w:type="dxa"/>
            <w:noWrap w:val="0"/>
            <w:vAlign w:val="center"/>
          </w:tcPr>
          <w:p>
            <w:pPr>
              <w:adjustRightInd w:val="0"/>
              <w:snapToGrid w:val="0"/>
              <w:jc w:val="center"/>
              <w:rPr>
                <w:rFonts w:eastAsia="方正仿宋简体"/>
                <w:color w:val="000000"/>
                <w:szCs w:val="21"/>
              </w:rPr>
            </w:pPr>
            <w:r>
              <w:rPr>
                <w:rFonts w:eastAsia="方正仿宋简体"/>
                <w:color w:val="000000"/>
                <w:szCs w:val="21"/>
              </w:rPr>
              <w:t>年均增长（%）</w:t>
            </w:r>
          </w:p>
        </w:tc>
        <w:tc>
          <w:tcPr>
            <w:tcW w:w="1287" w:type="dxa"/>
            <w:noWrap w:val="0"/>
            <w:vAlign w:val="center"/>
          </w:tcPr>
          <w:p>
            <w:pPr>
              <w:adjustRightInd w:val="0"/>
              <w:snapToGrid w:val="0"/>
              <w:jc w:val="center"/>
              <w:rPr>
                <w:rFonts w:eastAsia="方正仿宋简体"/>
                <w:color w:val="000000"/>
                <w:szCs w:val="21"/>
              </w:rPr>
            </w:pPr>
            <w:r>
              <w:rPr>
                <w:rFonts w:eastAsia="方正仿宋简体"/>
                <w:color w:val="000000"/>
                <w:szCs w:val="21"/>
              </w:rPr>
              <w:t>14.7</w:t>
            </w:r>
          </w:p>
        </w:tc>
        <w:tc>
          <w:tcPr>
            <w:tcW w:w="1484" w:type="dxa"/>
            <w:noWrap w:val="0"/>
            <w:vAlign w:val="center"/>
          </w:tcPr>
          <w:p>
            <w:pPr>
              <w:adjustRightInd w:val="0"/>
              <w:snapToGrid w:val="0"/>
              <w:jc w:val="center"/>
              <w:rPr>
                <w:rFonts w:eastAsia="方正仿宋简体"/>
                <w:color w:val="000000"/>
                <w:szCs w:val="21"/>
              </w:rPr>
            </w:pPr>
            <w:r>
              <w:rPr>
                <w:rFonts w:eastAsia="方正仿宋简体"/>
                <w:color w:val="000000"/>
                <w:szCs w:val="21"/>
              </w:rPr>
              <w:t>9</w:t>
            </w:r>
          </w:p>
        </w:tc>
        <w:tc>
          <w:tcPr>
            <w:tcW w:w="1134" w:type="dxa"/>
            <w:noWrap w:val="0"/>
            <w:vAlign w:val="center"/>
          </w:tcPr>
          <w:p>
            <w:pPr>
              <w:adjustRightInd w:val="0"/>
              <w:snapToGrid w:val="0"/>
              <w:jc w:val="center"/>
              <w:rPr>
                <w:rFonts w:eastAsia="方正仿宋简体"/>
                <w:color w:val="000000"/>
                <w:szCs w:val="21"/>
              </w:rPr>
            </w:pPr>
            <w:r>
              <w:rPr>
                <w:rFonts w:eastAsia="方正仿宋简体"/>
                <w:color w:val="000000"/>
                <w:szCs w:val="21"/>
              </w:rPr>
              <w:t>预期性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39" w:hRule="atLeast"/>
          <w:jc w:val="center"/>
        </w:trPr>
        <w:tc>
          <w:tcPr>
            <w:tcW w:w="682" w:type="dxa"/>
            <w:noWrap w:val="0"/>
            <w:vAlign w:val="center"/>
          </w:tcPr>
          <w:p>
            <w:pPr>
              <w:adjustRightInd w:val="0"/>
              <w:snapToGrid w:val="0"/>
              <w:jc w:val="center"/>
              <w:rPr>
                <w:rFonts w:eastAsia="方正仿宋简体"/>
                <w:color w:val="000000"/>
                <w:szCs w:val="21"/>
              </w:rPr>
            </w:pPr>
            <w:r>
              <w:rPr>
                <w:rFonts w:eastAsia="方正仿宋简体"/>
                <w:color w:val="000000"/>
                <w:szCs w:val="21"/>
              </w:rPr>
              <w:t>7</w:t>
            </w:r>
          </w:p>
        </w:tc>
        <w:tc>
          <w:tcPr>
            <w:tcW w:w="2817" w:type="dxa"/>
            <w:gridSpan w:val="2"/>
            <w:noWrap w:val="0"/>
            <w:vAlign w:val="center"/>
          </w:tcPr>
          <w:p>
            <w:pPr>
              <w:adjustRightInd w:val="0"/>
              <w:snapToGrid w:val="0"/>
              <w:jc w:val="center"/>
              <w:rPr>
                <w:rFonts w:eastAsia="方正仿宋简体"/>
                <w:color w:val="000000"/>
                <w:szCs w:val="21"/>
              </w:rPr>
            </w:pPr>
            <w:r>
              <w:rPr>
                <w:rFonts w:eastAsia="方正仿宋简体"/>
                <w:color w:val="000000"/>
                <w:szCs w:val="21"/>
              </w:rPr>
              <w:t>高新技术产业增加值</w:t>
            </w:r>
          </w:p>
          <w:p>
            <w:pPr>
              <w:adjustRightInd w:val="0"/>
              <w:snapToGrid w:val="0"/>
              <w:jc w:val="center"/>
              <w:rPr>
                <w:rFonts w:eastAsia="方正仿宋简体"/>
                <w:color w:val="000000"/>
                <w:szCs w:val="21"/>
              </w:rPr>
            </w:pPr>
            <w:r>
              <w:rPr>
                <w:rFonts w:eastAsia="方正仿宋简体"/>
                <w:color w:val="000000"/>
                <w:szCs w:val="21"/>
              </w:rPr>
              <w:t>占地区生产总值比重</w:t>
            </w:r>
          </w:p>
        </w:tc>
        <w:tc>
          <w:tcPr>
            <w:tcW w:w="1596" w:type="dxa"/>
            <w:noWrap w:val="0"/>
            <w:vAlign w:val="center"/>
          </w:tcPr>
          <w:p>
            <w:pPr>
              <w:adjustRightInd w:val="0"/>
              <w:snapToGrid w:val="0"/>
              <w:jc w:val="center"/>
              <w:rPr>
                <w:rFonts w:eastAsia="方正仿宋简体"/>
                <w:color w:val="000000"/>
                <w:szCs w:val="21"/>
              </w:rPr>
            </w:pPr>
            <w:r>
              <w:rPr>
                <w:rFonts w:eastAsia="方正仿宋简体"/>
                <w:color w:val="000000"/>
                <w:szCs w:val="21"/>
              </w:rPr>
              <w:t>（%）</w:t>
            </w:r>
          </w:p>
        </w:tc>
        <w:tc>
          <w:tcPr>
            <w:tcW w:w="1287" w:type="dxa"/>
            <w:noWrap w:val="0"/>
            <w:vAlign w:val="center"/>
          </w:tcPr>
          <w:p>
            <w:pPr>
              <w:adjustRightInd w:val="0"/>
              <w:snapToGrid w:val="0"/>
              <w:jc w:val="center"/>
              <w:rPr>
                <w:rFonts w:eastAsia="方正仿宋简体"/>
                <w:color w:val="000000"/>
                <w:szCs w:val="21"/>
              </w:rPr>
            </w:pPr>
            <w:r>
              <w:rPr>
                <w:rFonts w:eastAsia="方正仿宋简体"/>
                <w:color w:val="000000"/>
                <w:szCs w:val="21"/>
              </w:rPr>
              <w:t>32.1</w:t>
            </w:r>
          </w:p>
        </w:tc>
        <w:tc>
          <w:tcPr>
            <w:tcW w:w="1484" w:type="dxa"/>
            <w:noWrap w:val="0"/>
            <w:vAlign w:val="center"/>
          </w:tcPr>
          <w:p>
            <w:pPr>
              <w:adjustRightInd w:val="0"/>
              <w:snapToGrid w:val="0"/>
              <w:jc w:val="center"/>
              <w:rPr>
                <w:rFonts w:eastAsia="方正仿宋简体"/>
                <w:color w:val="000000"/>
                <w:szCs w:val="21"/>
              </w:rPr>
            </w:pPr>
            <w:r>
              <w:rPr>
                <w:rFonts w:eastAsia="方正仿宋简体"/>
                <w:color w:val="000000"/>
                <w:szCs w:val="21"/>
              </w:rPr>
              <w:t>35</w:t>
            </w:r>
          </w:p>
        </w:tc>
        <w:tc>
          <w:tcPr>
            <w:tcW w:w="1134" w:type="dxa"/>
            <w:noWrap w:val="0"/>
            <w:vAlign w:val="center"/>
          </w:tcPr>
          <w:p>
            <w:pPr>
              <w:adjustRightInd w:val="0"/>
              <w:snapToGrid w:val="0"/>
              <w:jc w:val="center"/>
              <w:rPr>
                <w:rFonts w:eastAsia="方正仿宋简体"/>
                <w:color w:val="000000"/>
                <w:szCs w:val="21"/>
              </w:rPr>
            </w:pPr>
            <w:r>
              <w:rPr>
                <w:rFonts w:eastAsia="方正仿宋简体"/>
                <w:color w:val="000000"/>
                <w:szCs w:val="21"/>
              </w:rPr>
              <w:t>预期性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39" w:hRule="atLeast"/>
          <w:jc w:val="center"/>
        </w:trPr>
        <w:tc>
          <w:tcPr>
            <w:tcW w:w="682" w:type="dxa"/>
            <w:noWrap w:val="0"/>
            <w:vAlign w:val="center"/>
          </w:tcPr>
          <w:p>
            <w:pPr>
              <w:adjustRightInd w:val="0"/>
              <w:snapToGrid w:val="0"/>
              <w:jc w:val="center"/>
              <w:rPr>
                <w:rFonts w:eastAsia="方正仿宋简体"/>
                <w:color w:val="000000"/>
                <w:szCs w:val="21"/>
              </w:rPr>
            </w:pPr>
            <w:r>
              <w:rPr>
                <w:rFonts w:eastAsia="方正仿宋简体"/>
                <w:color w:val="000000"/>
                <w:szCs w:val="21"/>
              </w:rPr>
              <w:t>8</w:t>
            </w:r>
          </w:p>
        </w:tc>
        <w:tc>
          <w:tcPr>
            <w:tcW w:w="2817" w:type="dxa"/>
            <w:gridSpan w:val="2"/>
            <w:noWrap w:val="0"/>
            <w:vAlign w:val="center"/>
          </w:tcPr>
          <w:p>
            <w:pPr>
              <w:adjustRightInd w:val="0"/>
              <w:snapToGrid w:val="0"/>
              <w:jc w:val="center"/>
              <w:rPr>
                <w:rFonts w:eastAsia="方正仿宋简体"/>
                <w:color w:val="000000"/>
                <w:szCs w:val="21"/>
              </w:rPr>
            </w:pPr>
            <w:r>
              <w:rPr>
                <w:rFonts w:eastAsia="方正仿宋简体"/>
                <w:color w:val="000000"/>
                <w:szCs w:val="21"/>
              </w:rPr>
              <w:t>战略性新兴产业增加值</w:t>
            </w:r>
          </w:p>
          <w:p>
            <w:pPr>
              <w:adjustRightInd w:val="0"/>
              <w:snapToGrid w:val="0"/>
              <w:jc w:val="center"/>
              <w:rPr>
                <w:rFonts w:eastAsia="方正仿宋简体"/>
                <w:color w:val="000000"/>
                <w:szCs w:val="21"/>
              </w:rPr>
            </w:pPr>
            <w:r>
              <w:rPr>
                <w:rFonts w:eastAsia="方正仿宋简体"/>
                <w:color w:val="000000"/>
                <w:szCs w:val="21"/>
              </w:rPr>
              <w:t>占地区生产总值比重</w:t>
            </w:r>
          </w:p>
        </w:tc>
        <w:tc>
          <w:tcPr>
            <w:tcW w:w="1596" w:type="dxa"/>
            <w:noWrap w:val="0"/>
            <w:vAlign w:val="center"/>
          </w:tcPr>
          <w:p>
            <w:pPr>
              <w:adjustRightInd w:val="0"/>
              <w:snapToGrid w:val="0"/>
              <w:jc w:val="center"/>
              <w:rPr>
                <w:rFonts w:eastAsia="方正仿宋简体"/>
                <w:color w:val="000000"/>
                <w:szCs w:val="21"/>
              </w:rPr>
            </w:pPr>
            <w:r>
              <w:rPr>
                <w:rFonts w:eastAsia="方正仿宋简体"/>
                <w:color w:val="000000"/>
                <w:szCs w:val="21"/>
              </w:rPr>
              <w:t>（%）</w:t>
            </w:r>
          </w:p>
        </w:tc>
        <w:tc>
          <w:tcPr>
            <w:tcW w:w="1287" w:type="dxa"/>
            <w:noWrap w:val="0"/>
            <w:vAlign w:val="center"/>
          </w:tcPr>
          <w:p>
            <w:pPr>
              <w:adjustRightInd w:val="0"/>
              <w:snapToGrid w:val="0"/>
              <w:jc w:val="center"/>
              <w:rPr>
                <w:rFonts w:eastAsia="方正仿宋简体"/>
                <w:color w:val="000000"/>
                <w:szCs w:val="21"/>
              </w:rPr>
            </w:pPr>
            <w:r>
              <w:rPr>
                <w:rFonts w:eastAsia="方正仿宋简体"/>
                <w:color w:val="000000"/>
                <w:szCs w:val="21"/>
              </w:rPr>
              <w:t>16</w:t>
            </w:r>
          </w:p>
        </w:tc>
        <w:tc>
          <w:tcPr>
            <w:tcW w:w="1484" w:type="dxa"/>
            <w:noWrap w:val="0"/>
            <w:vAlign w:val="center"/>
          </w:tcPr>
          <w:p>
            <w:pPr>
              <w:adjustRightInd w:val="0"/>
              <w:snapToGrid w:val="0"/>
              <w:jc w:val="center"/>
              <w:rPr>
                <w:rFonts w:eastAsia="方正仿宋简体"/>
                <w:color w:val="000000"/>
                <w:szCs w:val="21"/>
              </w:rPr>
            </w:pPr>
            <w:r>
              <w:rPr>
                <w:rFonts w:eastAsia="方正仿宋简体"/>
                <w:color w:val="000000"/>
                <w:szCs w:val="21"/>
              </w:rPr>
              <w:t>20</w:t>
            </w:r>
          </w:p>
        </w:tc>
        <w:tc>
          <w:tcPr>
            <w:tcW w:w="1134" w:type="dxa"/>
            <w:noWrap w:val="0"/>
            <w:vAlign w:val="center"/>
          </w:tcPr>
          <w:p>
            <w:pPr>
              <w:adjustRightInd w:val="0"/>
              <w:snapToGrid w:val="0"/>
              <w:jc w:val="center"/>
              <w:rPr>
                <w:rFonts w:eastAsia="方正仿宋简体"/>
                <w:color w:val="000000"/>
                <w:szCs w:val="21"/>
              </w:rPr>
            </w:pPr>
            <w:r>
              <w:rPr>
                <w:rFonts w:eastAsia="方正仿宋简体"/>
                <w:color w:val="000000"/>
                <w:szCs w:val="21"/>
              </w:rPr>
              <w:t>预期性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39" w:hRule="atLeast"/>
          <w:jc w:val="center"/>
        </w:trPr>
        <w:tc>
          <w:tcPr>
            <w:tcW w:w="682" w:type="dxa"/>
            <w:noWrap w:val="0"/>
            <w:vAlign w:val="center"/>
          </w:tcPr>
          <w:p>
            <w:pPr>
              <w:adjustRightInd w:val="0"/>
              <w:snapToGrid w:val="0"/>
              <w:jc w:val="center"/>
              <w:rPr>
                <w:rFonts w:eastAsia="方正仿宋简体"/>
                <w:color w:val="000000"/>
                <w:szCs w:val="21"/>
              </w:rPr>
            </w:pPr>
            <w:r>
              <w:rPr>
                <w:rFonts w:eastAsia="方正仿宋简体"/>
                <w:color w:val="000000"/>
                <w:szCs w:val="21"/>
              </w:rPr>
              <w:t>9</w:t>
            </w:r>
          </w:p>
        </w:tc>
        <w:tc>
          <w:tcPr>
            <w:tcW w:w="2817" w:type="dxa"/>
            <w:gridSpan w:val="2"/>
            <w:noWrap w:val="0"/>
            <w:vAlign w:val="center"/>
          </w:tcPr>
          <w:p>
            <w:pPr>
              <w:adjustRightInd w:val="0"/>
              <w:snapToGrid w:val="0"/>
              <w:jc w:val="center"/>
              <w:rPr>
                <w:rFonts w:eastAsia="方正仿宋简体"/>
                <w:color w:val="000000"/>
                <w:szCs w:val="21"/>
              </w:rPr>
            </w:pPr>
            <w:r>
              <w:rPr>
                <w:rFonts w:eastAsia="方正仿宋简体"/>
                <w:color w:val="000000"/>
                <w:szCs w:val="21"/>
              </w:rPr>
              <w:t>研究与试验发展经费支出</w:t>
            </w:r>
          </w:p>
          <w:p>
            <w:pPr>
              <w:adjustRightInd w:val="0"/>
              <w:snapToGrid w:val="0"/>
              <w:jc w:val="center"/>
              <w:rPr>
                <w:rFonts w:eastAsia="方正仿宋简体"/>
                <w:color w:val="000000"/>
                <w:szCs w:val="21"/>
              </w:rPr>
            </w:pPr>
            <w:r>
              <w:rPr>
                <w:rFonts w:eastAsia="方正仿宋简体"/>
                <w:color w:val="000000"/>
                <w:szCs w:val="21"/>
              </w:rPr>
              <w:t>占地区生产总值比重</w:t>
            </w:r>
          </w:p>
        </w:tc>
        <w:tc>
          <w:tcPr>
            <w:tcW w:w="1596" w:type="dxa"/>
            <w:noWrap w:val="0"/>
            <w:vAlign w:val="center"/>
          </w:tcPr>
          <w:p>
            <w:pPr>
              <w:adjustRightInd w:val="0"/>
              <w:snapToGrid w:val="0"/>
              <w:jc w:val="center"/>
              <w:rPr>
                <w:rFonts w:eastAsia="方正仿宋简体"/>
                <w:color w:val="000000"/>
                <w:szCs w:val="21"/>
              </w:rPr>
            </w:pPr>
            <w:r>
              <w:rPr>
                <w:rFonts w:eastAsia="方正仿宋简体"/>
                <w:color w:val="000000"/>
                <w:szCs w:val="21"/>
              </w:rPr>
              <w:t>（%）</w:t>
            </w:r>
          </w:p>
        </w:tc>
        <w:tc>
          <w:tcPr>
            <w:tcW w:w="1287" w:type="dxa"/>
            <w:noWrap w:val="0"/>
            <w:vAlign w:val="center"/>
          </w:tcPr>
          <w:p>
            <w:pPr>
              <w:adjustRightInd w:val="0"/>
              <w:snapToGrid w:val="0"/>
              <w:jc w:val="center"/>
              <w:rPr>
                <w:rFonts w:eastAsia="方正仿宋简体"/>
                <w:color w:val="000000"/>
                <w:szCs w:val="21"/>
              </w:rPr>
            </w:pPr>
            <w:r>
              <w:rPr>
                <w:rFonts w:eastAsia="方正仿宋简体"/>
                <w:color w:val="000000"/>
                <w:szCs w:val="21"/>
              </w:rPr>
              <w:t>2.3</w:t>
            </w:r>
          </w:p>
        </w:tc>
        <w:tc>
          <w:tcPr>
            <w:tcW w:w="1484" w:type="dxa"/>
            <w:noWrap w:val="0"/>
            <w:vAlign w:val="center"/>
          </w:tcPr>
          <w:p>
            <w:pPr>
              <w:adjustRightInd w:val="0"/>
              <w:snapToGrid w:val="0"/>
              <w:jc w:val="center"/>
              <w:rPr>
                <w:rFonts w:eastAsia="方正仿宋简体"/>
                <w:color w:val="000000"/>
                <w:szCs w:val="21"/>
              </w:rPr>
            </w:pPr>
            <w:r>
              <w:rPr>
                <w:rFonts w:eastAsia="方正仿宋简体"/>
                <w:color w:val="000000"/>
                <w:szCs w:val="21"/>
              </w:rPr>
              <w:t>2.8</w:t>
            </w:r>
          </w:p>
        </w:tc>
        <w:tc>
          <w:tcPr>
            <w:tcW w:w="1134" w:type="dxa"/>
            <w:noWrap w:val="0"/>
            <w:vAlign w:val="center"/>
          </w:tcPr>
          <w:p>
            <w:pPr>
              <w:adjustRightInd w:val="0"/>
              <w:snapToGrid w:val="0"/>
              <w:jc w:val="center"/>
              <w:rPr>
                <w:rFonts w:eastAsia="方正仿宋简体"/>
                <w:color w:val="000000"/>
                <w:szCs w:val="21"/>
              </w:rPr>
            </w:pPr>
            <w:r>
              <w:rPr>
                <w:rFonts w:eastAsia="方正仿宋简体"/>
                <w:color w:val="000000"/>
                <w:szCs w:val="21"/>
              </w:rPr>
              <w:t>预期性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39" w:hRule="atLeast"/>
          <w:jc w:val="center"/>
        </w:trPr>
        <w:tc>
          <w:tcPr>
            <w:tcW w:w="682" w:type="dxa"/>
            <w:noWrap w:val="0"/>
            <w:vAlign w:val="center"/>
          </w:tcPr>
          <w:p>
            <w:pPr>
              <w:adjustRightInd w:val="0"/>
              <w:snapToGrid w:val="0"/>
              <w:jc w:val="center"/>
              <w:rPr>
                <w:rFonts w:eastAsia="方正仿宋简体"/>
                <w:color w:val="000000"/>
                <w:szCs w:val="21"/>
              </w:rPr>
            </w:pPr>
            <w:r>
              <w:rPr>
                <w:rFonts w:eastAsia="方正仿宋简体"/>
                <w:color w:val="000000"/>
                <w:szCs w:val="21"/>
              </w:rPr>
              <w:t>10</w:t>
            </w:r>
          </w:p>
        </w:tc>
        <w:tc>
          <w:tcPr>
            <w:tcW w:w="2817" w:type="dxa"/>
            <w:gridSpan w:val="2"/>
            <w:noWrap w:val="0"/>
            <w:vAlign w:val="center"/>
          </w:tcPr>
          <w:p>
            <w:pPr>
              <w:adjustRightInd w:val="0"/>
              <w:snapToGrid w:val="0"/>
              <w:jc w:val="center"/>
              <w:rPr>
                <w:rFonts w:eastAsia="方正仿宋简体"/>
                <w:color w:val="000000"/>
                <w:szCs w:val="21"/>
              </w:rPr>
            </w:pPr>
            <w:r>
              <w:rPr>
                <w:rFonts w:eastAsia="方正仿宋简体"/>
                <w:color w:val="000000"/>
                <w:szCs w:val="21"/>
              </w:rPr>
              <w:t>每万人有效发明专利拥有量</w:t>
            </w:r>
          </w:p>
        </w:tc>
        <w:tc>
          <w:tcPr>
            <w:tcW w:w="1596" w:type="dxa"/>
            <w:noWrap w:val="0"/>
            <w:vAlign w:val="center"/>
          </w:tcPr>
          <w:p>
            <w:pPr>
              <w:adjustRightInd w:val="0"/>
              <w:snapToGrid w:val="0"/>
              <w:jc w:val="center"/>
              <w:rPr>
                <w:rFonts w:eastAsia="方正仿宋简体"/>
                <w:color w:val="000000"/>
                <w:szCs w:val="21"/>
              </w:rPr>
            </w:pPr>
            <w:r>
              <w:rPr>
                <w:rFonts w:eastAsia="方正仿宋简体"/>
                <w:color w:val="000000"/>
                <w:szCs w:val="21"/>
              </w:rPr>
              <w:t>件</w:t>
            </w:r>
          </w:p>
        </w:tc>
        <w:tc>
          <w:tcPr>
            <w:tcW w:w="1287" w:type="dxa"/>
            <w:noWrap w:val="0"/>
            <w:vAlign w:val="center"/>
          </w:tcPr>
          <w:p>
            <w:pPr>
              <w:adjustRightInd w:val="0"/>
              <w:snapToGrid w:val="0"/>
              <w:jc w:val="center"/>
              <w:rPr>
                <w:rFonts w:eastAsia="方正仿宋简体"/>
                <w:color w:val="000000"/>
                <w:szCs w:val="21"/>
              </w:rPr>
            </w:pPr>
            <w:r>
              <w:rPr>
                <w:rFonts w:eastAsia="方正仿宋简体"/>
                <w:color w:val="000000"/>
                <w:szCs w:val="21"/>
              </w:rPr>
              <w:t>19</w:t>
            </w:r>
          </w:p>
        </w:tc>
        <w:tc>
          <w:tcPr>
            <w:tcW w:w="1484" w:type="dxa"/>
            <w:noWrap w:val="0"/>
            <w:vAlign w:val="center"/>
          </w:tcPr>
          <w:p>
            <w:pPr>
              <w:adjustRightInd w:val="0"/>
              <w:snapToGrid w:val="0"/>
              <w:jc w:val="center"/>
              <w:rPr>
                <w:rFonts w:eastAsia="方正仿宋简体"/>
                <w:color w:val="000000"/>
                <w:szCs w:val="21"/>
              </w:rPr>
            </w:pPr>
            <w:r>
              <w:rPr>
                <w:rFonts w:eastAsia="方正仿宋简体"/>
                <w:color w:val="000000"/>
                <w:szCs w:val="21"/>
              </w:rPr>
              <w:t>25</w:t>
            </w:r>
          </w:p>
        </w:tc>
        <w:tc>
          <w:tcPr>
            <w:tcW w:w="1134" w:type="dxa"/>
            <w:noWrap w:val="0"/>
            <w:vAlign w:val="center"/>
          </w:tcPr>
          <w:p>
            <w:pPr>
              <w:adjustRightInd w:val="0"/>
              <w:snapToGrid w:val="0"/>
              <w:jc w:val="center"/>
              <w:rPr>
                <w:rFonts w:eastAsia="方正仿宋简体"/>
                <w:color w:val="000000"/>
                <w:szCs w:val="21"/>
              </w:rPr>
            </w:pPr>
            <w:r>
              <w:rPr>
                <w:rFonts w:eastAsia="方正仿宋简体"/>
                <w:color w:val="000000"/>
                <w:szCs w:val="21"/>
              </w:rPr>
              <w:t>预期性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39" w:hRule="atLeast"/>
          <w:jc w:val="center"/>
        </w:trPr>
        <w:tc>
          <w:tcPr>
            <w:tcW w:w="682" w:type="dxa"/>
            <w:noWrap w:val="0"/>
            <w:vAlign w:val="center"/>
          </w:tcPr>
          <w:p>
            <w:pPr>
              <w:adjustRightInd w:val="0"/>
              <w:snapToGrid w:val="0"/>
              <w:jc w:val="center"/>
              <w:rPr>
                <w:rFonts w:eastAsia="方正仿宋简体"/>
                <w:color w:val="000000"/>
                <w:szCs w:val="21"/>
              </w:rPr>
            </w:pPr>
            <w:r>
              <w:rPr>
                <w:rFonts w:eastAsia="方正仿宋简体"/>
                <w:color w:val="000000"/>
                <w:szCs w:val="21"/>
              </w:rPr>
              <w:t>11</w:t>
            </w:r>
          </w:p>
        </w:tc>
        <w:tc>
          <w:tcPr>
            <w:tcW w:w="2817" w:type="dxa"/>
            <w:gridSpan w:val="2"/>
            <w:noWrap w:val="0"/>
            <w:vAlign w:val="center"/>
          </w:tcPr>
          <w:p>
            <w:pPr>
              <w:adjustRightInd w:val="0"/>
              <w:snapToGrid w:val="0"/>
              <w:jc w:val="center"/>
              <w:rPr>
                <w:rFonts w:eastAsia="方正仿宋简体"/>
                <w:color w:val="000000"/>
                <w:szCs w:val="21"/>
              </w:rPr>
            </w:pPr>
            <w:r>
              <w:rPr>
                <w:rFonts w:eastAsia="方正仿宋简体"/>
                <w:color w:val="000000"/>
                <w:szCs w:val="21"/>
              </w:rPr>
              <w:t>高等教育毛入学率</w:t>
            </w:r>
          </w:p>
        </w:tc>
        <w:tc>
          <w:tcPr>
            <w:tcW w:w="1596" w:type="dxa"/>
            <w:noWrap w:val="0"/>
            <w:vAlign w:val="center"/>
          </w:tcPr>
          <w:p>
            <w:pPr>
              <w:adjustRightInd w:val="0"/>
              <w:snapToGrid w:val="0"/>
              <w:jc w:val="center"/>
              <w:rPr>
                <w:rFonts w:eastAsia="方正仿宋简体"/>
                <w:color w:val="000000"/>
                <w:szCs w:val="21"/>
              </w:rPr>
            </w:pPr>
            <w:r>
              <w:rPr>
                <w:rFonts w:eastAsia="方正仿宋简体"/>
                <w:color w:val="000000"/>
                <w:szCs w:val="21"/>
              </w:rPr>
              <w:t>（%）</w:t>
            </w:r>
          </w:p>
        </w:tc>
        <w:tc>
          <w:tcPr>
            <w:tcW w:w="1287" w:type="dxa"/>
            <w:noWrap w:val="0"/>
            <w:vAlign w:val="center"/>
          </w:tcPr>
          <w:p>
            <w:pPr>
              <w:adjustRightInd w:val="0"/>
              <w:snapToGrid w:val="0"/>
              <w:jc w:val="center"/>
              <w:rPr>
                <w:rFonts w:eastAsia="方正仿宋简体"/>
                <w:color w:val="000000"/>
                <w:szCs w:val="21"/>
              </w:rPr>
            </w:pPr>
            <w:r>
              <w:rPr>
                <w:rFonts w:eastAsia="方正仿宋简体"/>
                <w:color w:val="000000"/>
                <w:szCs w:val="21"/>
              </w:rPr>
              <w:t>72</w:t>
            </w:r>
          </w:p>
        </w:tc>
        <w:tc>
          <w:tcPr>
            <w:tcW w:w="1484" w:type="dxa"/>
            <w:noWrap w:val="0"/>
            <w:vAlign w:val="center"/>
          </w:tcPr>
          <w:p>
            <w:pPr>
              <w:adjustRightInd w:val="0"/>
              <w:snapToGrid w:val="0"/>
              <w:jc w:val="center"/>
              <w:rPr>
                <w:rFonts w:eastAsia="方正仿宋简体"/>
                <w:color w:val="000000"/>
                <w:szCs w:val="21"/>
              </w:rPr>
            </w:pPr>
            <w:r>
              <w:rPr>
                <w:rFonts w:eastAsia="方正仿宋简体"/>
                <w:color w:val="000000"/>
                <w:szCs w:val="21"/>
              </w:rPr>
              <w:t>75</w:t>
            </w:r>
          </w:p>
        </w:tc>
        <w:tc>
          <w:tcPr>
            <w:tcW w:w="1134" w:type="dxa"/>
            <w:noWrap w:val="0"/>
            <w:vAlign w:val="center"/>
          </w:tcPr>
          <w:p>
            <w:pPr>
              <w:adjustRightInd w:val="0"/>
              <w:snapToGrid w:val="0"/>
              <w:jc w:val="center"/>
              <w:rPr>
                <w:rFonts w:eastAsia="方正仿宋简体"/>
                <w:color w:val="000000"/>
                <w:szCs w:val="21"/>
              </w:rPr>
            </w:pPr>
            <w:r>
              <w:rPr>
                <w:rFonts w:eastAsia="方正仿宋简体"/>
                <w:color w:val="000000"/>
                <w:szCs w:val="21"/>
              </w:rPr>
              <w:t>预期性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39" w:hRule="atLeast"/>
          <w:jc w:val="center"/>
        </w:trPr>
        <w:tc>
          <w:tcPr>
            <w:tcW w:w="682" w:type="dxa"/>
            <w:noWrap w:val="0"/>
            <w:vAlign w:val="center"/>
          </w:tcPr>
          <w:p>
            <w:pPr>
              <w:adjustRightInd w:val="0"/>
              <w:snapToGrid w:val="0"/>
              <w:jc w:val="center"/>
              <w:rPr>
                <w:rFonts w:eastAsia="方正仿宋简体"/>
                <w:color w:val="000000"/>
                <w:szCs w:val="21"/>
              </w:rPr>
            </w:pPr>
            <w:r>
              <w:rPr>
                <w:rFonts w:eastAsia="方正仿宋简体"/>
                <w:color w:val="000000"/>
                <w:szCs w:val="21"/>
              </w:rPr>
              <w:t>12</w:t>
            </w:r>
          </w:p>
        </w:tc>
        <w:tc>
          <w:tcPr>
            <w:tcW w:w="2817" w:type="dxa"/>
            <w:gridSpan w:val="2"/>
            <w:noWrap w:val="0"/>
            <w:vAlign w:val="center"/>
          </w:tcPr>
          <w:p>
            <w:pPr>
              <w:adjustRightInd w:val="0"/>
              <w:snapToGrid w:val="0"/>
              <w:jc w:val="center"/>
              <w:rPr>
                <w:rFonts w:eastAsia="方正仿宋简体"/>
                <w:color w:val="000000"/>
                <w:szCs w:val="21"/>
              </w:rPr>
            </w:pPr>
            <w:r>
              <w:rPr>
                <w:rFonts w:eastAsia="方正仿宋简体"/>
                <w:color w:val="000000"/>
                <w:szCs w:val="21"/>
              </w:rPr>
              <w:t>全市人才总量</w:t>
            </w:r>
          </w:p>
        </w:tc>
        <w:tc>
          <w:tcPr>
            <w:tcW w:w="1596" w:type="dxa"/>
            <w:noWrap w:val="0"/>
            <w:vAlign w:val="center"/>
          </w:tcPr>
          <w:p>
            <w:pPr>
              <w:adjustRightInd w:val="0"/>
              <w:snapToGrid w:val="0"/>
              <w:jc w:val="center"/>
              <w:rPr>
                <w:rFonts w:eastAsia="方正仿宋简体"/>
                <w:color w:val="000000"/>
                <w:szCs w:val="21"/>
              </w:rPr>
            </w:pPr>
            <w:r>
              <w:rPr>
                <w:rFonts w:eastAsia="方正仿宋简体"/>
                <w:color w:val="000000"/>
                <w:szCs w:val="21"/>
              </w:rPr>
              <w:t>万人</w:t>
            </w:r>
          </w:p>
        </w:tc>
        <w:tc>
          <w:tcPr>
            <w:tcW w:w="1287" w:type="dxa"/>
            <w:noWrap w:val="0"/>
            <w:vAlign w:val="center"/>
          </w:tcPr>
          <w:p>
            <w:pPr>
              <w:adjustRightInd w:val="0"/>
              <w:snapToGrid w:val="0"/>
              <w:jc w:val="center"/>
              <w:rPr>
                <w:rFonts w:eastAsia="方正仿宋简体"/>
                <w:color w:val="000000"/>
                <w:szCs w:val="21"/>
              </w:rPr>
            </w:pPr>
            <w:r>
              <w:rPr>
                <w:rFonts w:eastAsia="方正仿宋简体"/>
                <w:color w:val="000000"/>
                <w:szCs w:val="21"/>
              </w:rPr>
              <w:t>105</w:t>
            </w:r>
          </w:p>
        </w:tc>
        <w:tc>
          <w:tcPr>
            <w:tcW w:w="1484" w:type="dxa"/>
            <w:noWrap w:val="0"/>
            <w:vAlign w:val="center"/>
          </w:tcPr>
          <w:p>
            <w:pPr>
              <w:adjustRightInd w:val="0"/>
              <w:snapToGrid w:val="0"/>
              <w:jc w:val="center"/>
              <w:rPr>
                <w:rFonts w:eastAsia="方正仿宋简体"/>
                <w:color w:val="000000"/>
                <w:szCs w:val="21"/>
              </w:rPr>
            </w:pPr>
            <w:r>
              <w:rPr>
                <w:rFonts w:eastAsia="方正仿宋简体"/>
                <w:color w:val="000000"/>
                <w:szCs w:val="21"/>
              </w:rPr>
              <w:t>135</w:t>
            </w:r>
          </w:p>
        </w:tc>
        <w:tc>
          <w:tcPr>
            <w:tcW w:w="1134" w:type="dxa"/>
            <w:noWrap w:val="0"/>
            <w:vAlign w:val="center"/>
          </w:tcPr>
          <w:p>
            <w:pPr>
              <w:adjustRightInd w:val="0"/>
              <w:snapToGrid w:val="0"/>
              <w:jc w:val="center"/>
              <w:rPr>
                <w:rFonts w:eastAsia="方正仿宋简体"/>
                <w:color w:val="000000"/>
                <w:szCs w:val="21"/>
              </w:rPr>
            </w:pPr>
            <w:r>
              <w:rPr>
                <w:rFonts w:eastAsia="方正仿宋简体"/>
                <w:color w:val="000000"/>
                <w:szCs w:val="21"/>
              </w:rPr>
              <w:t>预期性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39" w:hRule="atLeast"/>
          <w:jc w:val="center"/>
        </w:trPr>
        <w:tc>
          <w:tcPr>
            <w:tcW w:w="682" w:type="dxa"/>
            <w:noWrap w:val="0"/>
            <w:vAlign w:val="center"/>
          </w:tcPr>
          <w:p>
            <w:pPr>
              <w:adjustRightInd w:val="0"/>
              <w:snapToGrid w:val="0"/>
              <w:jc w:val="center"/>
              <w:rPr>
                <w:rFonts w:eastAsia="方正仿宋简体"/>
                <w:color w:val="000000"/>
                <w:szCs w:val="21"/>
              </w:rPr>
            </w:pPr>
            <w:r>
              <w:rPr>
                <w:rFonts w:eastAsia="方正仿宋简体"/>
                <w:color w:val="000000"/>
                <w:szCs w:val="21"/>
              </w:rPr>
              <w:t>13</w:t>
            </w:r>
          </w:p>
        </w:tc>
        <w:tc>
          <w:tcPr>
            <w:tcW w:w="2817" w:type="dxa"/>
            <w:gridSpan w:val="2"/>
            <w:noWrap w:val="0"/>
            <w:vAlign w:val="center"/>
          </w:tcPr>
          <w:p>
            <w:pPr>
              <w:adjustRightInd w:val="0"/>
              <w:snapToGrid w:val="0"/>
              <w:jc w:val="center"/>
              <w:rPr>
                <w:rFonts w:eastAsia="方正仿宋简体"/>
                <w:color w:val="000000"/>
                <w:szCs w:val="21"/>
              </w:rPr>
            </w:pPr>
            <w:r>
              <w:rPr>
                <w:rFonts w:eastAsia="方正仿宋简体"/>
                <w:color w:val="000000"/>
                <w:szCs w:val="21"/>
              </w:rPr>
              <w:t>互联网普及率</w:t>
            </w:r>
          </w:p>
        </w:tc>
        <w:tc>
          <w:tcPr>
            <w:tcW w:w="1596" w:type="dxa"/>
            <w:noWrap w:val="0"/>
            <w:vAlign w:val="center"/>
          </w:tcPr>
          <w:p>
            <w:pPr>
              <w:adjustRightInd w:val="0"/>
              <w:snapToGrid w:val="0"/>
              <w:jc w:val="center"/>
              <w:rPr>
                <w:rFonts w:eastAsia="方正仿宋简体"/>
                <w:color w:val="000000"/>
                <w:szCs w:val="21"/>
              </w:rPr>
            </w:pPr>
            <w:r>
              <w:rPr>
                <w:rFonts w:eastAsia="方正仿宋简体"/>
                <w:color w:val="000000"/>
                <w:szCs w:val="21"/>
              </w:rPr>
              <w:t>（%）</w:t>
            </w:r>
          </w:p>
        </w:tc>
        <w:tc>
          <w:tcPr>
            <w:tcW w:w="1287" w:type="dxa"/>
            <w:noWrap w:val="0"/>
            <w:vAlign w:val="center"/>
          </w:tcPr>
          <w:p>
            <w:pPr>
              <w:adjustRightInd w:val="0"/>
              <w:snapToGrid w:val="0"/>
              <w:jc w:val="center"/>
              <w:rPr>
                <w:rFonts w:eastAsia="方正仿宋简体"/>
                <w:color w:val="000000"/>
                <w:szCs w:val="21"/>
              </w:rPr>
            </w:pPr>
            <w:r>
              <w:rPr>
                <w:rFonts w:eastAsia="方正仿宋简体"/>
                <w:color w:val="000000"/>
                <w:szCs w:val="21"/>
              </w:rPr>
              <w:t>——</w:t>
            </w:r>
          </w:p>
        </w:tc>
        <w:tc>
          <w:tcPr>
            <w:tcW w:w="1484" w:type="dxa"/>
            <w:noWrap w:val="0"/>
            <w:vAlign w:val="center"/>
          </w:tcPr>
          <w:p>
            <w:pPr>
              <w:adjustRightInd w:val="0"/>
              <w:snapToGrid w:val="0"/>
              <w:jc w:val="center"/>
              <w:rPr>
                <w:rFonts w:eastAsia="方正仿宋简体"/>
                <w:color w:val="000000"/>
                <w:szCs w:val="21"/>
              </w:rPr>
            </w:pPr>
            <w:r>
              <w:rPr>
                <w:rFonts w:eastAsia="方正仿宋简体"/>
                <w:color w:val="000000"/>
                <w:szCs w:val="21"/>
              </w:rPr>
              <w:t>90</w:t>
            </w:r>
          </w:p>
        </w:tc>
        <w:tc>
          <w:tcPr>
            <w:tcW w:w="1134" w:type="dxa"/>
            <w:noWrap w:val="0"/>
            <w:vAlign w:val="center"/>
          </w:tcPr>
          <w:p>
            <w:pPr>
              <w:adjustRightInd w:val="0"/>
              <w:snapToGrid w:val="0"/>
              <w:jc w:val="center"/>
              <w:rPr>
                <w:rFonts w:eastAsia="方正仿宋简体"/>
                <w:color w:val="000000"/>
                <w:szCs w:val="21"/>
              </w:rPr>
            </w:pPr>
            <w:r>
              <w:rPr>
                <w:rFonts w:eastAsia="方正仿宋简体"/>
                <w:color w:val="000000"/>
                <w:szCs w:val="21"/>
              </w:rPr>
              <w:t>预期性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39" w:hRule="atLeast"/>
          <w:jc w:val="center"/>
        </w:trPr>
        <w:tc>
          <w:tcPr>
            <w:tcW w:w="682" w:type="dxa"/>
            <w:noWrap w:val="0"/>
            <w:vAlign w:val="center"/>
          </w:tcPr>
          <w:p>
            <w:pPr>
              <w:adjustRightInd w:val="0"/>
              <w:snapToGrid w:val="0"/>
              <w:jc w:val="center"/>
              <w:rPr>
                <w:rFonts w:eastAsia="方正仿宋简体"/>
                <w:color w:val="000000"/>
                <w:szCs w:val="21"/>
              </w:rPr>
            </w:pPr>
            <w:r>
              <w:rPr>
                <w:rFonts w:eastAsia="方正仿宋简体"/>
                <w:color w:val="000000"/>
                <w:szCs w:val="21"/>
              </w:rPr>
              <w:t>14</w:t>
            </w:r>
          </w:p>
        </w:tc>
        <w:tc>
          <w:tcPr>
            <w:tcW w:w="693" w:type="dxa"/>
            <w:vMerge w:val="restart"/>
            <w:noWrap w:val="0"/>
            <w:vAlign w:val="center"/>
          </w:tcPr>
          <w:p>
            <w:pPr>
              <w:adjustRightInd w:val="0"/>
              <w:snapToGrid w:val="0"/>
              <w:jc w:val="center"/>
              <w:rPr>
                <w:rFonts w:eastAsia="方正仿宋简体"/>
                <w:color w:val="000000"/>
                <w:szCs w:val="21"/>
              </w:rPr>
            </w:pPr>
            <w:r>
              <w:rPr>
                <w:rFonts w:eastAsia="方正仿宋简体"/>
                <w:color w:val="000000"/>
                <w:szCs w:val="21"/>
              </w:rPr>
              <w:t>城镇化率</w:t>
            </w:r>
          </w:p>
        </w:tc>
        <w:tc>
          <w:tcPr>
            <w:tcW w:w="2124" w:type="dxa"/>
            <w:noWrap w:val="0"/>
            <w:vAlign w:val="center"/>
          </w:tcPr>
          <w:p>
            <w:pPr>
              <w:adjustRightInd w:val="0"/>
              <w:snapToGrid w:val="0"/>
              <w:jc w:val="center"/>
              <w:rPr>
                <w:rFonts w:eastAsia="方正仿宋简体"/>
                <w:color w:val="000000"/>
                <w:szCs w:val="21"/>
              </w:rPr>
            </w:pPr>
            <w:r>
              <w:rPr>
                <w:rFonts w:eastAsia="方正仿宋简体"/>
                <w:color w:val="000000"/>
                <w:szCs w:val="21"/>
              </w:rPr>
              <w:t>常住人口城镇化率</w:t>
            </w:r>
          </w:p>
        </w:tc>
        <w:tc>
          <w:tcPr>
            <w:tcW w:w="1596" w:type="dxa"/>
            <w:noWrap w:val="0"/>
            <w:vAlign w:val="center"/>
          </w:tcPr>
          <w:p>
            <w:pPr>
              <w:adjustRightInd w:val="0"/>
              <w:snapToGrid w:val="0"/>
              <w:jc w:val="center"/>
              <w:rPr>
                <w:rFonts w:eastAsia="方正仿宋简体"/>
                <w:color w:val="000000"/>
                <w:szCs w:val="21"/>
              </w:rPr>
            </w:pPr>
            <w:r>
              <w:rPr>
                <w:rFonts w:eastAsia="方正仿宋简体"/>
                <w:color w:val="000000"/>
                <w:szCs w:val="21"/>
              </w:rPr>
              <w:t>（%）</w:t>
            </w:r>
          </w:p>
        </w:tc>
        <w:tc>
          <w:tcPr>
            <w:tcW w:w="1287" w:type="dxa"/>
            <w:noWrap w:val="0"/>
            <w:vAlign w:val="center"/>
          </w:tcPr>
          <w:p>
            <w:pPr>
              <w:adjustRightInd w:val="0"/>
              <w:snapToGrid w:val="0"/>
              <w:jc w:val="center"/>
              <w:rPr>
                <w:rFonts w:eastAsia="方正仿宋简体"/>
                <w:color w:val="000000"/>
                <w:szCs w:val="21"/>
              </w:rPr>
            </w:pPr>
            <w:r>
              <w:rPr>
                <w:rFonts w:eastAsia="方正仿宋简体"/>
                <w:color w:val="000000"/>
                <w:szCs w:val="21"/>
              </w:rPr>
              <w:t>74.38</w:t>
            </w:r>
          </w:p>
        </w:tc>
        <w:tc>
          <w:tcPr>
            <w:tcW w:w="1484" w:type="dxa"/>
            <w:noWrap w:val="0"/>
            <w:vAlign w:val="center"/>
          </w:tcPr>
          <w:p>
            <w:pPr>
              <w:adjustRightInd w:val="0"/>
              <w:snapToGrid w:val="0"/>
              <w:jc w:val="center"/>
              <w:rPr>
                <w:rFonts w:eastAsia="方正仿宋简体"/>
                <w:color w:val="000000"/>
                <w:szCs w:val="21"/>
              </w:rPr>
            </w:pPr>
            <w:r>
              <w:rPr>
                <w:rFonts w:eastAsia="方正仿宋简体"/>
                <w:color w:val="000000"/>
                <w:szCs w:val="21"/>
              </w:rPr>
              <w:t>81</w:t>
            </w:r>
          </w:p>
        </w:tc>
        <w:tc>
          <w:tcPr>
            <w:tcW w:w="1134" w:type="dxa"/>
            <w:noWrap w:val="0"/>
            <w:vAlign w:val="center"/>
          </w:tcPr>
          <w:p>
            <w:pPr>
              <w:adjustRightInd w:val="0"/>
              <w:snapToGrid w:val="0"/>
              <w:jc w:val="center"/>
              <w:rPr>
                <w:rFonts w:eastAsia="方正仿宋简体"/>
                <w:color w:val="000000"/>
                <w:szCs w:val="21"/>
              </w:rPr>
            </w:pPr>
            <w:r>
              <w:rPr>
                <w:rFonts w:eastAsia="方正仿宋简体"/>
                <w:color w:val="000000"/>
                <w:szCs w:val="21"/>
              </w:rPr>
              <w:t>预期性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39" w:hRule="atLeast"/>
          <w:jc w:val="center"/>
        </w:trPr>
        <w:tc>
          <w:tcPr>
            <w:tcW w:w="682" w:type="dxa"/>
            <w:noWrap w:val="0"/>
            <w:vAlign w:val="center"/>
          </w:tcPr>
          <w:p>
            <w:pPr>
              <w:adjustRightInd w:val="0"/>
              <w:snapToGrid w:val="0"/>
              <w:jc w:val="center"/>
              <w:rPr>
                <w:rFonts w:eastAsia="方正仿宋简体"/>
                <w:color w:val="000000"/>
                <w:szCs w:val="21"/>
              </w:rPr>
            </w:pPr>
            <w:r>
              <w:rPr>
                <w:rFonts w:eastAsia="方正仿宋简体"/>
                <w:color w:val="000000"/>
                <w:szCs w:val="21"/>
              </w:rPr>
              <w:t>15</w:t>
            </w:r>
          </w:p>
        </w:tc>
        <w:tc>
          <w:tcPr>
            <w:tcW w:w="693" w:type="dxa"/>
            <w:vMerge w:val="continue"/>
            <w:noWrap w:val="0"/>
            <w:vAlign w:val="center"/>
          </w:tcPr>
          <w:p>
            <w:pPr>
              <w:adjustRightInd w:val="0"/>
              <w:snapToGrid w:val="0"/>
              <w:jc w:val="center"/>
              <w:rPr>
                <w:rFonts w:eastAsia="方正仿宋简体"/>
                <w:color w:val="000000"/>
                <w:szCs w:val="21"/>
              </w:rPr>
            </w:pPr>
          </w:p>
        </w:tc>
        <w:tc>
          <w:tcPr>
            <w:tcW w:w="2124" w:type="dxa"/>
            <w:noWrap w:val="0"/>
            <w:vAlign w:val="center"/>
          </w:tcPr>
          <w:p>
            <w:pPr>
              <w:adjustRightInd w:val="0"/>
              <w:snapToGrid w:val="0"/>
              <w:jc w:val="center"/>
              <w:rPr>
                <w:rFonts w:eastAsia="方正仿宋简体"/>
                <w:color w:val="000000"/>
                <w:szCs w:val="21"/>
              </w:rPr>
            </w:pPr>
            <w:r>
              <w:rPr>
                <w:rFonts w:eastAsia="方正仿宋简体"/>
                <w:color w:val="000000"/>
                <w:szCs w:val="21"/>
              </w:rPr>
              <w:t>户籍人口城镇化率</w:t>
            </w:r>
          </w:p>
        </w:tc>
        <w:tc>
          <w:tcPr>
            <w:tcW w:w="1596" w:type="dxa"/>
            <w:noWrap w:val="0"/>
            <w:vAlign w:val="center"/>
          </w:tcPr>
          <w:p>
            <w:pPr>
              <w:adjustRightInd w:val="0"/>
              <w:snapToGrid w:val="0"/>
              <w:jc w:val="center"/>
              <w:rPr>
                <w:rFonts w:eastAsia="方正仿宋简体"/>
                <w:color w:val="000000"/>
                <w:szCs w:val="21"/>
              </w:rPr>
            </w:pPr>
            <w:r>
              <w:rPr>
                <w:rFonts w:eastAsia="方正仿宋简体"/>
                <w:color w:val="000000"/>
                <w:szCs w:val="21"/>
              </w:rPr>
              <w:t>（%）</w:t>
            </w:r>
          </w:p>
        </w:tc>
        <w:tc>
          <w:tcPr>
            <w:tcW w:w="1287" w:type="dxa"/>
            <w:noWrap w:val="0"/>
            <w:vAlign w:val="center"/>
          </w:tcPr>
          <w:p>
            <w:pPr>
              <w:adjustRightInd w:val="0"/>
              <w:snapToGrid w:val="0"/>
              <w:jc w:val="center"/>
              <w:rPr>
                <w:rFonts w:eastAsia="方正仿宋简体"/>
                <w:color w:val="000000"/>
                <w:szCs w:val="21"/>
              </w:rPr>
            </w:pPr>
            <w:r>
              <w:rPr>
                <w:rFonts w:eastAsia="方正仿宋简体"/>
                <w:color w:val="000000"/>
                <w:szCs w:val="21"/>
              </w:rPr>
              <w:t>38.9</w:t>
            </w:r>
          </w:p>
        </w:tc>
        <w:tc>
          <w:tcPr>
            <w:tcW w:w="1484" w:type="dxa"/>
            <w:noWrap w:val="0"/>
            <w:vAlign w:val="center"/>
          </w:tcPr>
          <w:p>
            <w:pPr>
              <w:adjustRightInd w:val="0"/>
              <w:snapToGrid w:val="0"/>
              <w:jc w:val="center"/>
              <w:rPr>
                <w:rFonts w:eastAsia="方正仿宋简体"/>
                <w:color w:val="000000"/>
                <w:szCs w:val="21"/>
              </w:rPr>
            </w:pPr>
            <w:r>
              <w:rPr>
                <w:rFonts w:eastAsia="方正仿宋简体"/>
                <w:color w:val="000000"/>
                <w:szCs w:val="21"/>
              </w:rPr>
              <w:t>≥50</w:t>
            </w:r>
          </w:p>
        </w:tc>
        <w:tc>
          <w:tcPr>
            <w:tcW w:w="1134" w:type="dxa"/>
            <w:noWrap w:val="0"/>
            <w:vAlign w:val="center"/>
          </w:tcPr>
          <w:p>
            <w:pPr>
              <w:adjustRightInd w:val="0"/>
              <w:snapToGrid w:val="0"/>
              <w:jc w:val="center"/>
              <w:rPr>
                <w:rFonts w:eastAsia="方正仿宋简体"/>
                <w:color w:val="000000"/>
                <w:szCs w:val="21"/>
              </w:rPr>
            </w:pPr>
            <w:r>
              <w:rPr>
                <w:rFonts w:eastAsia="方正仿宋简体"/>
                <w:color w:val="000000"/>
                <w:szCs w:val="21"/>
              </w:rPr>
              <w:t>预期性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10" w:hRule="atLeast"/>
          <w:jc w:val="center"/>
        </w:trPr>
        <w:tc>
          <w:tcPr>
            <w:tcW w:w="682" w:type="dxa"/>
            <w:noWrap w:val="0"/>
            <w:vAlign w:val="center"/>
          </w:tcPr>
          <w:p>
            <w:pPr>
              <w:adjustRightInd w:val="0"/>
              <w:snapToGrid w:val="0"/>
              <w:jc w:val="center"/>
              <w:rPr>
                <w:rFonts w:eastAsia="方正仿宋简体"/>
                <w:color w:val="000000"/>
                <w:szCs w:val="21"/>
              </w:rPr>
            </w:pPr>
            <w:r>
              <w:rPr>
                <w:rFonts w:eastAsia="方正仿宋简体"/>
                <w:color w:val="000000"/>
                <w:szCs w:val="21"/>
              </w:rPr>
              <w:t>16</w:t>
            </w:r>
          </w:p>
        </w:tc>
        <w:tc>
          <w:tcPr>
            <w:tcW w:w="2817" w:type="dxa"/>
            <w:gridSpan w:val="2"/>
            <w:noWrap w:val="0"/>
            <w:vAlign w:val="center"/>
          </w:tcPr>
          <w:p>
            <w:pPr>
              <w:adjustRightInd w:val="0"/>
              <w:snapToGrid w:val="0"/>
              <w:jc w:val="center"/>
              <w:rPr>
                <w:rFonts w:eastAsia="方正仿宋简体"/>
                <w:color w:val="000000"/>
                <w:szCs w:val="21"/>
              </w:rPr>
            </w:pPr>
            <w:r>
              <w:rPr>
                <w:rFonts w:eastAsia="方正仿宋简体"/>
                <w:color w:val="000000"/>
                <w:szCs w:val="21"/>
              </w:rPr>
              <w:t>清洁能源占能源消费比重</w:t>
            </w:r>
          </w:p>
        </w:tc>
        <w:tc>
          <w:tcPr>
            <w:tcW w:w="1596" w:type="dxa"/>
            <w:noWrap w:val="0"/>
            <w:vAlign w:val="center"/>
          </w:tcPr>
          <w:p>
            <w:pPr>
              <w:adjustRightInd w:val="0"/>
              <w:snapToGrid w:val="0"/>
              <w:jc w:val="center"/>
              <w:rPr>
                <w:rFonts w:eastAsia="方正仿宋简体"/>
                <w:color w:val="000000"/>
                <w:szCs w:val="21"/>
              </w:rPr>
            </w:pPr>
            <w:r>
              <w:rPr>
                <w:rFonts w:eastAsia="方正仿宋简体"/>
                <w:color w:val="000000"/>
                <w:szCs w:val="21"/>
              </w:rPr>
              <w:t>（%）</w:t>
            </w:r>
          </w:p>
        </w:tc>
        <w:tc>
          <w:tcPr>
            <w:tcW w:w="1287" w:type="dxa"/>
            <w:noWrap w:val="0"/>
            <w:vAlign w:val="center"/>
          </w:tcPr>
          <w:p>
            <w:pPr>
              <w:adjustRightInd w:val="0"/>
              <w:snapToGrid w:val="0"/>
              <w:jc w:val="center"/>
              <w:rPr>
                <w:rFonts w:eastAsia="方正仿宋简体"/>
                <w:color w:val="000000"/>
                <w:szCs w:val="21"/>
              </w:rPr>
            </w:pPr>
            <w:r>
              <w:rPr>
                <w:rFonts w:eastAsia="方正仿宋简体"/>
                <w:color w:val="000000"/>
                <w:szCs w:val="21"/>
              </w:rPr>
              <w:t>——</w:t>
            </w:r>
          </w:p>
        </w:tc>
        <w:tc>
          <w:tcPr>
            <w:tcW w:w="1484" w:type="dxa"/>
            <w:noWrap w:val="0"/>
            <w:vAlign w:val="center"/>
          </w:tcPr>
          <w:p>
            <w:pPr>
              <w:adjustRightInd w:val="0"/>
              <w:snapToGrid w:val="0"/>
              <w:jc w:val="center"/>
              <w:rPr>
                <w:rFonts w:eastAsia="方正仿宋简体"/>
                <w:color w:val="000000"/>
                <w:szCs w:val="21"/>
              </w:rPr>
            </w:pPr>
            <w:r>
              <w:rPr>
                <w:rFonts w:eastAsia="方正仿宋简体"/>
                <w:color w:val="000000"/>
                <w:szCs w:val="21"/>
              </w:rPr>
              <w:t>30</w:t>
            </w:r>
          </w:p>
        </w:tc>
        <w:tc>
          <w:tcPr>
            <w:tcW w:w="1134" w:type="dxa"/>
            <w:noWrap w:val="0"/>
            <w:vAlign w:val="center"/>
          </w:tcPr>
          <w:p>
            <w:pPr>
              <w:adjustRightInd w:val="0"/>
              <w:snapToGrid w:val="0"/>
              <w:jc w:val="center"/>
              <w:rPr>
                <w:rFonts w:eastAsia="方正仿宋简体"/>
                <w:color w:val="000000"/>
                <w:szCs w:val="21"/>
              </w:rPr>
            </w:pPr>
            <w:r>
              <w:rPr>
                <w:rFonts w:eastAsia="方正仿宋简体"/>
                <w:color w:val="000000"/>
                <w:szCs w:val="21"/>
              </w:rPr>
              <w:t>预期性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10" w:hRule="atLeast"/>
          <w:jc w:val="center"/>
        </w:trPr>
        <w:tc>
          <w:tcPr>
            <w:tcW w:w="682" w:type="dxa"/>
            <w:noWrap w:val="0"/>
            <w:vAlign w:val="center"/>
          </w:tcPr>
          <w:p>
            <w:pPr>
              <w:adjustRightInd w:val="0"/>
              <w:snapToGrid w:val="0"/>
              <w:jc w:val="center"/>
              <w:rPr>
                <w:rFonts w:eastAsia="方正仿宋简体"/>
                <w:color w:val="000000"/>
                <w:szCs w:val="21"/>
              </w:rPr>
            </w:pPr>
            <w:r>
              <w:rPr>
                <w:rFonts w:eastAsia="方正仿宋简体"/>
                <w:color w:val="000000"/>
                <w:szCs w:val="21"/>
              </w:rPr>
              <w:t>17</w:t>
            </w:r>
          </w:p>
        </w:tc>
        <w:tc>
          <w:tcPr>
            <w:tcW w:w="2817" w:type="dxa"/>
            <w:gridSpan w:val="2"/>
            <w:noWrap w:val="0"/>
            <w:vAlign w:val="center"/>
          </w:tcPr>
          <w:p>
            <w:pPr>
              <w:adjustRightInd w:val="0"/>
              <w:snapToGrid w:val="0"/>
              <w:jc w:val="center"/>
              <w:rPr>
                <w:rFonts w:eastAsia="方正仿宋简体"/>
                <w:color w:val="000000"/>
                <w:szCs w:val="21"/>
              </w:rPr>
            </w:pPr>
            <w:r>
              <w:rPr>
                <w:rFonts w:eastAsia="方正仿宋简体"/>
                <w:color w:val="000000"/>
                <w:szCs w:val="21"/>
              </w:rPr>
              <w:t>单位地区生产总值能耗降低</w:t>
            </w:r>
          </w:p>
        </w:tc>
        <w:tc>
          <w:tcPr>
            <w:tcW w:w="1596" w:type="dxa"/>
            <w:noWrap w:val="0"/>
            <w:vAlign w:val="center"/>
          </w:tcPr>
          <w:p>
            <w:pPr>
              <w:adjustRightInd w:val="0"/>
              <w:snapToGrid w:val="0"/>
              <w:jc w:val="center"/>
              <w:rPr>
                <w:rFonts w:eastAsia="方正仿宋简体"/>
                <w:color w:val="000000"/>
                <w:szCs w:val="21"/>
              </w:rPr>
            </w:pPr>
            <w:r>
              <w:rPr>
                <w:rFonts w:eastAsia="方正仿宋简体"/>
                <w:color w:val="000000"/>
                <w:szCs w:val="21"/>
              </w:rPr>
              <w:t>（%）</w:t>
            </w:r>
          </w:p>
        </w:tc>
        <w:tc>
          <w:tcPr>
            <w:tcW w:w="1287" w:type="dxa"/>
            <w:noWrap w:val="0"/>
            <w:vAlign w:val="center"/>
          </w:tcPr>
          <w:p>
            <w:pPr>
              <w:adjustRightInd w:val="0"/>
              <w:snapToGrid w:val="0"/>
              <w:jc w:val="center"/>
              <w:rPr>
                <w:rFonts w:eastAsia="方正仿宋简体"/>
                <w:color w:val="000000"/>
                <w:szCs w:val="21"/>
              </w:rPr>
            </w:pPr>
            <w:r>
              <w:rPr>
                <w:rFonts w:eastAsia="方正仿宋简体"/>
                <w:color w:val="000000"/>
                <w:szCs w:val="21"/>
              </w:rPr>
              <w:t>{20}</w:t>
            </w:r>
          </w:p>
        </w:tc>
        <w:tc>
          <w:tcPr>
            <w:tcW w:w="1484" w:type="dxa"/>
            <w:noWrap w:val="0"/>
            <w:vAlign w:val="center"/>
          </w:tcPr>
          <w:p>
            <w:pPr>
              <w:adjustRightInd w:val="0"/>
              <w:snapToGrid w:val="0"/>
              <w:rPr>
                <w:rFonts w:eastAsia="方正仿宋简体"/>
                <w:color w:val="000000"/>
                <w:szCs w:val="21"/>
              </w:rPr>
            </w:pPr>
            <w:r>
              <w:rPr>
                <w:rFonts w:eastAsia="方正仿宋简体"/>
                <w:color w:val="000000"/>
                <w:szCs w:val="21"/>
              </w:rPr>
              <w:t>达到省里要求</w:t>
            </w:r>
          </w:p>
        </w:tc>
        <w:tc>
          <w:tcPr>
            <w:tcW w:w="1134" w:type="dxa"/>
            <w:noWrap w:val="0"/>
            <w:vAlign w:val="center"/>
          </w:tcPr>
          <w:p>
            <w:pPr>
              <w:adjustRightInd w:val="0"/>
              <w:snapToGrid w:val="0"/>
              <w:jc w:val="center"/>
              <w:rPr>
                <w:rFonts w:eastAsia="方正仿宋简体"/>
                <w:color w:val="000000"/>
                <w:szCs w:val="21"/>
              </w:rPr>
            </w:pPr>
            <w:r>
              <w:rPr>
                <w:rFonts w:eastAsia="方正仿宋简体"/>
                <w:color w:val="000000"/>
                <w:szCs w:val="21"/>
              </w:rPr>
              <w:t>约束性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10" w:hRule="atLeast"/>
          <w:jc w:val="center"/>
        </w:trPr>
        <w:tc>
          <w:tcPr>
            <w:tcW w:w="682" w:type="dxa"/>
            <w:noWrap w:val="0"/>
            <w:vAlign w:val="center"/>
          </w:tcPr>
          <w:p>
            <w:pPr>
              <w:adjustRightInd w:val="0"/>
              <w:snapToGrid w:val="0"/>
              <w:jc w:val="center"/>
              <w:rPr>
                <w:rFonts w:eastAsia="方正仿宋简体"/>
                <w:color w:val="000000"/>
                <w:szCs w:val="21"/>
              </w:rPr>
            </w:pPr>
            <w:r>
              <w:rPr>
                <w:rFonts w:eastAsia="方正仿宋简体"/>
                <w:color w:val="000000"/>
                <w:szCs w:val="21"/>
              </w:rPr>
              <w:t>18</w:t>
            </w:r>
          </w:p>
        </w:tc>
        <w:tc>
          <w:tcPr>
            <w:tcW w:w="2817" w:type="dxa"/>
            <w:gridSpan w:val="2"/>
            <w:noWrap w:val="0"/>
            <w:vAlign w:val="center"/>
          </w:tcPr>
          <w:p>
            <w:pPr>
              <w:adjustRightInd w:val="0"/>
              <w:snapToGrid w:val="0"/>
              <w:jc w:val="center"/>
              <w:rPr>
                <w:rFonts w:eastAsia="方正仿宋简体"/>
                <w:color w:val="000000"/>
                <w:szCs w:val="21"/>
              </w:rPr>
            </w:pPr>
            <w:r>
              <w:rPr>
                <w:rFonts w:eastAsia="方正仿宋简体"/>
                <w:color w:val="000000"/>
                <w:szCs w:val="21"/>
              </w:rPr>
              <w:t>单位地区生产总值二氧化碳排放降低</w:t>
            </w:r>
          </w:p>
        </w:tc>
        <w:tc>
          <w:tcPr>
            <w:tcW w:w="1596" w:type="dxa"/>
            <w:noWrap w:val="0"/>
            <w:vAlign w:val="center"/>
          </w:tcPr>
          <w:p>
            <w:pPr>
              <w:adjustRightInd w:val="0"/>
              <w:snapToGrid w:val="0"/>
              <w:jc w:val="center"/>
              <w:rPr>
                <w:rFonts w:eastAsia="方正仿宋简体"/>
                <w:color w:val="000000"/>
                <w:szCs w:val="21"/>
              </w:rPr>
            </w:pPr>
            <w:r>
              <w:rPr>
                <w:rFonts w:eastAsia="方正仿宋简体"/>
                <w:color w:val="000000"/>
                <w:szCs w:val="21"/>
              </w:rPr>
              <w:t>（%）</w:t>
            </w:r>
          </w:p>
        </w:tc>
        <w:tc>
          <w:tcPr>
            <w:tcW w:w="1287" w:type="dxa"/>
            <w:noWrap w:val="0"/>
            <w:vAlign w:val="center"/>
          </w:tcPr>
          <w:p>
            <w:pPr>
              <w:adjustRightInd w:val="0"/>
              <w:snapToGrid w:val="0"/>
              <w:jc w:val="center"/>
              <w:rPr>
                <w:rFonts w:eastAsia="方正仿宋简体"/>
                <w:color w:val="000000"/>
                <w:szCs w:val="21"/>
              </w:rPr>
            </w:pPr>
            <w:r>
              <w:rPr>
                <w:rFonts w:eastAsia="方正仿宋简体"/>
                <w:color w:val="000000"/>
                <w:szCs w:val="21"/>
              </w:rPr>
              <w:t>{17}</w:t>
            </w:r>
          </w:p>
        </w:tc>
        <w:tc>
          <w:tcPr>
            <w:tcW w:w="1484" w:type="dxa"/>
            <w:noWrap w:val="0"/>
            <w:vAlign w:val="center"/>
          </w:tcPr>
          <w:p>
            <w:pPr>
              <w:adjustRightInd w:val="0"/>
              <w:snapToGrid w:val="0"/>
              <w:rPr>
                <w:rFonts w:eastAsia="方正仿宋简体"/>
                <w:color w:val="000000"/>
                <w:szCs w:val="21"/>
              </w:rPr>
            </w:pPr>
            <w:r>
              <w:rPr>
                <w:rFonts w:eastAsia="方正仿宋简体"/>
                <w:color w:val="000000"/>
                <w:szCs w:val="21"/>
              </w:rPr>
              <w:t>达到省里要求</w:t>
            </w:r>
          </w:p>
        </w:tc>
        <w:tc>
          <w:tcPr>
            <w:tcW w:w="1134" w:type="dxa"/>
            <w:noWrap w:val="0"/>
            <w:vAlign w:val="center"/>
          </w:tcPr>
          <w:p>
            <w:pPr>
              <w:adjustRightInd w:val="0"/>
              <w:snapToGrid w:val="0"/>
              <w:jc w:val="center"/>
              <w:rPr>
                <w:rFonts w:eastAsia="方正仿宋简体"/>
                <w:color w:val="000000"/>
                <w:szCs w:val="21"/>
              </w:rPr>
            </w:pPr>
            <w:r>
              <w:rPr>
                <w:rFonts w:eastAsia="方正仿宋简体"/>
                <w:color w:val="000000"/>
                <w:szCs w:val="21"/>
              </w:rPr>
              <w:t>约束性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10" w:hRule="atLeast"/>
          <w:jc w:val="center"/>
        </w:trPr>
        <w:tc>
          <w:tcPr>
            <w:tcW w:w="682" w:type="dxa"/>
            <w:noWrap w:val="0"/>
            <w:vAlign w:val="center"/>
          </w:tcPr>
          <w:p>
            <w:pPr>
              <w:adjustRightInd w:val="0"/>
              <w:snapToGrid w:val="0"/>
              <w:jc w:val="center"/>
              <w:rPr>
                <w:rFonts w:eastAsia="方正仿宋简体"/>
                <w:color w:val="000000"/>
                <w:szCs w:val="21"/>
              </w:rPr>
            </w:pPr>
            <w:r>
              <w:rPr>
                <w:rFonts w:eastAsia="方正仿宋简体"/>
                <w:color w:val="000000"/>
                <w:szCs w:val="21"/>
              </w:rPr>
              <w:t>19</w:t>
            </w:r>
          </w:p>
        </w:tc>
        <w:tc>
          <w:tcPr>
            <w:tcW w:w="2817" w:type="dxa"/>
            <w:gridSpan w:val="2"/>
            <w:noWrap w:val="0"/>
            <w:vAlign w:val="center"/>
          </w:tcPr>
          <w:p>
            <w:pPr>
              <w:adjustRightInd w:val="0"/>
              <w:snapToGrid w:val="0"/>
              <w:jc w:val="center"/>
              <w:rPr>
                <w:rFonts w:eastAsia="方正仿宋简体"/>
                <w:color w:val="000000"/>
                <w:szCs w:val="21"/>
              </w:rPr>
            </w:pPr>
            <w:r>
              <w:rPr>
                <w:rFonts w:eastAsia="方正仿宋简体"/>
                <w:color w:val="000000"/>
                <w:szCs w:val="21"/>
              </w:rPr>
              <w:t>空气质量优良率</w:t>
            </w:r>
          </w:p>
        </w:tc>
        <w:tc>
          <w:tcPr>
            <w:tcW w:w="1596" w:type="dxa"/>
            <w:noWrap w:val="0"/>
            <w:vAlign w:val="center"/>
          </w:tcPr>
          <w:p>
            <w:pPr>
              <w:adjustRightInd w:val="0"/>
              <w:snapToGrid w:val="0"/>
              <w:jc w:val="center"/>
              <w:rPr>
                <w:rFonts w:eastAsia="方正仿宋简体"/>
                <w:color w:val="000000"/>
                <w:szCs w:val="21"/>
              </w:rPr>
            </w:pPr>
            <w:r>
              <w:rPr>
                <w:rFonts w:eastAsia="方正仿宋简体"/>
                <w:color w:val="000000"/>
                <w:szCs w:val="21"/>
              </w:rPr>
              <w:t>（%）</w:t>
            </w:r>
          </w:p>
        </w:tc>
        <w:tc>
          <w:tcPr>
            <w:tcW w:w="1287" w:type="dxa"/>
            <w:noWrap w:val="0"/>
            <w:vAlign w:val="center"/>
          </w:tcPr>
          <w:p>
            <w:pPr>
              <w:adjustRightInd w:val="0"/>
              <w:snapToGrid w:val="0"/>
              <w:jc w:val="center"/>
              <w:rPr>
                <w:rFonts w:eastAsia="方正仿宋简体"/>
                <w:color w:val="000000"/>
                <w:szCs w:val="21"/>
              </w:rPr>
            </w:pPr>
            <w:r>
              <w:rPr>
                <w:rFonts w:eastAsia="方正仿宋简体"/>
                <w:color w:val="000000"/>
                <w:szCs w:val="21"/>
              </w:rPr>
              <w:t>70.7</w:t>
            </w:r>
          </w:p>
        </w:tc>
        <w:tc>
          <w:tcPr>
            <w:tcW w:w="1484" w:type="dxa"/>
            <w:noWrap w:val="0"/>
            <w:vAlign w:val="center"/>
          </w:tcPr>
          <w:p>
            <w:pPr>
              <w:adjustRightInd w:val="0"/>
              <w:snapToGrid w:val="0"/>
              <w:jc w:val="center"/>
              <w:rPr>
                <w:rFonts w:eastAsia="方正仿宋简体"/>
                <w:color w:val="000000"/>
                <w:szCs w:val="21"/>
              </w:rPr>
            </w:pPr>
            <w:r>
              <w:rPr>
                <w:rFonts w:eastAsia="方正仿宋简体"/>
                <w:color w:val="000000"/>
                <w:szCs w:val="21"/>
              </w:rPr>
              <w:t>≥80（新标准）</w:t>
            </w:r>
          </w:p>
        </w:tc>
        <w:tc>
          <w:tcPr>
            <w:tcW w:w="1134" w:type="dxa"/>
            <w:noWrap w:val="0"/>
            <w:vAlign w:val="center"/>
          </w:tcPr>
          <w:p>
            <w:pPr>
              <w:adjustRightInd w:val="0"/>
              <w:snapToGrid w:val="0"/>
              <w:jc w:val="center"/>
              <w:rPr>
                <w:rFonts w:eastAsia="方正仿宋简体"/>
                <w:color w:val="000000"/>
                <w:szCs w:val="21"/>
              </w:rPr>
            </w:pPr>
            <w:r>
              <w:rPr>
                <w:rFonts w:eastAsia="方正仿宋简体"/>
                <w:color w:val="000000"/>
                <w:szCs w:val="21"/>
              </w:rPr>
              <w:t>约束性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10" w:hRule="atLeast"/>
          <w:jc w:val="center"/>
        </w:trPr>
        <w:tc>
          <w:tcPr>
            <w:tcW w:w="682" w:type="dxa"/>
            <w:noWrap w:val="0"/>
            <w:vAlign w:val="center"/>
          </w:tcPr>
          <w:p>
            <w:pPr>
              <w:adjustRightInd w:val="0"/>
              <w:snapToGrid w:val="0"/>
              <w:jc w:val="center"/>
              <w:rPr>
                <w:rFonts w:eastAsia="方正仿宋简体"/>
                <w:color w:val="000000"/>
                <w:szCs w:val="21"/>
              </w:rPr>
            </w:pPr>
            <w:r>
              <w:rPr>
                <w:rFonts w:eastAsia="方正仿宋简体"/>
                <w:color w:val="000000"/>
                <w:szCs w:val="21"/>
              </w:rPr>
              <w:t>20</w:t>
            </w:r>
          </w:p>
        </w:tc>
        <w:tc>
          <w:tcPr>
            <w:tcW w:w="2817" w:type="dxa"/>
            <w:gridSpan w:val="2"/>
            <w:vMerge w:val="restart"/>
            <w:noWrap w:val="0"/>
            <w:vAlign w:val="center"/>
          </w:tcPr>
          <w:p>
            <w:pPr>
              <w:adjustRightInd w:val="0"/>
              <w:snapToGrid w:val="0"/>
              <w:jc w:val="center"/>
              <w:rPr>
                <w:rFonts w:eastAsia="方正仿宋简体"/>
                <w:color w:val="000000"/>
                <w:szCs w:val="21"/>
              </w:rPr>
            </w:pPr>
            <w:r>
              <w:rPr>
                <w:rFonts w:eastAsia="方正仿宋简体"/>
                <w:color w:val="000000"/>
                <w:szCs w:val="21"/>
              </w:rPr>
              <w:t>主要污染物排放累计减少</w:t>
            </w:r>
          </w:p>
        </w:tc>
        <w:tc>
          <w:tcPr>
            <w:tcW w:w="1596" w:type="dxa"/>
            <w:noWrap w:val="0"/>
            <w:vAlign w:val="center"/>
          </w:tcPr>
          <w:p>
            <w:pPr>
              <w:adjustRightInd w:val="0"/>
              <w:snapToGrid w:val="0"/>
              <w:jc w:val="center"/>
              <w:rPr>
                <w:rFonts w:eastAsia="方正仿宋简体"/>
                <w:color w:val="000000"/>
                <w:szCs w:val="21"/>
              </w:rPr>
            </w:pPr>
            <w:r>
              <w:rPr>
                <w:rFonts w:eastAsia="方正仿宋简体"/>
                <w:color w:val="000000"/>
                <w:szCs w:val="21"/>
              </w:rPr>
              <w:t>化学需氧量（%）</w:t>
            </w:r>
          </w:p>
        </w:tc>
        <w:tc>
          <w:tcPr>
            <w:tcW w:w="1287" w:type="dxa"/>
            <w:noWrap w:val="0"/>
            <w:vAlign w:val="center"/>
          </w:tcPr>
          <w:p>
            <w:pPr>
              <w:adjustRightInd w:val="0"/>
              <w:snapToGrid w:val="0"/>
              <w:jc w:val="center"/>
              <w:rPr>
                <w:rFonts w:eastAsia="方正仿宋简体"/>
                <w:color w:val="000000"/>
                <w:szCs w:val="21"/>
              </w:rPr>
            </w:pPr>
            <w:r>
              <w:rPr>
                <w:rFonts w:eastAsia="方正仿宋简体"/>
                <w:color w:val="000000"/>
                <w:szCs w:val="21"/>
              </w:rPr>
              <w:t>{20.72}</w:t>
            </w:r>
          </w:p>
        </w:tc>
        <w:tc>
          <w:tcPr>
            <w:tcW w:w="1484" w:type="dxa"/>
            <w:noWrap w:val="0"/>
            <w:vAlign w:val="center"/>
          </w:tcPr>
          <w:p>
            <w:pPr>
              <w:adjustRightInd w:val="0"/>
              <w:snapToGrid w:val="0"/>
              <w:rPr>
                <w:rFonts w:eastAsia="方正仿宋简体"/>
                <w:color w:val="000000"/>
                <w:szCs w:val="21"/>
              </w:rPr>
            </w:pPr>
            <w:r>
              <w:rPr>
                <w:rFonts w:eastAsia="方正仿宋简体"/>
                <w:color w:val="000000"/>
                <w:szCs w:val="21"/>
              </w:rPr>
              <w:t>达到省里要求</w:t>
            </w:r>
          </w:p>
        </w:tc>
        <w:tc>
          <w:tcPr>
            <w:tcW w:w="1134" w:type="dxa"/>
            <w:noWrap w:val="0"/>
            <w:vAlign w:val="center"/>
          </w:tcPr>
          <w:p>
            <w:pPr>
              <w:adjustRightInd w:val="0"/>
              <w:snapToGrid w:val="0"/>
              <w:jc w:val="center"/>
              <w:rPr>
                <w:rFonts w:eastAsia="方正仿宋简体"/>
                <w:color w:val="000000"/>
                <w:szCs w:val="21"/>
              </w:rPr>
            </w:pPr>
            <w:r>
              <w:rPr>
                <w:rFonts w:eastAsia="方正仿宋简体"/>
                <w:color w:val="000000"/>
                <w:szCs w:val="21"/>
              </w:rPr>
              <w:t>约束性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10" w:hRule="atLeast"/>
          <w:jc w:val="center"/>
        </w:trPr>
        <w:tc>
          <w:tcPr>
            <w:tcW w:w="682" w:type="dxa"/>
            <w:noWrap w:val="0"/>
            <w:vAlign w:val="center"/>
          </w:tcPr>
          <w:p>
            <w:pPr>
              <w:adjustRightInd w:val="0"/>
              <w:snapToGrid w:val="0"/>
              <w:jc w:val="center"/>
              <w:rPr>
                <w:rFonts w:eastAsia="方正仿宋简体"/>
                <w:color w:val="000000"/>
                <w:szCs w:val="21"/>
              </w:rPr>
            </w:pPr>
            <w:r>
              <w:rPr>
                <w:rFonts w:eastAsia="方正仿宋简体"/>
                <w:color w:val="000000"/>
                <w:szCs w:val="21"/>
              </w:rPr>
              <w:t>21</w:t>
            </w:r>
          </w:p>
        </w:tc>
        <w:tc>
          <w:tcPr>
            <w:tcW w:w="2817" w:type="dxa"/>
            <w:gridSpan w:val="2"/>
            <w:vMerge w:val="continue"/>
            <w:noWrap w:val="0"/>
            <w:vAlign w:val="center"/>
          </w:tcPr>
          <w:p>
            <w:pPr>
              <w:adjustRightInd w:val="0"/>
              <w:snapToGrid w:val="0"/>
              <w:jc w:val="left"/>
              <w:rPr>
                <w:rFonts w:eastAsia="方正仿宋简体"/>
                <w:color w:val="000000"/>
                <w:szCs w:val="21"/>
              </w:rPr>
            </w:pPr>
          </w:p>
        </w:tc>
        <w:tc>
          <w:tcPr>
            <w:tcW w:w="1596" w:type="dxa"/>
            <w:noWrap w:val="0"/>
            <w:vAlign w:val="center"/>
          </w:tcPr>
          <w:p>
            <w:pPr>
              <w:adjustRightInd w:val="0"/>
              <w:snapToGrid w:val="0"/>
              <w:jc w:val="center"/>
              <w:rPr>
                <w:rFonts w:eastAsia="方正仿宋简体"/>
                <w:color w:val="000000"/>
                <w:szCs w:val="21"/>
              </w:rPr>
            </w:pPr>
            <w:r>
              <w:rPr>
                <w:rFonts w:eastAsia="方正仿宋简体"/>
                <w:color w:val="000000"/>
                <w:szCs w:val="21"/>
              </w:rPr>
              <w:t>二氧化硫（%）</w:t>
            </w:r>
          </w:p>
        </w:tc>
        <w:tc>
          <w:tcPr>
            <w:tcW w:w="1287" w:type="dxa"/>
            <w:noWrap w:val="0"/>
            <w:vAlign w:val="center"/>
          </w:tcPr>
          <w:p>
            <w:pPr>
              <w:adjustRightInd w:val="0"/>
              <w:snapToGrid w:val="0"/>
              <w:jc w:val="center"/>
              <w:rPr>
                <w:rFonts w:eastAsia="方正仿宋简体"/>
                <w:color w:val="000000"/>
                <w:szCs w:val="21"/>
              </w:rPr>
            </w:pPr>
            <w:r>
              <w:rPr>
                <w:rFonts w:eastAsia="方正仿宋简体"/>
                <w:color w:val="000000"/>
                <w:szCs w:val="21"/>
              </w:rPr>
              <w:t>{30.28}</w:t>
            </w:r>
          </w:p>
        </w:tc>
        <w:tc>
          <w:tcPr>
            <w:tcW w:w="1484" w:type="dxa"/>
            <w:noWrap w:val="0"/>
            <w:vAlign w:val="center"/>
          </w:tcPr>
          <w:p>
            <w:pPr>
              <w:adjustRightInd w:val="0"/>
              <w:snapToGrid w:val="0"/>
              <w:jc w:val="left"/>
              <w:rPr>
                <w:rFonts w:eastAsia="方正仿宋简体"/>
                <w:color w:val="000000"/>
                <w:szCs w:val="21"/>
              </w:rPr>
            </w:pPr>
            <w:r>
              <w:rPr>
                <w:rFonts w:eastAsia="方正仿宋简体"/>
                <w:color w:val="000000"/>
                <w:szCs w:val="21"/>
              </w:rPr>
              <w:t>达到省里要求</w:t>
            </w:r>
          </w:p>
        </w:tc>
        <w:tc>
          <w:tcPr>
            <w:tcW w:w="1134" w:type="dxa"/>
            <w:noWrap w:val="0"/>
            <w:vAlign w:val="center"/>
          </w:tcPr>
          <w:p>
            <w:pPr>
              <w:adjustRightInd w:val="0"/>
              <w:snapToGrid w:val="0"/>
              <w:jc w:val="center"/>
              <w:rPr>
                <w:rFonts w:eastAsia="方正仿宋简体"/>
                <w:color w:val="000000"/>
                <w:szCs w:val="21"/>
              </w:rPr>
            </w:pPr>
            <w:r>
              <w:rPr>
                <w:rFonts w:eastAsia="方正仿宋简体"/>
                <w:color w:val="000000"/>
                <w:szCs w:val="21"/>
              </w:rPr>
              <w:t>约束性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10" w:hRule="atLeast"/>
          <w:jc w:val="center"/>
        </w:trPr>
        <w:tc>
          <w:tcPr>
            <w:tcW w:w="682" w:type="dxa"/>
            <w:noWrap w:val="0"/>
            <w:vAlign w:val="center"/>
          </w:tcPr>
          <w:p>
            <w:pPr>
              <w:adjustRightInd w:val="0"/>
              <w:snapToGrid w:val="0"/>
              <w:jc w:val="center"/>
              <w:rPr>
                <w:rFonts w:eastAsia="方正仿宋简体"/>
                <w:color w:val="000000"/>
                <w:szCs w:val="21"/>
              </w:rPr>
            </w:pPr>
            <w:r>
              <w:rPr>
                <w:rFonts w:eastAsia="方正仿宋简体"/>
                <w:color w:val="000000"/>
                <w:szCs w:val="21"/>
              </w:rPr>
              <w:t>22</w:t>
            </w:r>
          </w:p>
        </w:tc>
        <w:tc>
          <w:tcPr>
            <w:tcW w:w="2817" w:type="dxa"/>
            <w:gridSpan w:val="2"/>
            <w:vMerge w:val="continue"/>
            <w:noWrap w:val="0"/>
            <w:vAlign w:val="center"/>
          </w:tcPr>
          <w:p>
            <w:pPr>
              <w:adjustRightInd w:val="0"/>
              <w:snapToGrid w:val="0"/>
              <w:jc w:val="left"/>
              <w:rPr>
                <w:rFonts w:eastAsia="方正仿宋简体"/>
                <w:color w:val="000000"/>
                <w:szCs w:val="21"/>
              </w:rPr>
            </w:pPr>
          </w:p>
        </w:tc>
        <w:tc>
          <w:tcPr>
            <w:tcW w:w="1596" w:type="dxa"/>
            <w:noWrap w:val="0"/>
            <w:vAlign w:val="center"/>
          </w:tcPr>
          <w:p>
            <w:pPr>
              <w:adjustRightInd w:val="0"/>
              <w:snapToGrid w:val="0"/>
              <w:jc w:val="center"/>
              <w:rPr>
                <w:rFonts w:eastAsia="方正仿宋简体"/>
                <w:color w:val="000000"/>
                <w:szCs w:val="21"/>
              </w:rPr>
            </w:pPr>
            <w:r>
              <w:rPr>
                <w:rFonts w:eastAsia="方正仿宋简体"/>
                <w:color w:val="000000"/>
                <w:szCs w:val="21"/>
              </w:rPr>
              <w:t>氨氮（%）</w:t>
            </w:r>
          </w:p>
        </w:tc>
        <w:tc>
          <w:tcPr>
            <w:tcW w:w="1287" w:type="dxa"/>
            <w:noWrap w:val="0"/>
            <w:vAlign w:val="center"/>
          </w:tcPr>
          <w:p>
            <w:pPr>
              <w:adjustRightInd w:val="0"/>
              <w:snapToGrid w:val="0"/>
              <w:jc w:val="center"/>
              <w:rPr>
                <w:rFonts w:eastAsia="方正仿宋简体"/>
                <w:color w:val="000000"/>
                <w:szCs w:val="21"/>
              </w:rPr>
            </w:pPr>
            <w:r>
              <w:rPr>
                <w:rFonts w:eastAsia="方正仿宋简体"/>
                <w:color w:val="000000"/>
                <w:szCs w:val="21"/>
              </w:rPr>
              <w:t>{15.14}</w:t>
            </w:r>
          </w:p>
        </w:tc>
        <w:tc>
          <w:tcPr>
            <w:tcW w:w="1484" w:type="dxa"/>
            <w:noWrap w:val="0"/>
            <w:vAlign w:val="center"/>
          </w:tcPr>
          <w:p>
            <w:pPr>
              <w:adjustRightInd w:val="0"/>
              <w:snapToGrid w:val="0"/>
              <w:jc w:val="left"/>
              <w:rPr>
                <w:rFonts w:eastAsia="方正仿宋简体"/>
                <w:color w:val="000000"/>
                <w:szCs w:val="21"/>
              </w:rPr>
            </w:pPr>
            <w:r>
              <w:rPr>
                <w:rFonts w:eastAsia="方正仿宋简体"/>
                <w:color w:val="000000"/>
                <w:szCs w:val="21"/>
              </w:rPr>
              <w:t>达到省里要求</w:t>
            </w:r>
          </w:p>
        </w:tc>
        <w:tc>
          <w:tcPr>
            <w:tcW w:w="1134" w:type="dxa"/>
            <w:noWrap w:val="0"/>
            <w:vAlign w:val="center"/>
          </w:tcPr>
          <w:p>
            <w:pPr>
              <w:adjustRightInd w:val="0"/>
              <w:snapToGrid w:val="0"/>
              <w:jc w:val="center"/>
              <w:rPr>
                <w:rFonts w:eastAsia="方正仿宋简体"/>
                <w:color w:val="000000"/>
                <w:szCs w:val="21"/>
              </w:rPr>
            </w:pPr>
            <w:r>
              <w:rPr>
                <w:rFonts w:eastAsia="方正仿宋简体"/>
                <w:color w:val="000000"/>
                <w:szCs w:val="21"/>
              </w:rPr>
              <w:t>约束性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10" w:hRule="atLeast"/>
          <w:jc w:val="center"/>
        </w:trPr>
        <w:tc>
          <w:tcPr>
            <w:tcW w:w="682" w:type="dxa"/>
            <w:noWrap w:val="0"/>
            <w:vAlign w:val="center"/>
          </w:tcPr>
          <w:p>
            <w:pPr>
              <w:adjustRightInd w:val="0"/>
              <w:snapToGrid w:val="0"/>
              <w:jc w:val="center"/>
              <w:rPr>
                <w:rFonts w:eastAsia="方正仿宋简体"/>
                <w:color w:val="000000"/>
                <w:szCs w:val="21"/>
              </w:rPr>
            </w:pPr>
            <w:r>
              <w:rPr>
                <w:rFonts w:eastAsia="方正仿宋简体"/>
                <w:color w:val="000000"/>
                <w:szCs w:val="21"/>
              </w:rPr>
              <w:t>23</w:t>
            </w:r>
          </w:p>
        </w:tc>
        <w:tc>
          <w:tcPr>
            <w:tcW w:w="2817" w:type="dxa"/>
            <w:gridSpan w:val="2"/>
            <w:vMerge w:val="continue"/>
            <w:noWrap w:val="0"/>
            <w:vAlign w:val="bottom"/>
          </w:tcPr>
          <w:p>
            <w:pPr>
              <w:adjustRightInd w:val="0"/>
              <w:snapToGrid w:val="0"/>
              <w:jc w:val="center"/>
              <w:rPr>
                <w:rFonts w:eastAsia="方正仿宋简体"/>
                <w:color w:val="000000"/>
                <w:szCs w:val="21"/>
              </w:rPr>
            </w:pPr>
          </w:p>
        </w:tc>
        <w:tc>
          <w:tcPr>
            <w:tcW w:w="1596" w:type="dxa"/>
            <w:noWrap w:val="0"/>
            <w:vAlign w:val="bottom"/>
          </w:tcPr>
          <w:p>
            <w:pPr>
              <w:adjustRightInd w:val="0"/>
              <w:snapToGrid w:val="0"/>
              <w:jc w:val="center"/>
              <w:rPr>
                <w:rFonts w:eastAsia="方正仿宋简体"/>
                <w:color w:val="000000"/>
                <w:szCs w:val="21"/>
              </w:rPr>
            </w:pPr>
            <w:r>
              <w:rPr>
                <w:rFonts w:eastAsia="方正仿宋简体"/>
                <w:color w:val="000000"/>
                <w:szCs w:val="21"/>
              </w:rPr>
              <w:t>氮氧化物（%）</w:t>
            </w:r>
          </w:p>
        </w:tc>
        <w:tc>
          <w:tcPr>
            <w:tcW w:w="1287" w:type="dxa"/>
            <w:noWrap w:val="0"/>
            <w:vAlign w:val="bottom"/>
          </w:tcPr>
          <w:p>
            <w:pPr>
              <w:adjustRightInd w:val="0"/>
              <w:snapToGrid w:val="0"/>
              <w:jc w:val="center"/>
              <w:rPr>
                <w:rFonts w:eastAsia="方正仿宋简体"/>
                <w:color w:val="000000"/>
                <w:szCs w:val="21"/>
              </w:rPr>
            </w:pPr>
            <w:r>
              <w:rPr>
                <w:rFonts w:eastAsia="方正仿宋简体"/>
                <w:color w:val="000000"/>
                <w:szCs w:val="21"/>
              </w:rPr>
              <w:t>{7.82}</w:t>
            </w:r>
          </w:p>
        </w:tc>
        <w:tc>
          <w:tcPr>
            <w:tcW w:w="1484" w:type="dxa"/>
            <w:noWrap w:val="0"/>
            <w:vAlign w:val="bottom"/>
          </w:tcPr>
          <w:p>
            <w:pPr>
              <w:adjustRightInd w:val="0"/>
              <w:snapToGrid w:val="0"/>
              <w:rPr>
                <w:rFonts w:eastAsia="方正仿宋简体"/>
                <w:color w:val="000000"/>
                <w:szCs w:val="21"/>
              </w:rPr>
            </w:pPr>
            <w:r>
              <w:rPr>
                <w:rFonts w:eastAsia="方正仿宋简体"/>
                <w:color w:val="000000"/>
                <w:szCs w:val="21"/>
              </w:rPr>
              <w:t>达到省里要求</w:t>
            </w:r>
          </w:p>
        </w:tc>
        <w:tc>
          <w:tcPr>
            <w:tcW w:w="1134" w:type="dxa"/>
            <w:noWrap w:val="0"/>
            <w:vAlign w:val="center"/>
          </w:tcPr>
          <w:p>
            <w:pPr>
              <w:adjustRightInd w:val="0"/>
              <w:snapToGrid w:val="0"/>
              <w:jc w:val="center"/>
              <w:rPr>
                <w:rFonts w:eastAsia="方正仿宋简体"/>
                <w:color w:val="000000"/>
                <w:szCs w:val="21"/>
              </w:rPr>
            </w:pPr>
            <w:r>
              <w:rPr>
                <w:rFonts w:eastAsia="方正仿宋简体"/>
                <w:color w:val="000000"/>
                <w:szCs w:val="21"/>
              </w:rPr>
              <w:t>约束性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10" w:hRule="atLeast"/>
          <w:jc w:val="center"/>
        </w:trPr>
        <w:tc>
          <w:tcPr>
            <w:tcW w:w="682" w:type="dxa"/>
            <w:noWrap w:val="0"/>
            <w:vAlign w:val="center"/>
          </w:tcPr>
          <w:p>
            <w:pPr>
              <w:adjustRightInd w:val="0"/>
              <w:snapToGrid w:val="0"/>
              <w:jc w:val="center"/>
              <w:rPr>
                <w:rFonts w:eastAsia="方正仿宋简体"/>
                <w:color w:val="000000"/>
                <w:szCs w:val="21"/>
              </w:rPr>
            </w:pPr>
            <w:r>
              <w:rPr>
                <w:rFonts w:eastAsia="方正仿宋简体"/>
                <w:color w:val="000000"/>
                <w:szCs w:val="21"/>
              </w:rPr>
              <w:t>24</w:t>
            </w:r>
          </w:p>
        </w:tc>
        <w:tc>
          <w:tcPr>
            <w:tcW w:w="2817" w:type="dxa"/>
            <w:gridSpan w:val="2"/>
            <w:noWrap w:val="0"/>
            <w:vAlign w:val="center"/>
          </w:tcPr>
          <w:p>
            <w:pPr>
              <w:adjustRightInd w:val="0"/>
              <w:snapToGrid w:val="0"/>
              <w:jc w:val="center"/>
              <w:rPr>
                <w:rFonts w:eastAsia="方正仿宋简体"/>
                <w:color w:val="000000"/>
                <w:szCs w:val="21"/>
              </w:rPr>
            </w:pPr>
            <w:r>
              <w:rPr>
                <w:rFonts w:eastAsia="方正仿宋简体"/>
                <w:color w:val="000000"/>
                <w:szCs w:val="21"/>
              </w:rPr>
              <w:t>建成区绿化覆盖率</w:t>
            </w:r>
          </w:p>
        </w:tc>
        <w:tc>
          <w:tcPr>
            <w:tcW w:w="1596" w:type="dxa"/>
            <w:noWrap w:val="0"/>
            <w:vAlign w:val="center"/>
          </w:tcPr>
          <w:p>
            <w:pPr>
              <w:adjustRightInd w:val="0"/>
              <w:snapToGrid w:val="0"/>
              <w:jc w:val="center"/>
              <w:rPr>
                <w:rFonts w:eastAsia="方正仿宋简体"/>
                <w:color w:val="000000"/>
                <w:szCs w:val="21"/>
              </w:rPr>
            </w:pPr>
            <w:r>
              <w:rPr>
                <w:rFonts w:eastAsia="方正仿宋简体"/>
                <w:color w:val="000000"/>
                <w:szCs w:val="21"/>
              </w:rPr>
              <w:t>（%）</w:t>
            </w:r>
          </w:p>
        </w:tc>
        <w:tc>
          <w:tcPr>
            <w:tcW w:w="1287" w:type="dxa"/>
            <w:noWrap w:val="0"/>
            <w:vAlign w:val="center"/>
          </w:tcPr>
          <w:p>
            <w:pPr>
              <w:adjustRightInd w:val="0"/>
              <w:snapToGrid w:val="0"/>
              <w:jc w:val="center"/>
              <w:rPr>
                <w:rFonts w:eastAsia="方正仿宋简体"/>
                <w:color w:val="000000"/>
                <w:szCs w:val="21"/>
              </w:rPr>
            </w:pPr>
            <w:r>
              <w:rPr>
                <w:rFonts w:eastAsia="方正仿宋简体"/>
                <w:color w:val="000000"/>
                <w:szCs w:val="21"/>
              </w:rPr>
              <w:t>40</w:t>
            </w:r>
          </w:p>
        </w:tc>
        <w:tc>
          <w:tcPr>
            <w:tcW w:w="1484" w:type="dxa"/>
            <w:noWrap w:val="0"/>
            <w:vAlign w:val="center"/>
          </w:tcPr>
          <w:p>
            <w:pPr>
              <w:adjustRightInd w:val="0"/>
              <w:snapToGrid w:val="0"/>
              <w:jc w:val="center"/>
              <w:rPr>
                <w:rFonts w:eastAsia="方正仿宋简体"/>
                <w:color w:val="000000"/>
                <w:szCs w:val="21"/>
              </w:rPr>
            </w:pPr>
            <w:r>
              <w:rPr>
                <w:rFonts w:eastAsia="方正仿宋简体"/>
                <w:color w:val="000000"/>
                <w:szCs w:val="21"/>
              </w:rPr>
              <w:t>41</w:t>
            </w:r>
          </w:p>
        </w:tc>
        <w:tc>
          <w:tcPr>
            <w:tcW w:w="1134" w:type="dxa"/>
            <w:noWrap w:val="0"/>
            <w:vAlign w:val="center"/>
          </w:tcPr>
          <w:p>
            <w:pPr>
              <w:adjustRightInd w:val="0"/>
              <w:snapToGrid w:val="0"/>
              <w:jc w:val="center"/>
              <w:rPr>
                <w:rFonts w:eastAsia="方正仿宋简体"/>
                <w:color w:val="000000"/>
                <w:szCs w:val="21"/>
              </w:rPr>
            </w:pPr>
            <w:r>
              <w:rPr>
                <w:rFonts w:eastAsia="方正仿宋简体"/>
                <w:color w:val="000000"/>
                <w:szCs w:val="21"/>
              </w:rPr>
              <w:t>约束性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10" w:hRule="atLeast"/>
          <w:jc w:val="center"/>
        </w:trPr>
        <w:tc>
          <w:tcPr>
            <w:tcW w:w="682" w:type="dxa"/>
            <w:noWrap w:val="0"/>
            <w:vAlign w:val="center"/>
          </w:tcPr>
          <w:p>
            <w:pPr>
              <w:adjustRightInd w:val="0"/>
              <w:snapToGrid w:val="0"/>
              <w:jc w:val="center"/>
              <w:rPr>
                <w:rFonts w:eastAsia="方正仿宋简体"/>
                <w:color w:val="000000"/>
                <w:szCs w:val="21"/>
              </w:rPr>
            </w:pPr>
            <w:r>
              <w:rPr>
                <w:rFonts w:eastAsia="方正仿宋简体"/>
                <w:color w:val="000000"/>
                <w:szCs w:val="21"/>
              </w:rPr>
              <w:t>25</w:t>
            </w:r>
          </w:p>
        </w:tc>
        <w:tc>
          <w:tcPr>
            <w:tcW w:w="2817" w:type="dxa"/>
            <w:gridSpan w:val="2"/>
            <w:noWrap w:val="0"/>
            <w:vAlign w:val="center"/>
          </w:tcPr>
          <w:p>
            <w:pPr>
              <w:adjustRightInd w:val="0"/>
              <w:snapToGrid w:val="0"/>
              <w:jc w:val="center"/>
              <w:rPr>
                <w:rFonts w:eastAsia="方正仿宋简体"/>
                <w:color w:val="000000"/>
                <w:szCs w:val="21"/>
              </w:rPr>
            </w:pPr>
            <w:r>
              <w:rPr>
                <w:rFonts w:eastAsia="方正仿宋简体"/>
                <w:color w:val="000000"/>
                <w:szCs w:val="21"/>
              </w:rPr>
              <w:t>森林覆盖率</w:t>
            </w:r>
          </w:p>
        </w:tc>
        <w:tc>
          <w:tcPr>
            <w:tcW w:w="1596" w:type="dxa"/>
            <w:noWrap w:val="0"/>
            <w:vAlign w:val="center"/>
          </w:tcPr>
          <w:p>
            <w:pPr>
              <w:adjustRightInd w:val="0"/>
              <w:snapToGrid w:val="0"/>
              <w:jc w:val="center"/>
              <w:rPr>
                <w:rFonts w:eastAsia="方正仿宋简体"/>
                <w:color w:val="000000"/>
                <w:szCs w:val="21"/>
              </w:rPr>
            </w:pPr>
            <w:r>
              <w:rPr>
                <w:rFonts w:eastAsia="方正仿宋简体"/>
                <w:color w:val="000000"/>
                <w:szCs w:val="21"/>
              </w:rPr>
              <w:t>（%）</w:t>
            </w:r>
          </w:p>
        </w:tc>
        <w:tc>
          <w:tcPr>
            <w:tcW w:w="1287" w:type="dxa"/>
            <w:noWrap w:val="0"/>
            <w:vAlign w:val="center"/>
          </w:tcPr>
          <w:p>
            <w:pPr>
              <w:adjustRightInd w:val="0"/>
              <w:snapToGrid w:val="0"/>
              <w:jc w:val="center"/>
              <w:rPr>
                <w:rFonts w:eastAsia="方正仿宋简体"/>
                <w:color w:val="000000"/>
                <w:szCs w:val="21"/>
              </w:rPr>
            </w:pPr>
            <w:r>
              <w:rPr>
                <w:rFonts w:eastAsia="方正仿宋简体"/>
                <w:color w:val="000000"/>
                <w:szCs w:val="21"/>
              </w:rPr>
              <w:t>54.8</w:t>
            </w:r>
          </w:p>
        </w:tc>
        <w:tc>
          <w:tcPr>
            <w:tcW w:w="1484" w:type="dxa"/>
            <w:noWrap w:val="0"/>
            <w:vAlign w:val="center"/>
          </w:tcPr>
          <w:p>
            <w:pPr>
              <w:adjustRightInd w:val="0"/>
              <w:snapToGrid w:val="0"/>
              <w:jc w:val="center"/>
              <w:rPr>
                <w:rFonts w:eastAsia="方正仿宋简体"/>
                <w:color w:val="000000"/>
                <w:szCs w:val="21"/>
              </w:rPr>
            </w:pPr>
            <w:r>
              <w:rPr>
                <w:rFonts w:eastAsia="方正仿宋简体"/>
                <w:color w:val="000000"/>
                <w:szCs w:val="21"/>
              </w:rPr>
              <w:t>55</w:t>
            </w:r>
          </w:p>
        </w:tc>
        <w:tc>
          <w:tcPr>
            <w:tcW w:w="1134" w:type="dxa"/>
            <w:noWrap w:val="0"/>
            <w:vAlign w:val="center"/>
          </w:tcPr>
          <w:p>
            <w:pPr>
              <w:adjustRightInd w:val="0"/>
              <w:snapToGrid w:val="0"/>
              <w:jc w:val="center"/>
              <w:rPr>
                <w:rFonts w:eastAsia="方正仿宋简体"/>
                <w:color w:val="000000"/>
                <w:szCs w:val="21"/>
              </w:rPr>
            </w:pPr>
            <w:r>
              <w:rPr>
                <w:rFonts w:eastAsia="方正仿宋简体"/>
                <w:color w:val="000000"/>
                <w:szCs w:val="21"/>
              </w:rPr>
              <w:t>约束性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10" w:hRule="atLeast"/>
          <w:jc w:val="center"/>
        </w:trPr>
        <w:tc>
          <w:tcPr>
            <w:tcW w:w="682" w:type="dxa"/>
            <w:noWrap w:val="0"/>
            <w:vAlign w:val="center"/>
          </w:tcPr>
          <w:p>
            <w:pPr>
              <w:adjustRightInd w:val="0"/>
              <w:snapToGrid w:val="0"/>
              <w:jc w:val="center"/>
              <w:rPr>
                <w:rFonts w:eastAsia="方正仿宋简体"/>
                <w:color w:val="000000"/>
                <w:szCs w:val="21"/>
              </w:rPr>
            </w:pPr>
            <w:r>
              <w:rPr>
                <w:rFonts w:eastAsia="方正仿宋简体"/>
                <w:color w:val="000000"/>
                <w:szCs w:val="21"/>
              </w:rPr>
              <w:t>26</w:t>
            </w:r>
          </w:p>
        </w:tc>
        <w:tc>
          <w:tcPr>
            <w:tcW w:w="2817" w:type="dxa"/>
            <w:gridSpan w:val="2"/>
            <w:noWrap w:val="0"/>
            <w:vAlign w:val="center"/>
          </w:tcPr>
          <w:p>
            <w:pPr>
              <w:adjustRightInd w:val="0"/>
              <w:snapToGrid w:val="0"/>
              <w:jc w:val="center"/>
              <w:rPr>
                <w:rFonts w:eastAsia="方正仿宋简体"/>
                <w:color w:val="000000"/>
                <w:szCs w:val="21"/>
              </w:rPr>
            </w:pPr>
            <w:r>
              <w:rPr>
                <w:rFonts w:eastAsia="方正仿宋简体"/>
                <w:color w:val="000000"/>
                <w:szCs w:val="21"/>
              </w:rPr>
              <w:t>城市污水处理率</w:t>
            </w:r>
          </w:p>
        </w:tc>
        <w:tc>
          <w:tcPr>
            <w:tcW w:w="1596" w:type="dxa"/>
            <w:noWrap w:val="0"/>
            <w:vAlign w:val="center"/>
          </w:tcPr>
          <w:p>
            <w:pPr>
              <w:adjustRightInd w:val="0"/>
              <w:snapToGrid w:val="0"/>
              <w:jc w:val="center"/>
              <w:rPr>
                <w:rFonts w:eastAsia="方正仿宋简体"/>
                <w:color w:val="000000"/>
                <w:szCs w:val="21"/>
              </w:rPr>
            </w:pPr>
            <w:r>
              <w:rPr>
                <w:rFonts w:eastAsia="方正仿宋简体"/>
                <w:color w:val="000000"/>
                <w:szCs w:val="21"/>
              </w:rPr>
              <w:t>（%）</w:t>
            </w:r>
          </w:p>
        </w:tc>
        <w:tc>
          <w:tcPr>
            <w:tcW w:w="1287" w:type="dxa"/>
            <w:noWrap w:val="0"/>
            <w:vAlign w:val="center"/>
          </w:tcPr>
          <w:p>
            <w:pPr>
              <w:adjustRightInd w:val="0"/>
              <w:snapToGrid w:val="0"/>
              <w:jc w:val="center"/>
              <w:rPr>
                <w:rFonts w:eastAsia="方正仿宋简体"/>
                <w:color w:val="000000"/>
                <w:szCs w:val="21"/>
              </w:rPr>
            </w:pPr>
            <w:r>
              <w:rPr>
                <w:rFonts w:eastAsia="方正仿宋简体"/>
                <w:color w:val="000000"/>
                <w:szCs w:val="21"/>
              </w:rPr>
              <w:t>96.9</w:t>
            </w:r>
          </w:p>
        </w:tc>
        <w:tc>
          <w:tcPr>
            <w:tcW w:w="1484" w:type="dxa"/>
            <w:noWrap w:val="0"/>
            <w:vAlign w:val="center"/>
          </w:tcPr>
          <w:p>
            <w:pPr>
              <w:adjustRightInd w:val="0"/>
              <w:snapToGrid w:val="0"/>
              <w:jc w:val="center"/>
              <w:rPr>
                <w:rFonts w:eastAsia="方正仿宋简体"/>
                <w:color w:val="000000"/>
                <w:szCs w:val="21"/>
              </w:rPr>
            </w:pPr>
            <w:r>
              <w:rPr>
                <w:rFonts w:eastAsia="方正仿宋简体"/>
                <w:color w:val="000000"/>
                <w:szCs w:val="21"/>
              </w:rPr>
              <w:t>98</w:t>
            </w:r>
          </w:p>
        </w:tc>
        <w:tc>
          <w:tcPr>
            <w:tcW w:w="1134" w:type="dxa"/>
            <w:noWrap w:val="0"/>
            <w:vAlign w:val="center"/>
          </w:tcPr>
          <w:p>
            <w:pPr>
              <w:adjustRightInd w:val="0"/>
              <w:snapToGrid w:val="0"/>
              <w:jc w:val="center"/>
              <w:rPr>
                <w:rFonts w:eastAsia="方正仿宋简体"/>
                <w:color w:val="000000"/>
                <w:szCs w:val="21"/>
              </w:rPr>
            </w:pPr>
            <w:r>
              <w:rPr>
                <w:rFonts w:eastAsia="方正仿宋简体"/>
                <w:color w:val="000000"/>
                <w:szCs w:val="21"/>
              </w:rPr>
              <w:t>约束性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10" w:hRule="atLeast"/>
          <w:jc w:val="center"/>
        </w:trPr>
        <w:tc>
          <w:tcPr>
            <w:tcW w:w="682" w:type="dxa"/>
            <w:noWrap w:val="0"/>
            <w:vAlign w:val="center"/>
          </w:tcPr>
          <w:p>
            <w:pPr>
              <w:adjustRightInd w:val="0"/>
              <w:snapToGrid w:val="0"/>
              <w:jc w:val="center"/>
              <w:rPr>
                <w:rFonts w:eastAsia="方正仿宋简体"/>
                <w:color w:val="000000"/>
                <w:szCs w:val="21"/>
              </w:rPr>
            </w:pPr>
            <w:r>
              <w:rPr>
                <w:rFonts w:eastAsia="方正仿宋简体"/>
                <w:color w:val="000000"/>
                <w:szCs w:val="21"/>
              </w:rPr>
              <w:t>27</w:t>
            </w:r>
          </w:p>
        </w:tc>
        <w:tc>
          <w:tcPr>
            <w:tcW w:w="2817" w:type="dxa"/>
            <w:gridSpan w:val="2"/>
            <w:noWrap w:val="0"/>
            <w:vAlign w:val="center"/>
          </w:tcPr>
          <w:p>
            <w:pPr>
              <w:adjustRightInd w:val="0"/>
              <w:snapToGrid w:val="0"/>
              <w:jc w:val="center"/>
              <w:rPr>
                <w:rFonts w:eastAsia="方正仿宋简体"/>
                <w:color w:val="000000"/>
                <w:szCs w:val="21"/>
              </w:rPr>
            </w:pPr>
            <w:r>
              <w:rPr>
                <w:rFonts w:eastAsia="方正仿宋简体"/>
                <w:color w:val="000000"/>
                <w:szCs w:val="21"/>
              </w:rPr>
              <w:t>城市生活垃圾无害化处理率</w:t>
            </w:r>
          </w:p>
        </w:tc>
        <w:tc>
          <w:tcPr>
            <w:tcW w:w="1596" w:type="dxa"/>
            <w:noWrap w:val="0"/>
            <w:vAlign w:val="center"/>
          </w:tcPr>
          <w:p>
            <w:pPr>
              <w:adjustRightInd w:val="0"/>
              <w:snapToGrid w:val="0"/>
              <w:jc w:val="center"/>
              <w:rPr>
                <w:rFonts w:eastAsia="方正仿宋简体"/>
                <w:color w:val="000000"/>
                <w:szCs w:val="21"/>
              </w:rPr>
            </w:pPr>
            <w:r>
              <w:rPr>
                <w:rFonts w:eastAsia="方正仿宋简体"/>
                <w:color w:val="000000"/>
                <w:szCs w:val="21"/>
              </w:rPr>
              <w:t>（%）</w:t>
            </w:r>
          </w:p>
        </w:tc>
        <w:tc>
          <w:tcPr>
            <w:tcW w:w="1287" w:type="dxa"/>
            <w:noWrap w:val="0"/>
            <w:vAlign w:val="center"/>
          </w:tcPr>
          <w:p>
            <w:pPr>
              <w:adjustRightInd w:val="0"/>
              <w:snapToGrid w:val="0"/>
              <w:jc w:val="center"/>
              <w:rPr>
                <w:rFonts w:eastAsia="方正仿宋简体"/>
                <w:color w:val="000000"/>
                <w:szCs w:val="21"/>
              </w:rPr>
            </w:pPr>
            <w:r>
              <w:rPr>
                <w:rFonts w:eastAsia="方正仿宋简体"/>
                <w:color w:val="000000"/>
                <w:szCs w:val="21"/>
              </w:rPr>
              <w:t>——</w:t>
            </w:r>
          </w:p>
        </w:tc>
        <w:tc>
          <w:tcPr>
            <w:tcW w:w="1484" w:type="dxa"/>
            <w:noWrap w:val="0"/>
            <w:vAlign w:val="center"/>
          </w:tcPr>
          <w:p>
            <w:pPr>
              <w:adjustRightInd w:val="0"/>
              <w:snapToGrid w:val="0"/>
              <w:jc w:val="center"/>
              <w:rPr>
                <w:rFonts w:eastAsia="方正仿宋简体"/>
                <w:color w:val="000000"/>
                <w:szCs w:val="21"/>
              </w:rPr>
            </w:pPr>
            <w:r>
              <w:rPr>
                <w:rFonts w:eastAsia="方正仿宋简体"/>
                <w:color w:val="000000"/>
                <w:szCs w:val="21"/>
              </w:rPr>
              <w:t>100</w:t>
            </w:r>
          </w:p>
        </w:tc>
        <w:tc>
          <w:tcPr>
            <w:tcW w:w="1134" w:type="dxa"/>
            <w:noWrap w:val="0"/>
            <w:vAlign w:val="center"/>
          </w:tcPr>
          <w:p>
            <w:pPr>
              <w:adjustRightInd w:val="0"/>
              <w:snapToGrid w:val="0"/>
              <w:jc w:val="center"/>
              <w:rPr>
                <w:rFonts w:eastAsia="方正仿宋简体"/>
                <w:color w:val="000000"/>
                <w:szCs w:val="21"/>
              </w:rPr>
            </w:pPr>
            <w:r>
              <w:rPr>
                <w:rFonts w:eastAsia="方正仿宋简体"/>
                <w:color w:val="000000"/>
                <w:szCs w:val="21"/>
              </w:rPr>
              <w:t>约束性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10" w:hRule="atLeast"/>
          <w:jc w:val="center"/>
        </w:trPr>
        <w:tc>
          <w:tcPr>
            <w:tcW w:w="682" w:type="dxa"/>
            <w:noWrap w:val="0"/>
            <w:vAlign w:val="center"/>
          </w:tcPr>
          <w:p>
            <w:pPr>
              <w:adjustRightInd w:val="0"/>
              <w:snapToGrid w:val="0"/>
              <w:jc w:val="center"/>
              <w:rPr>
                <w:rFonts w:eastAsia="方正仿宋简体"/>
                <w:color w:val="000000"/>
                <w:szCs w:val="21"/>
              </w:rPr>
            </w:pPr>
            <w:r>
              <w:rPr>
                <w:rFonts w:eastAsia="方正仿宋简体"/>
                <w:color w:val="000000"/>
                <w:szCs w:val="21"/>
              </w:rPr>
              <w:t>28</w:t>
            </w:r>
          </w:p>
        </w:tc>
        <w:tc>
          <w:tcPr>
            <w:tcW w:w="2817" w:type="dxa"/>
            <w:gridSpan w:val="2"/>
            <w:noWrap w:val="0"/>
            <w:vAlign w:val="center"/>
          </w:tcPr>
          <w:p>
            <w:pPr>
              <w:adjustRightInd w:val="0"/>
              <w:snapToGrid w:val="0"/>
              <w:jc w:val="center"/>
              <w:rPr>
                <w:rFonts w:eastAsia="方正仿宋简体"/>
                <w:color w:val="000000"/>
                <w:szCs w:val="21"/>
              </w:rPr>
            </w:pPr>
            <w:r>
              <w:rPr>
                <w:rFonts w:eastAsia="方正仿宋简体"/>
                <w:color w:val="000000"/>
                <w:szCs w:val="21"/>
              </w:rPr>
              <w:t>农村集镇生活垃圾</w:t>
            </w:r>
          </w:p>
          <w:p>
            <w:pPr>
              <w:adjustRightInd w:val="0"/>
              <w:snapToGrid w:val="0"/>
              <w:jc w:val="center"/>
              <w:rPr>
                <w:rFonts w:eastAsia="方正仿宋简体"/>
                <w:color w:val="000000"/>
                <w:szCs w:val="21"/>
              </w:rPr>
            </w:pPr>
            <w:r>
              <w:rPr>
                <w:rFonts w:eastAsia="方正仿宋简体"/>
                <w:color w:val="000000"/>
                <w:szCs w:val="21"/>
              </w:rPr>
              <w:t>无害化处理率</w:t>
            </w:r>
          </w:p>
        </w:tc>
        <w:tc>
          <w:tcPr>
            <w:tcW w:w="1596" w:type="dxa"/>
            <w:noWrap w:val="0"/>
            <w:vAlign w:val="center"/>
          </w:tcPr>
          <w:p>
            <w:pPr>
              <w:adjustRightInd w:val="0"/>
              <w:snapToGrid w:val="0"/>
              <w:jc w:val="center"/>
              <w:rPr>
                <w:rFonts w:eastAsia="方正仿宋简体"/>
                <w:color w:val="000000"/>
                <w:szCs w:val="21"/>
              </w:rPr>
            </w:pPr>
            <w:r>
              <w:rPr>
                <w:rFonts w:eastAsia="方正仿宋简体"/>
                <w:color w:val="000000"/>
                <w:szCs w:val="21"/>
              </w:rPr>
              <w:t>（%）</w:t>
            </w:r>
          </w:p>
        </w:tc>
        <w:tc>
          <w:tcPr>
            <w:tcW w:w="1287" w:type="dxa"/>
            <w:noWrap w:val="0"/>
            <w:vAlign w:val="center"/>
          </w:tcPr>
          <w:p>
            <w:pPr>
              <w:adjustRightInd w:val="0"/>
              <w:snapToGrid w:val="0"/>
              <w:jc w:val="center"/>
              <w:rPr>
                <w:rFonts w:eastAsia="方正仿宋简体"/>
                <w:color w:val="000000"/>
                <w:szCs w:val="21"/>
              </w:rPr>
            </w:pPr>
            <w:r>
              <w:rPr>
                <w:rFonts w:eastAsia="方正仿宋简体"/>
                <w:color w:val="000000"/>
                <w:szCs w:val="21"/>
              </w:rPr>
              <w:t>65</w:t>
            </w:r>
          </w:p>
        </w:tc>
        <w:tc>
          <w:tcPr>
            <w:tcW w:w="1484" w:type="dxa"/>
            <w:noWrap w:val="0"/>
            <w:vAlign w:val="center"/>
          </w:tcPr>
          <w:p>
            <w:pPr>
              <w:adjustRightInd w:val="0"/>
              <w:snapToGrid w:val="0"/>
              <w:jc w:val="center"/>
              <w:rPr>
                <w:rFonts w:eastAsia="方正仿宋简体"/>
                <w:color w:val="000000"/>
                <w:szCs w:val="21"/>
              </w:rPr>
            </w:pPr>
            <w:r>
              <w:rPr>
                <w:rFonts w:eastAsia="方正仿宋简体"/>
                <w:color w:val="000000"/>
                <w:szCs w:val="21"/>
              </w:rPr>
              <w:t>90</w:t>
            </w:r>
          </w:p>
        </w:tc>
        <w:tc>
          <w:tcPr>
            <w:tcW w:w="1134" w:type="dxa"/>
            <w:noWrap w:val="0"/>
            <w:vAlign w:val="center"/>
          </w:tcPr>
          <w:p>
            <w:pPr>
              <w:adjustRightInd w:val="0"/>
              <w:snapToGrid w:val="0"/>
              <w:jc w:val="center"/>
              <w:rPr>
                <w:rFonts w:eastAsia="方正仿宋简体"/>
                <w:color w:val="000000"/>
                <w:szCs w:val="21"/>
              </w:rPr>
            </w:pPr>
            <w:r>
              <w:rPr>
                <w:rFonts w:eastAsia="方正仿宋简体"/>
                <w:color w:val="000000"/>
                <w:szCs w:val="21"/>
              </w:rPr>
              <w:t>约束性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10" w:hRule="atLeast"/>
          <w:jc w:val="center"/>
        </w:trPr>
        <w:tc>
          <w:tcPr>
            <w:tcW w:w="682" w:type="dxa"/>
            <w:noWrap w:val="0"/>
            <w:vAlign w:val="center"/>
          </w:tcPr>
          <w:p>
            <w:pPr>
              <w:adjustRightInd w:val="0"/>
              <w:snapToGrid w:val="0"/>
              <w:jc w:val="center"/>
              <w:rPr>
                <w:rFonts w:eastAsia="方正仿宋简体"/>
                <w:color w:val="000000"/>
                <w:szCs w:val="21"/>
              </w:rPr>
            </w:pPr>
            <w:r>
              <w:rPr>
                <w:rFonts w:eastAsia="方正仿宋简体"/>
                <w:color w:val="000000"/>
                <w:szCs w:val="21"/>
              </w:rPr>
              <w:t>29</w:t>
            </w:r>
          </w:p>
        </w:tc>
        <w:tc>
          <w:tcPr>
            <w:tcW w:w="2817" w:type="dxa"/>
            <w:gridSpan w:val="2"/>
            <w:noWrap w:val="0"/>
            <w:vAlign w:val="center"/>
          </w:tcPr>
          <w:p>
            <w:pPr>
              <w:adjustRightInd w:val="0"/>
              <w:snapToGrid w:val="0"/>
              <w:jc w:val="center"/>
              <w:rPr>
                <w:rFonts w:eastAsia="方正仿宋简体"/>
                <w:color w:val="000000"/>
                <w:szCs w:val="21"/>
              </w:rPr>
            </w:pPr>
            <w:r>
              <w:rPr>
                <w:rFonts w:eastAsia="方正仿宋简体"/>
                <w:color w:val="000000"/>
                <w:szCs w:val="21"/>
              </w:rPr>
              <w:t>进出口总额</w:t>
            </w:r>
          </w:p>
        </w:tc>
        <w:tc>
          <w:tcPr>
            <w:tcW w:w="1596" w:type="dxa"/>
            <w:noWrap w:val="0"/>
            <w:vAlign w:val="center"/>
          </w:tcPr>
          <w:p>
            <w:pPr>
              <w:adjustRightInd w:val="0"/>
              <w:snapToGrid w:val="0"/>
              <w:jc w:val="center"/>
              <w:rPr>
                <w:rFonts w:eastAsia="方正仿宋简体"/>
                <w:color w:val="000000"/>
                <w:szCs w:val="21"/>
              </w:rPr>
            </w:pPr>
            <w:r>
              <w:rPr>
                <w:rFonts w:eastAsia="方正仿宋简体"/>
                <w:color w:val="000000"/>
                <w:szCs w:val="21"/>
              </w:rPr>
              <w:t>年均增长（%）</w:t>
            </w:r>
          </w:p>
        </w:tc>
        <w:tc>
          <w:tcPr>
            <w:tcW w:w="1287" w:type="dxa"/>
            <w:noWrap w:val="0"/>
            <w:vAlign w:val="center"/>
          </w:tcPr>
          <w:p>
            <w:pPr>
              <w:adjustRightInd w:val="0"/>
              <w:snapToGrid w:val="0"/>
              <w:jc w:val="center"/>
              <w:rPr>
                <w:rFonts w:eastAsia="方正仿宋简体"/>
                <w:color w:val="000000"/>
                <w:szCs w:val="21"/>
              </w:rPr>
            </w:pPr>
            <w:r>
              <w:rPr>
                <w:rFonts w:eastAsia="方正仿宋简体"/>
                <w:color w:val="000000"/>
                <w:szCs w:val="21"/>
              </w:rPr>
              <w:t>16.3</w:t>
            </w:r>
          </w:p>
        </w:tc>
        <w:tc>
          <w:tcPr>
            <w:tcW w:w="1484" w:type="dxa"/>
            <w:noWrap w:val="0"/>
            <w:vAlign w:val="center"/>
          </w:tcPr>
          <w:p>
            <w:pPr>
              <w:adjustRightInd w:val="0"/>
              <w:snapToGrid w:val="0"/>
              <w:jc w:val="center"/>
              <w:rPr>
                <w:rFonts w:eastAsia="方正仿宋简体"/>
                <w:color w:val="000000"/>
                <w:szCs w:val="21"/>
              </w:rPr>
            </w:pPr>
            <w:r>
              <w:rPr>
                <w:rFonts w:eastAsia="方正仿宋简体"/>
                <w:color w:val="000000"/>
                <w:szCs w:val="21"/>
              </w:rPr>
              <w:t>10</w:t>
            </w:r>
          </w:p>
        </w:tc>
        <w:tc>
          <w:tcPr>
            <w:tcW w:w="1134" w:type="dxa"/>
            <w:noWrap w:val="0"/>
            <w:vAlign w:val="center"/>
          </w:tcPr>
          <w:p>
            <w:pPr>
              <w:adjustRightInd w:val="0"/>
              <w:snapToGrid w:val="0"/>
              <w:jc w:val="center"/>
              <w:rPr>
                <w:rFonts w:eastAsia="方正仿宋简体"/>
                <w:color w:val="000000"/>
                <w:szCs w:val="21"/>
              </w:rPr>
            </w:pPr>
            <w:r>
              <w:rPr>
                <w:rFonts w:eastAsia="方正仿宋简体"/>
                <w:color w:val="000000"/>
                <w:szCs w:val="21"/>
              </w:rPr>
              <w:t>预期性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10" w:hRule="atLeast"/>
          <w:jc w:val="center"/>
        </w:trPr>
        <w:tc>
          <w:tcPr>
            <w:tcW w:w="682" w:type="dxa"/>
            <w:noWrap w:val="0"/>
            <w:vAlign w:val="center"/>
          </w:tcPr>
          <w:p>
            <w:pPr>
              <w:adjustRightInd w:val="0"/>
              <w:snapToGrid w:val="0"/>
              <w:jc w:val="center"/>
              <w:rPr>
                <w:rFonts w:eastAsia="方正仿宋简体"/>
                <w:color w:val="000000"/>
                <w:szCs w:val="21"/>
              </w:rPr>
            </w:pPr>
            <w:r>
              <w:rPr>
                <w:rFonts w:eastAsia="方正仿宋简体"/>
                <w:color w:val="000000"/>
                <w:szCs w:val="21"/>
              </w:rPr>
              <w:t>30</w:t>
            </w:r>
          </w:p>
        </w:tc>
        <w:tc>
          <w:tcPr>
            <w:tcW w:w="2817" w:type="dxa"/>
            <w:gridSpan w:val="2"/>
            <w:noWrap w:val="0"/>
            <w:vAlign w:val="center"/>
          </w:tcPr>
          <w:p>
            <w:pPr>
              <w:adjustRightInd w:val="0"/>
              <w:snapToGrid w:val="0"/>
              <w:jc w:val="center"/>
              <w:rPr>
                <w:rFonts w:eastAsia="方正仿宋简体"/>
                <w:color w:val="000000"/>
                <w:szCs w:val="21"/>
              </w:rPr>
            </w:pPr>
            <w:r>
              <w:rPr>
                <w:rFonts w:eastAsia="方正仿宋简体"/>
                <w:color w:val="000000"/>
                <w:szCs w:val="21"/>
              </w:rPr>
              <w:t>实际利用外资</w:t>
            </w:r>
          </w:p>
        </w:tc>
        <w:tc>
          <w:tcPr>
            <w:tcW w:w="1596" w:type="dxa"/>
            <w:noWrap w:val="0"/>
            <w:vAlign w:val="center"/>
          </w:tcPr>
          <w:p>
            <w:pPr>
              <w:adjustRightInd w:val="0"/>
              <w:snapToGrid w:val="0"/>
              <w:jc w:val="center"/>
              <w:rPr>
                <w:rFonts w:eastAsia="方正仿宋简体"/>
                <w:color w:val="000000"/>
                <w:szCs w:val="21"/>
              </w:rPr>
            </w:pPr>
            <w:r>
              <w:rPr>
                <w:rFonts w:eastAsia="方正仿宋简体"/>
                <w:color w:val="000000"/>
                <w:szCs w:val="21"/>
              </w:rPr>
              <w:t>年均增长（%）</w:t>
            </w:r>
          </w:p>
        </w:tc>
        <w:tc>
          <w:tcPr>
            <w:tcW w:w="1287" w:type="dxa"/>
            <w:noWrap w:val="0"/>
            <w:vAlign w:val="center"/>
          </w:tcPr>
          <w:p>
            <w:pPr>
              <w:adjustRightInd w:val="0"/>
              <w:snapToGrid w:val="0"/>
              <w:jc w:val="center"/>
              <w:rPr>
                <w:rFonts w:eastAsia="方正仿宋简体"/>
                <w:color w:val="000000"/>
                <w:szCs w:val="21"/>
              </w:rPr>
            </w:pPr>
            <w:r>
              <w:rPr>
                <w:rFonts w:eastAsia="方正仿宋简体"/>
                <w:color w:val="000000"/>
                <w:szCs w:val="21"/>
              </w:rPr>
              <w:t>14.5</w:t>
            </w:r>
          </w:p>
        </w:tc>
        <w:tc>
          <w:tcPr>
            <w:tcW w:w="1484" w:type="dxa"/>
            <w:noWrap w:val="0"/>
            <w:vAlign w:val="center"/>
          </w:tcPr>
          <w:p>
            <w:pPr>
              <w:adjustRightInd w:val="0"/>
              <w:snapToGrid w:val="0"/>
              <w:jc w:val="center"/>
              <w:rPr>
                <w:rFonts w:eastAsia="方正仿宋简体"/>
                <w:color w:val="000000"/>
                <w:szCs w:val="21"/>
              </w:rPr>
            </w:pPr>
            <w:r>
              <w:rPr>
                <w:rFonts w:eastAsia="方正仿宋简体"/>
                <w:color w:val="000000"/>
                <w:szCs w:val="21"/>
              </w:rPr>
              <w:t>8</w:t>
            </w:r>
          </w:p>
        </w:tc>
        <w:tc>
          <w:tcPr>
            <w:tcW w:w="1134" w:type="dxa"/>
            <w:noWrap w:val="0"/>
            <w:vAlign w:val="center"/>
          </w:tcPr>
          <w:p>
            <w:pPr>
              <w:adjustRightInd w:val="0"/>
              <w:snapToGrid w:val="0"/>
              <w:jc w:val="center"/>
              <w:rPr>
                <w:rFonts w:eastAsia="方正仿宋简体"/>
                <w:color w:val="000000"/>
                <w:szCs w:val="21"/>
              </w:rPr>
            </w:pPr>
            <w:r>
              <w:rPr>
                <w:rFonts w:eastAsia="方正仿宋简体"/>
                <w:color w:val="000000"/>
                <w:szCs w:val="21"/>
              </w:rPr>
              <w:t>预期性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10" w:hRule="atLeast"/>
          <w:jc w:val="center"/>
        </w:trPr>
        <w:tc>
          <w:tcPr>
            <w:tcW w:w="682" w:type="dxa"/>
            <w:noWrap w:val="0"/>
            <w:vAlign w:val="center"/>
          </w:tcPr>
          <w:p>
            <w:pPr>
              <w:adjustRightInd w:val="0"/>
              <w:snapToGrid w:val="0"/>
              <w:jc w:val="center"/>
              <w:rPr>
                <w:rFonts w:eastAsia="方正仿宋简体"/>
                <w:color w:val="000000"/>
                <w:szCs w:val="21"/>
              </w:rPr>
            </w:pPr>
            <w:r>
              <w:rPr>
                <w:rFonts w:eastAsia="方正仿宋简体"/>
                <w:color w:val="000000"/>
                <w:szCs w:val="21"/>
              </w:rPr>
              <w:t>31</w:t>
            </w:r>
          </w:p>
        </w:tc>
        <w:tc>
          <w:tcPr>
            <w:tcW w:w="2817" w:type="dxa"/>
            <w:gridSpan w:val="2"/>
            <w:noWrap w:val="0"/>
            <w:vAlign w:val="center"/>
          </w:tcPr>
          <w:p>
            <w:pPr>
              <w:adjustRightInd w:val="0"/>
              <w:snapToGrid w:val="0"/>
              <w:jc w:val="center"/>
              <w:rPr>
                <w:rFonts w:eastAsia="方正仿宋简体"/>
                <w:color w:val="000000"/>
                <w:szCs w:val="21"/>
              </w:rPr>
            </w:pPr>
            <w:r>
              <w:rPr>
                <w:rFonts w:eastAsia="方正仿宋简体"/>
                <w:color w:val="000000"/>
                <w:szCs w:val="21"/>
              </w:rPr>
              <w:t>城乡居民人均可支配收入</w:t>
            </w:r>
          </w:p>
        </w:tc>
        <w:tc>
          <w:tcPr>
            <w:tcW w:w="1596" w:type="dxa"/>
            <w:noWrap w:val="0"/>
            <w:vAlign w:val="center"/>
          </w:tcPr>
          <w:p>
            <w:pPr>
              <w:adjustRightInd w:val="0"/>
              <w:snapToGrid w:val="0"/>
              <w:jc w:val="center"/>
              <w:rPr>
                <w:rFonts w:eastAsia="方正仿宋简体"/>
                <w:color w:val="000000"/>
                <w:szCs w:val="21"/>
              </w:rPr>
            </w:pPr>
            <w:r>
              <w:rPr>
                <w:rFonts w:eastAsia="方正仿宋简体"/>
                <w:color w:val="000000"/>
                <w:szCs w:val="21"/>
              </w:rPr>
              <w:t>年均增长（%）</w:t>
            </w:r>
          </w:p>
        </w:tc>
        <w:tc>
          <w:tcPr>
            <w:tcW w:w="1287" w:type="dxa"/>
            <w:noWrap w:val="0"/>
            <w:vAlign w:val="center"/>
          </w:tcPr>
          <w:p>
            <w:pPr>
              <w:adjustRightInd w:val="0"/>
              <w:snapToGrid w:val="0"/>
              <w:jc w:val="center"/>
              <w:rPr>
                <w:rFonts w:eastAsia="方正仿宋简体"/>
                <w:color w:val="000000"/>
                <w:szCs w:val="21"/>
              </w:rPr>
            </w:pPr>
            <w:r>
              <w:rPr>
                <w:rFonts w:eastAsia="方正仿宋简体"/>
                <w:color w:val="000000"/>
                <w:szCs w:val="21"/>
              </w:rPr>
              <w:t>11.2（城镇）</w:t>
            </w:r>
          </w:p>
          <w:p>
            <w:pPr>
              <w:adjustRightInd w:val="0"/>
              <w:snapToGrid w:val="0"/>
              <w:jc w:val="center"/>
              <w:rPr>
                <w:rFonts w:eastAsia="方正仿宋简体"/>
                <w:color w:val="000000"/>
                <w:szCs w:val="21"/>
              </w:rPr>
            </w:pPr>
            <w:r>
              <w:rPr>
                <w:rFonts w:eastAsia="方正仿宋简体"/>
                <w:color w:val="000000"/>
                <w:szCs w:val="21"/>
              </w:rPr>
              <w:t>13.7（农村）</w:t>
            </w:r>
          </w:p>
        </w:tc>
        <w:tc>
          <w:tcPr>
            <w:tcW w:w="1484" w:type="dxa"/>
            <w:noWrap w:val="0"/>
            <w:vAlign w:val="center"/>
          </w:tcPr>
          <w:p>
            <w:pPr>
              <w:adjustRightInd w:val="0"/>
              <w:snapToGrid w:val="0"/>
              <w:jc w:val="center"/>
              <w:rPr>
                <w:rFonts w:eastAsia="方正仿宋简体"/>
                <w:color w:val="000000"/>
                <w:szCs w:val="21"/>
              </w:rPr>
            </w:pPr>
            <w:r>
              <w:rPr>
                <w:rFonts w:eastAsia="方正仿宋简体"/>
                <w:color w:val="000000"/>
                <w:szCs w:val="21"/>
              </w:rPr>
              <w:t>9</w:t>
            </w:r>
          </w:p>
        </w:tc>
        <w:tc>
          <w:tcPr>
            <w:tcW w:w="1134" w:type="dxa"/>
            <w:noWrap w:val="0"/>
            <w:vAlign w:val="center"/>
          </w:tcPr>
          <w:p>
            <w:pPr>
              <w:adjustRightInd w:val="0"/>
              <w:snapToGrid w:val="0"/>
              <w:jc w:val="center"/>
              <w:rPr>
                <w:rFonts w:eastAsia="方正仿宋简体"/>
                <w:color w:val="000000"/>
                <w:szCs w:val="21"/>
              </w:rPr>
            </w:pPr>
            <w:r>
              <w:rPr>
                <w:rFonts w:eastAsia="方正仿宋简体"/>
                <w:color w:val="000000"/>
                <w:szCs w:val="21"/>
              </w:rPr>
              <w:t>预期性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10" w:hRule="atLeast"/>
          <w:jc w:val="center"/>
        </w:trPr>
        <w:tc>
          <w:tcPr>
            <w:tcW w:w="682" w:type="dxa"/>
            <w:noWrap w:val="0"/>
            <w:vAlign w:val="center"/>
          </w:tcPr>
          <w:p>
            <w:pPr>
              <w:adjustRightInd w:val="0"/>
              <w:snapToGrid w:val="0"/>
              <w:jc w:val="center"/>
              <w:rPr>
                <w:rFonts w:eastAsia="方正仿宋简体"/>
                <w:color w:val="000000"/>
                <w:szCs w:val="21"/>
              </w:rPr>
            </w:pPr>
            <w:r>
              <w:rPr>
                <w:rFonts w:eastAsia="方正仿宋简体"/>
                <w:color w:val="000000"/>
                <w:szCs w:val="21"/>
              </w:rPr>
              <w:t>32</w:t>
            </w:r>
          </w:p>
        </w:tc>
        <w:tc>
          <w:tcPr>
            <w:tcW w:w="2817" w:type="dxa"/>
            <w:gridSpan w:val="2"/>
            <w:noWrap w:val="0"/>
            <w:vAlign w:val="center"/>
          </w:tcPr>
          <w:p>
            <w:pPr>
              <w:adjustRightInd w:val="0"/>
              <w:snapToGrid w:val="0"/>
              <w:jc w:val="center"/>
              <w:rPr>
                <w:rFonts w:eastAsia="方正仿宋简体"/>
                <w:color w:val="000000"/>
                <w:szCs w:val="21"/>
              </w:rPr>
            </w:pPr>
            <w:r>
              <w:rPr>
                <w:rFonts w:eastAsia="方正仿宋简体"/>
                <w:color w:val="000000"/>
                <w:szCs w:val="21"/>
              </w:rPr>
              <w:t>城镇登记失业率</w:t>
            </w:r>
          </w:p>
        </w:tc>
        <w:tc>
          <w:tcPr>
            <w:tcW w:w="1596" w:type="dxa"/>
            <w:noWrap w:val="0"/>
            <w:vAlign w:val="center"/>
          </w:tcPr>
          <w:p>
            <w:pPr>
              <w:adjustRightInd w:val="0"/>
              <w:snapToGrid w:val="0"/>
              <w:jc w:val="center"/>
              <w:rPr>
                <w:rFonts w:eastAsia="方正仿宋简体"/>
                <w:color w:val="000000"/>
                <w:szCs w:val="21"/>
              </w:rPr>
            </w:pPr>
            <w:r>
              <w:rPr>
                <w:rFonts w:eastAsia="方正仿宋简体"/>
                <w:color w:val="000000"/>
                <w:szCs w:val="21"/>
              </w:rPr>
              <w:t>（%）</w:t>
            </w:r>
          </w:p>
        </w:tc>
        <w:tc>
          <w:tcPr>
            <w:tcW w:w="1287" w:type="dxa"/>
            <w:noWrap w:val="0"/>
            <w:vAlign w:val="center"/>
          </w:tcPr>
          <w:p>
            <w:pPr>
              <w:adjustRightInd w:val="0"/>
              <w:snapToGrid w:val="0"/>
              <w:jc w:val="center"/>
              <w:rPr>
                <w:rFonts w:eastAsia="方正仿宋简体"/>
                <w:color w:val="000000"/>
                <w:szCs w:val="21"/>
              </w:rPr>
            </w:pPr>
            <w:r>
              <w:rPr>
                <w:rFonts w:eastAsia="方正仿宋简体"/>
                <w:color w:val="000000"/>
                <w:szCs w:val="21"/>
              </w:rPr>
              <w:t>＜4　</w:t>
            </w:r>
          </w:p>
        </w:tc>
        <w:tc>
          <w:tcPr>
            <w:tcW w:w="1484" w:type="dxa"/>
            <w:noWrap w:val="0"/>
            <w:vAlign w:val="center"/>
          </w:tcPr>
          <w:p>
            <w:pPr>
              <w:adjustRightInd w:val="0"/>
              <w:snapToGrid w:val="0"/>
              <w:jc w:val="center"/>
              <w:rPr>
                <w:rFonts w:eastAsia="方正仿宋简体"/>
                <w:color w:val="000000"/>
                <w:szCs w:val="21"/>
              </w:rPr>
            </w:pPr>
            <w:r>
              <w:rPr>
                <w:rFonts w:eastAsia="方正仿宋简体"/>
                <w:color w:val="000000"/>
                <w:szCs w:val="21"/>
              </w:rPr>
              <w:t>＜4</w:t>
            </w:r>
          </w:p>
        </w:tc>
        <w:tc>
          <w:tcPr>
            <w:tcW w:w="1134" w:type="dxa"/>
            <w:noWrap w:val="0"/>
            <w:vAlign w:val="center"/>
          </w:tcPr>
          <w:p>
            <w:pPr>
              <w:adjustRightInd w:val="0"/>
              <w:snapToGrid w:val="0"/>
              <w:jc w:val="center"/>
              <w:rPr>
                <w:rFonts w:eastAsia="方正仿宋简体"/>
                <w:color w:val="000000"/>
                <w:szCs w:val="21"/>
              </w:rPr>
            </w:pPr>
            <w:r>
              <w:rPr>
                <w:rFonts w:eastAsia="方正仿宋简体"/>
                <w:color w:val="000000"/>
                <w:szCs w:val="21"/>
              </w:rPr>
              <w:t>约束性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10" w:hRule="atLeast"/>
          <w:jc w:val="center"/>
        </w:trPr>
        <w:tc>
          <w:tcPr>
            <w:tcW w:w="682" w:type="dxa"/>
            <w:noWrap w:val="0"/>
            <w:vAlign w:val="center"/>
          </w:tcPr>
          <w:p>
            <w:pPr>
              <w:adjustRightInd w:val="0"/>
              <w:snapToGrid w:val="0"/>
              <w:jc w:val="center"/>
              <w:rPr>
                <w:rFonts w:eastAsia="方正仿宋简体"/>
                <w:color w:val="000000"/>
                <w:szCs w:val="21"/>
              </w:rPr>
            </w:pPr>
            <w:r>
              <w:rPr>
                <w:rFonts w:eastAsia="方正仿宋简体"/>
                <w:color w:val="000000"/>
                <w:szCs w:val="21"/>
              </w:rPr>
              <w:t>33</w:t>
            </w:r>
          </w:p>
        </w:tc>
        <w:tc>
          <w:tcPr>
            <w:tcW w:w="2817" w:type="dxa"/>
            <w:gridSpan w:val="2"/>
            <w:noWrap w:val="0"/>
            <w:vAlign w:val="center"/>
          </w:tcPr>
          <w:p>
            <w:pPr>
              <w:adjustRightInd w:val="0"/>
              <w:snapToGrid w:val="0"/>
              <w:jc w:val="center"/>
              <w:rPr>
                <w:rFonts w:eastAsia="方正仿宋简体"/>
                <w:color w:val="000000"/>
                <w:szCs w:val="21"/>
              </w:rPr>
            </w:pPr>
            <w:r>
              <w:rPr>
                <w:rFonts w:eastAsia="方正仿宋简体"/>
                <w:color w:val="000000"/>
                <w:szCs w:val="21"/>
              </w:rPr>
              <w:t>城乡基本养老保险覆盖率</w:t>
            </w:r>
          </w:p>
        </w:tc>
        <w:tc>
          <w:tcPr>
            <w:tcW w:w="1596" w:type="dxa"/>
            <w:noWrap w:val="0"/>
            <w:vAlign w:val="center"/>
          </w:tcPr>
          <w:p>
            <w:pPr>
              <w:adjustRightInd w:val="0"/>
              <w:snapToGrid w:val="0"/>
              <w:jc w:val="center"/>
              <w:rPr>
                <w:rFonts w:eastAsia="方正仿宋简体"/>
                <w:color w:val="000000"/>
                <w:szCs w:val="21"/>
              </w:rPr>
            </w:pPr>
            <w:r>
              <w:rPr>
                <w:rFonts w:eastAsia="方正仿宋简体"/>
                <w:color w:val="000000"/>
                <w:szCs w:val="21"/>
              </w:rPr>
              <w:t>（%）</w:t>
            </w:r>
          </w:p>
        </w:tc>
        <w:tc>
          <w:tcPr>
            <w:tcW w:w="1287" w:type="dxa"/>
            <w:noWrap w:val="0"/>
            <w:vAlign w:val="center"/>
          </w:tcPr>
          <w:p>
            <w:pPr>
              <w:adjustRightInd w:val="0"/>
              <w:snapToGrid w:val="0"/>
              <w:jc w:val="center"/>
              <w:rPr>
                <w:rFonts w:eastAsia="方正仿宋简体"/>
                <w:color w:val="000000"/>
                <w:szCs w:val="21"/>
              </w:rPr>
            </w:pPr>
            <w:r>
              <w:rPr>
                <w:rFonts w:eastAsia="方正仿宋简体"/>
                <w:color w:val="000000"/>
                <w:szCs w:val="21"/>
              </w:rPr>
              <w:t>96</w:t>
            </w:r>
          </w:p>
        </w:tc>
        <w:tc>
          <w:tcPr>
            <w:tcW w:w="1484" w:type="dxa"/>
            <w:noWrap w:val="0"/>
            <w:vAlign w:val="center"/>
          </w:tcPr>
          <w:p>
            <w:pPr>
              <w:adjustRightInd w:val="0"/>
              <w:snapToGrid w:val="0"/>
              <w:jc w:val="center"/>
              <w:rPr>
                <w:rFonts w:eastAsia="方正仿宋简体"/>
                <w:color w:val="000000"/>
                <w:szCs w:val="21"/>
              </w:rPr>
            </w:pPr>
            <w:r>
              <w:rPr>
                <w:rFonts w:eastAsia="方正仿宋简体"/>
                <w:color w:val="000000"/>
                <w:szCs w:val="21"/>
              </w:rPr>
              <w:t>≥96</w:t>
            </w:r>
          </w:p>
        </w:tc>
        <w:tc>
          <w:tcPr>
            <w:tcW w:w="1134" w:type="dxa"/>
            <w:noWrap w:val="0"/>
            <w:vAlign w:val="center"/>
          </w:tcPr>
          <w:p>
            <w:pPr>
              <w:adjustRightInd w:val="0"/>
              <w:snapToGrid w:val="0"/>
              <w:jc w:val="center"/>
              <w:rPr>
                <w:rFonts w:eastAsia="方正仿宋简体"/>
                <w:color w:val="000000"/>
                <w:szCs w:val="21"/>
              </w:rPr>
            </w:pPr>
            <w:r>
              <w:rPr>
                <w:rFonts w:eastAsia="方正仿宋简体"/>
                <w:color w:val="000000"/>
                <w:szCs w:val="21"/>
              </w:rPr>
              <w:t>约束性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10" w:hRule="atLeast"/>
          <w:jc w:val="center"/>
        </w:trPr>
        <w:tc>
          <w:tcPr>
            <w:tcW w:w="682" w:type="dxa"/>
            <w:noWrap w:val="0"/>
            <w:vAlign w:val="center"/>
          </w:tcPr>
          <w:p>
            <w:pPr>
              <w:adjustRightInd w:val="0"/>
              <w:snapToGrid w:val="0"/>
              <w:jc w:val="center"/>
              <w:rPr>
                <w:rFonts w:eastAsia="方正仿宋简体"/>
                <w:color w:val="000000"/>
                <w:szCs w:val="21"/>
              </w:rPr>
            </w:pPr>
            <w:r>
              <w:rPr>
                <w:rFonts w:eastAsia="方正仿宋简体"/>
                <w:color w:val="000000"/>
                <w:szCs w:val="21"/>
              </w:rPr>
              <w:t>34</w:t>
            </w:r>
          </w:p>
        </w:tc>
        <w:tc>
          <w:tcPr>
            <w:tcW w:w="2817" w:type="dxa"/>
            <w:gridSpan w:val="2"/>
            <w:noWrap w:val="0"/>
            <w:vAlign w:val="center"/>
          </w:tcPr>
          <w:p>
            <w:pPr>
              <w:adjustRightInd w:val="0"/>
              <w:snapToGrid w:val="0"/>
              <w:jc w:val="center"/>
              <w:rPr>
                <w:rFonts w:eastAsia="方正仿宋简体"/>
                <w:color w:val="000000"/>
                <w:szCs w:val="21"/>
              </w:rPr>
            </w:pPr>
            <w:r>
              <w:rPr>
                <w:rFonts w:eastAsia="方正仿宋简体"/>
                <w:color w:val="000000"/>
                <w:szCs w:val="21"/>
              </w:rPr>
              <w:t>城乡基本医疗保险覆盖率</w:t>
            </w:r>
          </w:p>
        </w:tc>
        <w:tc>
          <w:tcPr>
            <w:tcW w:w="1596" w:type="dxa"/>
            <w:noWrap w:val="0"/>
            <w:vAlign w:val="center"/>
          </w:tcPr>
          <w:p>
            <w:pPr>
              <w:adjustRightInd w:val="0"/>
              <w:snapToGrid w:val="0"/>
              <w:jc w:val="center"/>
              <w:rPr>
                <w:rFonts w:eastAsia="方正仿宋简体"/>
                <w:color w:val="000000"/>
                <w:szCs w:val="21"/>
              </w:rPr>
            </w:pPr>
            <w:r>
              <w:rPr>
                <w:rFonts w:eastAsia="方正仿宋简体"/>
                <w:color w:val="000000"/>
                <w:szCs w:val="21"/>
              </w:rPr>
              <w:t>（%）</w:t>
            </w:r>
          </w:p>
        </w:tc>
        <w:tc>
          <w:tcPr>
            <w:tcW w:w="1287" w:type="dxa"/>
            <w:noWrap w:val="0"/>
            <w:vAlign w:val="center"/>
          </w:tcPr>
          <w:p>
            <w:pPr>
              <w:adjustRightInd w:val="0"/>
              <w:snapToGrid w:val="0"/>
              <w:jc w:val="center"/>
              <w:rPr>
                <w:rFonts w:eastAsia="方正仿宋简体"/>
                <w:color w:val="000000"/>
                <w:szCs w:val="21"/>
              </w:rPr>
            </w:pPr>
            <w:r>
              <w:rPr>
                <w:rFonts w:eastAsia="方正仿宋简体"/>
                <w:color w:val="000000"/>
                <w:szCs w:val="21"/>
              </w:rPr>
              <w:t>96</w:t>
            </w:r>
          </w:p>
        </w:tc>
        <w:tc>
          <w:tcPr>
            <w:tcW w:w="1484" w:type="dxa"/>
            <w:noWrap w:val="0"/>
            <w:vAlign w:val="center"/>
          </w:tcPr>
          <w:p>
            <w:pPr>
              <w:adjustRightInd w:val="0"/>
              <w:snapToGrid w:val="0"/>
              <w:jc w:val="center"/>
              <w:rPr>
                <w:rFonts w:eastAsia="方正仿宋简体"/>
                <w:color w:val="000000"/>
                <w:szCs w:val="21"/>
              </w:rPr>
            </w:pPr>
            <w:r>
              <w:rPr>
                <w:rFonts w:eastAsia="方正仿宋简体"/>
                <w:color w:val="000000"/>
                <w:szCs w:val="21"/>
              </w:rPr>
              <w:t>≥97</w:t>
            </w:r>
          </w:p>
        </w:tc>
        <w:tc>
          <w:tcPr>
            <w:tcW w:w="1134" w:type="dxa"/>
            <w:noWrap w:val="0"/>
            <w:vAlign w:val="center"/>
          </w:tcPr>
          <w:p>
            <w:pPr>
              <w:adjustRightInd w:val="0"/>
              <w:snapToGrid w:val="0"/>
              <w:jc w:val="center"/>
              <w:rPr>
                <w:rFonts w:eastAsia="方正仿宋简体"/>
                <w:color w:val="000000"/>
                <w:szCs w:val="21"/>
              </w:rPr>
            </w:pPr>
            <w:r>
              <w:rPr>
                <w:rFonts w:eastAsia="方正仿宋简体"/>
                <w:color w:val="000000"/>
                <w:szCs w:val="21"/>
              </w:rPr>
              <w:t>约束性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10" w:hRule="atLeast"/>
          <w:jc w:val="center"/>
        </w:trPr>
        <w:tc>
          <w:tcPr>
            <w:tcW w:w="682" w:type="dxa"/>
            <w:noWrap w:val="0"/>
            <w:vAlign w:val="center"/>
          </w:tcPr>
          <w:p>
            <w:pPr>
              <w:adjustRightInd w:val="0"/>
              <w:snapToGrid w:val="0"/>
              <w:jc w:val="center"/>
              <w:rPr>
                <w:rFonts w:eastAsia="方正仿宋简体"/>
                <w:color w:val="000000"/>
                <w:szCs w:val="21"/>
              </w:rPr>
            </w:pPr>
            <w:r>
              <w:rPr>
                <w:rFonts w:eastAsia="方正仿宋简体"/>
                <w:color w:val="000000"/>
                <w:szCs w:val="21"/>
              </w:rPr>
              <w:t>35</w:t>
            </w:r>
          </w:p>
        </w:tc>
        <w:tc>
          <w:tcPr>
            <w:tcW w:w="2817" w:type="dxa"/>
            <w:gridSpan w:val="2"/>
            <w:noWrap w:val="0"/>
            <w:vAlign w:val="center"/>
          </w:tcPr>
          <w:p>
            <w:pPr>
              <w:adjustRightInd w:val="0"/>
              <w:snapToGrid w:val="0"/>
              <w:jc w:val="center"/>
              <w:rPr>
                <w:rFonts w:eastAsia="方正仿宋简体"/>
                <w:color w:val="000000"/>
                <w:szCs w:val="21"/>
              </w:rPr>
            </w:pPr>
            <w:r>
              <w:rPr>
                <w:rFonts w:eastAsia="方正仿宋简体"/>
                <w:color w:val="000000"/>
                <w:szCs w:val="21"/>
              </w:rPr>
              <w:t>人均预期寿命</w:t>
            </w:r>
          </w:p>
        </w:tc>
        <w:tc>
          <w:tcPr>
            <w:tcW w:w="1596" w:type="dxa"/>
            <w:noWrap w:val="0"/>
            <w:vAlign w:val="center"/>
          </w:tcPr>
          <w:p>
            <w:pPr>
              <w:adjustRightInd w:val="0"/>
              <w:snapToGrid w:val="0"/>
              <w:jc w:val="center"/>
              <w:rPr>
                <w:rFonts w:eastAsia="方正仿宋简体"/>
                <w:color w:val="000000"/>
                <w:szCs w:val="21"/>
              </w:rPr>
            </w:pPr>
            <w:r>
              <w:rPr>
                <w:rFonts w:eastAsia="方正仿宋简体"/>
                <w:color w:val="000000"/>
                <w:szCs w:val="21"/>
              </w:rPr>
              <w:t>岁</w:t>
            </w:r>
          </w:p>
        </w:tc>
        <w:tc>
          <w:tcPr>
            <w:tcW w:w="1287" w:type="dxa"/>
            <w:noWrap w:val="0"/>
            <w:vAlign w:val="center"/>
          </w:tcPr>
          <w:p>
            <w:pPr>
              <w:adjustRightInd w:val="0"/>
              <w:snapToGrid w:val="0"/>
              <w:jc w:val="center"/>
              <w:rPr>
                <w:rFonts w:eastAsia="方正仿宋简体"/>
                <w:color w:val="000000"/>
                <w:szCs w:val="21"/>
              </w:rPr>
            </w:pPr>
            <w:r>
              <w:rPr>
                <w:rFonts w:eastAsia="方正仿宋简体"/>
                <w:color w:val="000000"/>
                <w:szCs w:val="21"/>
              </w:rPr>
              <w:t>76.9</w:t>
            </w:r>
          </w:p>
        </w:tc>
        <w:tc>
          <w:tcPr>
            <w:tcW w:w="1484" w:type="dxa"/>
            <w:noWrap w:val="0"/>
            <w:vAlign w:val="center"/>
          </w:tcPr>
          <w:p>
            <w:pPr>
              <w:adjustRightInd w:val="0"/>
              <w:snapToGrid w:val="0"/>
              <w:jc w:val="center"/>
              <w:rPr>
                <w:rFonts w:eastAsia="方正仿宋简体"/>
                <w:color w:val="000000"/>
                <w:szCs w:val="21"/>
              </w:rPr>
            </w:pPr>
            <w:r>
              <w:rPr>
                <w:rFonts w:eastAsia="方正仿宋简体"/>
                <w:color w:val="000000"/>
                <w:szCs w:val="21"/>
              </w:rPr>
              <w:t>80</w:t>
            </w:r>
          </w:p>
        </w:tc>
        <w:tc>
          <w:tcPr>
            <w:tcW w:w="1134" w:type="dxa"/>
            <w:noWrap w:val="0"/>
            <w:vAlign w:val="center"/>
          </w:tcPr>
          <w:p>
            <w:pPr>
              <w:adjustRightInd w:val="0"/>
              <w:snapToGrid w:val="0"/>
              <w:jc w:val="center"/>
              <w:rPr>
                <w:rFonts w:eastAsia="方正仿宋简体"/>
                <w:color w:val="000000"/>
                <w:szCs w:val="21"/>
              </w:rPr>
            </w:pPr>
            <w:r>
              <w:rPr>
                <w:rFonts w:eastAsia="方正仿宋简体"/>
                <w:color w:val="000000"/>
                <w:szCs w:val="21"/>
              </w:rPr>
              <w:t>预期性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10" w:hRule="atLeast"/>
          <w:jc w:val="center"/>
        </w:trPr>
        <w:tc>
          <w:tcPr>
            <w:tcW w:w="682" w:type="dxa"/>
            <w:noWrap w:val="0"/>
            <w:vAlign w:val="center"/>
          </w:tcPr>
          <w:p>
            <w:pPr>
              <w:adjustRightInd w:val="0"/>
              <w:snapToGrid w:val="0"/>
              <w:jc w:val="center"/>
              <w:rPr>
                <w:rFonts w:eastAsia="方正仿宋简体"/>
                <w:color w:val="000000"/>
                <w:szCs w:val="21"/>
              </w:rPr>
            </w:pPr>
            <w:r>
              <w:rPr>
                <w:rFonts w:eastAsia="方正仿宋简体"/>
                <w:color w:val="000000"/>
                <w:szCs w:val="21"/>
              </w:rPr>
              <w:t>36</w:t>
            </w:r>
          </w:p>
        </w:tc>
        <w:tc>
          <w:tcPr>
            <w:tcW w:w="2817" w:type="dxa"/>
            <w:gridSpan w:val="2"/>
            <w:noWrap w:val="0"/>
            <w:vAlign w:val="center"/>
          </w:tcPr>
          <w:p>
            <w:pPr>
              <w:adjustRightInd w:val="0"/>
              <w:snapToGrid w:val="0"/>
              <w:jc w:val="center"/>
              <w:rPr>
                <w:rFonts w:eastAsia="方正仿宋简体"/>
                <w:color w:val="000000"/>
                <w:szCs w:val="21"/>
              </w:rPr>
            </w:pPr>
            <w:r>
              <w:rPr>
                <w:rFonts w:eastAsia="方正仿宋简体"/>
                <w:color w:val="000000"/>
                <w:szCs w:val="21"/>
              </w:rPr>
              <w:t>社会治安公众满意度</w:t>
            </w:r>
          </w:p>
        </w:tc>
        <w:tc>
          <w:tcPr>
            <w:tcW w:w="1596" w:type="dxa"/>
            <w:noWrap w:val="0"/>
            <w:vAlign w:val="center"/>
          </w:tcPr>
          <w:p>
            <w:pPr>
              <w:adjustRightInd w:val="0"/>
              <w:snapToGrid w:val="0"/>
              <w:jc w:val="center"/>
              <w:rPr>
                <w:rFonts w:eastAsia="方正仿宋简体"/>
                <w:color w:val="000000"/>
                <w:szCs w:val="21"/>
              </w:rPr>
            </w:pPr>
            <w:r>
              <w:rPr>
                <w:rFonts w:eastAsia="方正仿宋简体"/>
                <w:color w:val="000000"/>
                <w:szCs w:val="21"/>
              </w:rPr>
              <w:t>（%）</w:t>
            </w:r>
          </w:p>
        </w:tc>
        <w:tc>
          <w:tcPr>
            <w:tcW w:w="1287" w:type="dxa"/>
            <w:noWrap w:val="0"/>
            <w:vAlign w:val="center"/>
          </w:tcPr>
          <w:p>
            <w:pPr>
              <w:adjustRightInd w:val="0"/>
              <w:snapToGrid w:val="0"/>
              <w:jc w:val="center"/>
              <w:rPr>
                <w:rFonts w:eastAsia="方正仿宋简体"/>
                <w:color w:val="000000"/>
                <w:szCs w:val="21"/>
              </w:rPr>
            </w:pPr>
            <w:r>
              <w:rPr>
                <w:rFonts w:eastAsia="方正仿宋简体"/>
                <w:color w:val="000000"/>
                <w:szCs w:val="21"/>
              </w:rPr>
              <w:t>——</w:t>
            </w:r>
          </w:p>
        </w:tc>
        <w:tc>
          <w:tcPr>
            <w:tcW w:w="1484" w:type="dxa"/>
            <w:noWrap w:val="0"/>
            <w:vAlign w:val="center"/>
          </w:tcPr>
          <w:p>
            <w:pPr>
              <w:adjustRightInd w:val="0"/>
              <w:snapToGrid w:val="0"/>
              <w:jc w:val="center"/>
              <w:rPr>
                <w:rFonts w:eastAsia="方正仿宋简体"/>
                <w:color w:val="000000"/>
                <w:szCs w:val="21"/>
              </w:rPr>
            </w:pPr>
            <w:r>
              <w:rPr>
                <w:rFonts w:eastAsia="方正仿宋简体"/>
                <w:color w:val="000000"/>
                <w:szCs w:val="21"/>
              </w:rPr>
              <w:t>90</w:t>
            </w:r>
          </w:p>
        </w:tc>
        <w:tc>
          <w:tcPr>
            <w:tcW w:w="1134" w:type="dxa"/>
            <w:noWrap w:val="0"/>
            <w:vAlign w:val="center"/>
          </w:tcPr>
          <w:p>
            <w:pPr>
              <w:adjustRightInd w:val="0"/>
              <w:snapToGrid w:val="0"/>
              <w:jc w:val="center"/>
              <w:rPr>
                <w:rFonts w:eastAsia="方正仿宋简体"/>
                <w:color w:val="000000"/>
                <w:szCs w:val="21"/>
              </w:rPr>
            </w:pPr>
            <w:r>
              <w:rPr>
                <w:rFonts w:eastAsia="方正仿宋简体"/>
                <w:color w:val="000000"/>
                <w:szCs w:val="21"/>
              </w:rPr>
              <w:t>预期性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10" w:hRule="atLeast"/>
          <w:jc w:val="center"/>
        </w:trPr>
        <w:tc>
          <w:tcPr>
            <w:tcW w:w="682" w:type="dxa"/>
            <w:noWrap w:val="0"/>
            <w:vAlign w:val="center"/>
          </w:tcPr>
          <w:p>
            <w:pPr>
              <w:adjustRightInd w:val="0"/>
              <w:snapToGrid w:val="0"/>
              <w:jc w:val="center"/>
              <w:rPr>
                <w:rFonts w:eastAsia="方正仿宋简体"/>
                <w:color w:val="000000"/>
                <w:szCs w:val="21"/>
              </w:rPr>
            </w:pPr>
            <w:r>
              <w:rPr>
                <w:rFonts w:eastAsia="方正仿宋简体"/>
                <w:color w:val="000000"/>
                <w:szCs w:val="21"/>
              </w:rPr>
              <w:t>37</w:t>
            </w:r>
          </w:p>
        </w:tc>
        <w:tc>
          <w:tcPr>
            <w:tcW w:w="2817" w:type="dxa"/>
            <w:gridSpan w:val="2"/>
            <w:noWrap w:val="0"/>
            <w:vAlign w:val="center"/>
          </w:tcPr>
          <w:p>
            <w:pPr>
              <w:adjustRightInd w:val="0"/>
              <w:snapToGrid w:val="0"/>
              <w:jc w:val="center"/>
              <w:rPr>
                <w:rFonts w:eastAsia="方正仿宋简体"/>
                <w:color w:val="000000"/>
                <w:szCs w:val="21"/>
              </w:rPr>
            </w:pPr>
            <w:r>
              <w:rPr>
                <w:rFonts w:eastAsia="方正仿宋简体"/>
                <w:color w:val="000000"/>
                <w:szCs w:val="21"/>
              </w:rPr>
              <w:t>每万人拥有律师数</w:t>
            </w:r>
          </w:p>
        </w:tc>
        <w:tc>
          <w:tcPr>
            <w:tcW w:w="1596" w:type="dxa"/>
            <w:noWrap w:val="0"/>
            <w:vAlign w:val="center"/>
          </w:tcPr>
          <w:p>
            <w:pPr>
              <w:adjustRightInd w:val="0"/>
              <w:snapToGrid w:val="0"/>
              <w:jc w:val="center"/>
              <w:rPr>
                <w:rFonts w:eastAsia="方正仿宋简体"/>
                <w:color w:val="000000"/>
                <w:szCs w:val="21"/>
              </w:rPr>
            </w:pPr>
            <w:r>
              <w:rPr>
                <w:rFonts w:eastAsia="方正仿宋简体"/>
                <w:color w:val="000000"/>
                <w:szCs w:val="21"/>
              </w:rPr>
              <w:t>人</w:t>
            </w:r>
          </w:p>
        </w:tc>
        <w:tc>
          <w:tcPr>
            <w:tcW w:w="1287" w:type="dxa"/>
            <w:noWrap w:val="0"/>
            <w:vAlign w:val="center"/>
          </w:tcPr>
          <w:p>
            <w:pPr>
              <w:adjustRightInd w:val="0"/>
              <w:snapToGrid w:val="0"/>
              <w:jc w:val="center"/>
              <w:rPr>
                <w:rFonts w:eastAsia="方正仿宋简体"/>
                <w:color w:val="000000"/>
                <w:szCs w:val="21"/>
              </w:rPr>
            </w:pPr>
            <w:r>
              <w:rPr>
                <w:rFonts w:eastAsia="方正仿宋简体"/>
                <w:color w:val="000000"/>
                <w:szCs w:val="21"/>
              </w:rPr>
              <w:t>——</w:t>
            </w:r>
          </w:p>
        </w:tc>
        <w:tc>
          <w:tcPr>
            <w:tcW w:w="1484" w:type="dxa"/>
            <w:noWrap w:val="0"/>
            <w:vAlign w:val="center"/>
          </w:tcPr>
          <w:p>
            <w:pPr>
              <w:adjustRightInd w:val="0"/>
              <w:snapToGrid w:val="0"/>
              <w:jc w:val="center"/>
              <w:rPr>
                <w:rFonts w:eastAsia="方正仿宋简体"/>
                <w:color w:val="000000"/>
                <w:szCs w:val="21"/>
              </w:rPr>
            </w:pPr>
            <w:r>
              <w:rPr>
                <w:rFonts w:eastAsia="方正仿宋简体"/>
                <w:color w:val="000000"/>
                <w:szCs w:val="21"/>
              </w:rPr>
              <w:t>5</w:t>
            </w:r>
          </w:p>
        </w:tc>
        <w:tc>
          <w:tcPr>
            <w:tcW w:w="1134" w:type="dxa"/>
            <w:noWrap w:val="0"/>
            <w:vAlign w:val="center"/>
          </w:tcPr>
          <w:p>
            <w:pPr>
              <w:adjustRightInd w:val="0"/>
              <w:snapToGrid w:val="0"/>
              <w:jc w:val="center"/>
              <w:rPr>
                <w:rFonts w:eastAsia="方正仿宋简体"/>
                <w:color w:val="000000"/>
                <w:szCs w:val="21"/>
              </w:rPr>
            </w:pPr>
            <w:r>
              <w:rPr>
                <w:rFonts w:eastAsia="方正仿宋简体"/>
                <w:color w:val="000000"/>
                <w:szCs w:val="21"/>
              </w:rPr>
              <w:t>预期性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10" w:hRule="atLeast"/>
          <w:jc w:val="center"/>
        </w:trPr>
        <w:tc>
          <w:tcPr>
            <w:tcW w:w="9000" w:type="dxa"/>
            <w:gridSpan w:val="7"/>
            <w:noWrap w:val="0"/>
            <w:vAlign w:val="center"/>
          </w:tcPr>
          <w:p>
            <w:pPr>
              <w:adjustRightInd w:val="0"/>
              <w:snapToGrid w:val="0"/>
              <w:rPr>
                <w:rFonts w:eastAsia="方正仿宋简体"/>
                <w:color w:val="000000"/>
                <w:szCs w:val="21"/>
              </w:rPr>
            </w:pPr>
            <w:r>
              <w:rPr>
                <w:rFonts w:eastAsia="方正仿宋简体"/>
                <w:color w:val="000000"/>
                <w:szCs w:val="21"/>
              </w:rPr>
              <w:t>注：{ }表示五年累计数</w:t>
            </w:r>
          </w:p>
        </w:tc>
      </w:tr>
    </w:tbl>
    <w:p>
      <w:pPr>
        <w:adjustRightInd w:val="0"/>
        <w:snapToGrid w:val="0"/>
        <w:spacing w:line="600" w:lineRule="exact"/>
        <w:jc w:val="center"/>
        <w:rPr>
          <w:rFonts w:hint="eastAsia" w:ascii="方正小标宋简体" w:eastAsia="方正小标宋简体"/>
          <w:color w:val="000000"/>
          <w:sz w:val="32"/>
          <w:szCs w:val="32"/>
        </w:rPr>
      </w:pPr>
      <w:r>
        <w:rPr>
          <w:rFonts w:hint="eastAsia" w:ascii="方正小标宋简体" w:eastAsia="方正小标宋简体"/>
          <w:color w:val="000000"/>
          <w:sz w:val="32"/>
          <w:szCs w:val="32"/>
        </w:rPr>
        <w:t>第二章  创新发展  打造充满活力的创新创业之都</w:t>
      </w:r>
    </w:p>
    <w:p>
      <w:pPr>
        <w:adjustRightInd w:val="0"/>
        <w:snapToGrid w:val="0"/>
        <w:spacing w:line="600" w:lineRule="exact"/>
        <w:rPr>
          <w:rFonts w:eastAsia="方正仿宋简体"/>
          <w:color w:val="000000"/>
          <w:sz w:val="30"/>
          <w:szCs w:val="30"/>
        </w:rPr>
      </w:pPr>
    </w:p>
    <w:p>
      <w:pPr>
        <w:adjustRightInd w:val="0"/>
        <w:snapToGrid w:val="0"/>
        <w:spacing w:line="600" w:lineRule="exact"/>
        <w:ind w:firstLine="600" w:firstLineChars="200"/>
        <w:rPr>
          <w:rFonts w:eastAsia="方正仿宋简体"/>
          <w:color w:val="000000"/>
          <w:sz w:val="30"/>
          <w:szCs w:val="30"/>
        </w:rPr>
      </w:pPr>
      <w:r>
        <w:rPr>
          <w:rFonts w:eastAsia="方正仿宋简体"/>
          <w:color w:val="000000"/>
          <w:sz w:val="30"/>
          <w:szCs w:val="30"/>
        </w:rPr>
        <w:t>创新是第一动力。要在激烈的区域竞争中赢得战略主动，就必须用最好的资源、最优的政策、最多的投入，全方位、深层次、多领域推进改革创新，实现更多依靠创新驱动的引领型发展。</w:t>
      </w:r>
    </w:p>
    <w:p>
      <w:pPr>
        <w:adjustRightInd w:val="0"/>
        <w:snapToGrid w:val="0"/>
        <w:spacing w:before="312" w:beforeLines="100" w:after="312" w:afterLines="100" w:line="600" w:lineRule="exact"/>
        <w:jc w:val="center"/>
        <w:rPr>
          <w:rFonts w:eastAsia="方正仿宋简体"/>
          <w:color w:val="000000"/>
          <w:sz w:val="30"/>
          <w:szCs w:val="30"/>
        </w:rPr>
      </w:pPr>
      <w:r>
        <w:rPr>
          <w:rFonts w:eastAsia="方正仿宋简体"/>
          <w:color w:val="000000"/>
          <w:sz w:val="30"/>
          <w:szCs w:val="30"/>
        </w:rPr>
        <w:t>第一节  建设国家自主创新示范区</w:t>
      </w:r>
    </w:p>
    <w:p>
      <w:pPr>
        <w:adjustRightInd w:val="0"/>
        <w:snapToGrid w:val="0"/>
        <w:spacing w:line="600" w:lineRule="exact"/>
        <w:ind w:firstLine="600" w:firstLineChars="200"/>
        <w:rPr>
          <w:rFonts w:eastAsia="方正仿宋简体"/>
          <w:color w:val="000000"/>
          <w:sz w:val="30"/>
          <w:szCs w:val="30"/>
        </w:rPr>
      </w:pPr>
      <w:r>
        <w:rPr>
          <w:rFonts w:eastAsia="方正仿宋简体"/>
          <w:color w:val="000000"/>
          <w:sz w:val="30"/>
          <w:szCs w:val="30"/>
        </w:rPr>
        <w:t>把握新一轮科技革命和产业变革潮流，依托长株潭国家自主创新示范区、国家创新型城市的政策和体制优势，深入实施科教兴市和人才强市战略，全面增强原始创新、集成创新和再创新能力，加快建成具有国际影响力的中部创新中心。</w:t>
      </w:r>
    </w:p>
    <w:p>
      <w:pPr>
        <w:adjustRightInd w:val="0"/>
        <w:snapToGrid w:val="0"/>
        <w:spacing w:line="600" w:lineRule="exact"/>
        <w:ind w:firstLine="600" w:firstLineChars="200"/>
        <w:rPr>
          <w:rFonts w:eastAsia="方正仿宋简体"/>
          <w:bCs/>
          <w:color w:val="000000"/>
          <w:sz w:val="30"/>
          <w:szCs w:val="30"/>
        </w:rPr>
      </w:pPr>
      <w:r>
        <w:rPr>
          <w:rFonts w:eastAsia="方正仿宋简体"/>
          <w:bCs/>
          <w:color w:val="000000"/>
          <w:sz w:val="30"/>
          <w:szCs w:val="30"/>
        </w:rPr>
        <w:t>一、推进科技创新格局与国际接轨</w:t>
      </w:r>
    </w:p>
    <w:p>
      <w:pPr>
        <w:adjustRightInd w:val="0"/>
        <w:snapToGrid w:val="0"/>
        <w:spacing w:line="600" w:lineRule="exact"/>
        <w:ind w:firstLine="600" w:firstLineChars="200"/>
        <w:rPr>
          <w:rFonts w:eastAsia="方正仿宋简体"/>
          <w:color w:val="000000"/>
          <w:sz w:val="30"/>
          <w:szCs w:val="30"/>
        </w:rPr>
      </w:pPr>
      <w:r>
        <w:rPr>
          <w:rFonts w:eastAsia="方正仿宋简体"/>
          <w:color w:val="000000"/>
          <w:sz w:val="30"/>
          <w:szCs w:val="30"/>
        </w:rPr>
        <w:t>积极融入全球创新网络，构建与国际标准相衔接的科技研发体系、科技人才培养体系、科技成果转化体系和科技创新评价体系，提升在全国乃至全球的科技竞争优势。到2020年，全社会研究与试验发展经费支出占地区生产总值比重达2.8%，每万人有效发明专利拥有量达25件。</w:t>
      </w:r>
    </w:p>
    <w:p>
      <w:pPr>
        <w:adjustRightInd w:val="0"/>
        <w:snapToGrid w:val="0"/>
        <w:spacing w:line="600" w:lineRule="exact"/>
        <w:ind w:firstLine="608" w:firstLineChars="200"/>
        <w:rPr>
          <w:rFonts w:hint="eastAsia" w:eastAsia="方正仿宋简体"/>
          <w:color w:val="000000"/>
          <w:sz w:val="30"/>
          <w:szCs w:val="30"/>
        </w:rPr>
      </w:pPr>
      <w:r>
        <w:rPr>
          <w:rFonts w:eastAsia="方正仿宋简体"/>
          <w:bCs/>
          <w:color w:val="000000"/>
          <w:spacing w:val="2"/>
          <w:sz w:val="30"/>
          <w:szCs w:val="30"/>
        </w:rPr>
        <w:t>1、掌握一批关键核心技术。</w:t>
      </w:r>
      <w:r>
        <w:rPr>
          <w:rFonts w:eastAsia="方正仿宋简体"/>
          <w:color w:val="000000"/>
          <w:spacing w:val="2"/>
          <w:sz w:val="30"/>
          <w:szCs w:val="30"/>
        </w:rPr>
        <w:t>面向世界科技前沿和国家重大需求，部署实施重大前沿技术攻关计划，在超级计算、北斗导航、基因工程、生物育种、碳材料等领域取得新的突破性进展。制定实施重大产业技术攻关路线图，力争在高端装备制造、3D打印、新材料、新能源等领域掌握关键核心技术，获取一批核心知识产权，催</w:t>
      </w:r>
      <w:r>
        <w:rPr>
          <w:rFonts w:eastAsia="方正仿宋简体"/>
          <w:color w:val="000000"/>
          <w:sz w:val="30"/>
          <w:szCs w:val="30"/>
        </w:rPr>
        <w:t>生一批新的经济增长点。支持医疗卫生、生态环境、城乡建设等民生科技研发，让科技创新更多地服务社会进步。</w:t>
      </w:r>
    </w:p>
    <w:p>
      <w:pPr>
        <w:adjustRightInd w:val="0"/>
        <w:snapToGrid w:val="0"/>
        <w:spacing w:line="600" w:lineRule="exact"/>
        <w:ind w:firstLine="560" w:firstLineChars="200"/>
        <w:jc w:val="center"/>
        <w:rPr>
          <w:rFonts w:hint="eastAsia" w:ascii="黑体" w:eastAsia="黑体"/>
          <w:color w:val="000000"/>
          <w:sz w:val="28"/>
          <w:szCs w:val="28"/>
        </w:rPr>
      </w:pPr>
      <w:r>
        <w:rPr>
          <w:rFonts w:hint="eastAsia" w:ascii="黑体" w:eastAsia="黑体"/>
          <w:color w:val="000000"/>
          <w:sz w:val="28"/>
          <w:szCs w:val="28"/>
        </w:rPr>
        <w:t>专栏3：重大技术攻关工程</w:t>
      </w:r>
    </w:p>
    <w:tbl>
      <w:tblPr>
        <w:tblStyle w:val="15"/>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52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133" w:hRule="atLeast"/>
          <w:jc w:val="center"/>
        </w:trPr>
        <w:tc>
          <w:tcPr>
            <w:tcW w:w="8522" w:type="dxa"/>
            <w:noWrap w:val="0"/>
            <w:vAlign w:val="center"/>
          </w:tcPr>
          <w:p>
            <w:pPr>
              <w:adjustRightInd w:val="0"/>
              <w:snapToGrid w:val="0"/>
              <w:spacing w:line="460" w:lineRule="exact"/>
              <w:ind w:firstLine="560" w:firstLineChars="200"/>
              <w:rPr>
                <w:rFonts w:eastAsia="方正仿宋简体"/>
                <w:bCs/>
                <w:color w:val="000000"/>
                <w:sz w:val="28"/>
                <w:szCs w:val="28"/>
              </w:rPr>
            </w:pPr>
            <w:r>
              <w:rPr>
                <w:rFonts w:eastAsia="方正仿宋简体"/>
                <w:bCs/>
                <w:color w:val="000000"/>
                <w:sz w:val="28"/>
                <w:szCs w:val="28"/>
              </w:rPr>
              <w:t>生物技术：</w:t>
            </w:r>
            <w:r>
              <w:rPr>
                <w:rFonts w:eastAsia="方正仿宋简体"/>
                <w:color w:val="000000"/>
                <w:sz w:val="28"/>
                <w:szCs w:val="28"/>
              </w:rPr>
              <w:t>基因检测、基因制药、基因诊断、基因治疗等，促进人类健康、预防疾病、延长寿命；粮油作物、果蔬、畜牧水产品种培育技术创新。</w:t>
            </w:r>
          </w:p>
          <w:p>
            <w:pPr>
              <w:adjustRightInd w:val="0"/>
              <w:snapToGrid w:val="0"/>
              <w:spacing w:line="460" w:lineRule="exact"/>
              <w:ind w:firstLine="560" w:firstLineChars="200"/>
              <w:rPr>
                <w:rFonts w:eastAsia="方正仿宋简体"/>
                <w:bCs/>
                <w:color w:val="000000"/>
                <w:sz w:val="28"/>
                <w:szCs w:val="28"/>
              </w:rPr>
            </w:pPr>
            <w:r>
              <w:rPr>
                <w:rFonts w:eastAsia="方正仿宋简体"/>
                <w:bCs/>
                <w:color w:val="000000"/>
                <w:sz w:val="28"/>
                <w:szCs w:val="28"/>
              </w:rPr>
              <w:t>新一代信息技术：</w:t>
            </w:r>
            <w:r>
              <w:rPr>
                <w:rFonts w:eastAsia="方正仿宋简体"/>
                <w:color w:val="000000"/>
                <w:sz w:val="28"/>
                <w:szCs w:val="28"/>
              </w:rPr>
              <w:t>超级计算、北斗导航、下一代通信网络、三网融合、物联网、大数据、新型显示元器件、高性能集成电路、智能终端设备、高端软件等。</w:t>
            </w:r>
          </w:p>
          <w:p>
            <w:pPr>
              <w:adjustRightInd w:val="0"/>
              <w:snapToGrid w:val="0"/>
              <w:spacing w:line="460" w:lineRule="exact"/>
              <w:ind w:firstLine="560" w:firstLineChars="200"/>
              <w:rPr>
                <w:rFonts w:eastAsia="方正仿宋简体"/>
                <w:color w:val="000000"/>
                <w:sz w:val="28"/>
                <w:szCs w:val="28"/>
              </w:rPr>
            </w:pPr>
            <w:r>
              <w:rPr>
                <w:rFonts w:eastAsia="方正仿宋简体"/>
                <w:bCs/>
                <w:color w:val="000000"/>
                <w:sz w:val="28"/>
                <w:szCs w:val="28"/>
              </w:rPr>
              <w:t>3D打印：</w:t>
            </w:r>
            <w:r>
              <w:rPr>
                <w:rFonts w:eastAsia="方正仿宋简体"/>
                <w:color w:val="000000"/>
                <w:sz w:val="28"/>
                <w:szCs w:val="28"/>
              </w:rPr>
              <w:t>金属增材制造专用材料、非金属增材制造专用材料、医用增材制造专用材料、光束质量激光器及光束整形系统、高品质电子枪及高速扫描系统、大功率激光扫描振镜、动态聚焦镜等精密光学器件、阵列式高精度喷嘴/喷头等。</w:t>
            </w:r>
          </w:p>
          <w:p>
            <w:pPr>
              <w:adjustRightInd w:val="0"/>
              <w:snapToGrid w:val="0"/>
              <w:spacing w:line="460" w:lineRule="exact"/>
              <w:ind w:firstLine="560" w:firstLineChars="200"/>
              <w:rPr>
                <w:rFonts w:eastAsia="方正仿宋简体"/>
                <w:color w:val="000000"/>
                <w:sz w:val="28"/>
                <w:szCs w:val="28"/>
              </w:rPr>
            </w:pPr>
            <w:r>
              <w:rPr>
                <w:rFonts w:eastAsia="方正仿宋简体"/>
                <w:bCs/>
                <w:color w:val="000000"/>
                <w:sz w:val="28"/>
                <w:szCs w:val="28"/>
              </w:rPr>
              <w:t>新材料：</w:t>
            </w:r>
            <w:r>
              <w:rPr>
                <w:rFonts w:eastAsia="方正仿宋简体"/>
                <w:color w:val="000000"/>
                <w:sz w:val="28"/>
                <w:szCs w:val="28"/>
              </w:rPr>
              <w:t>先进碳材料、先进储能材料、先进复合材料、先进金属材料、高性能硬质合金材料制备、纳米技术等。</w:t>
            </w:r>
          </w:p>
          <w:p>
            <w:pPr>
              <w:adjustRightInd w:val="0"/>
              <w:snapToGrid w:val="0"/>
              <w:spacing w:line="460" w:lineRule="exact"/>
              <w:ind w:firstLine="560" w:firstLineChars="200"/>
              <w:rPr>
                <w:rFonts w:eastAsia="方正仿宋简体"/>
                <w:color w:val="000000"/>
                <w:sz w:val="24"/>
                <w:szCs w:val="24"/>
              </w:rPr>
            </w:pPr>
            <w:r>
              <w:rPr>
                <w:rFonts w:eastAsia="方正仿宋简体"/>
                <w:bCs/>
                <w:color w:val="000000"/>
                <w:sz w:val="28"/>
                <w:szCs w:val="28"/>
              </w:rPr>
              <w:t>新能源：</w:t>
            </w:r>
            <w:r>
              <w:rPr>
                <w:rFonts w:eastAsia="方正仿宋简体"/>
                <w:color w:val="000000"/>
                <w:sz w:val="28"/>
                <w:szCs w:val="28"/>
              </w:rPr>
              <w:t>太阳能技术、地热能技术、风能技术、生物质能技术等。</w:t>
            </w:r>
          </w:p>
        </w:tc>
      </w:tr>
    </w:tbl>
    <w:p>
      <w:pPr>
        <w:adjustRightInd w:val="0"/>
        <w:snapToGrid w:val="0"/>
        <w:spacing w:line="600" w:lineRule="exact"/>
        <w:ind w:firstLine="601" w:firstLineChars="198"/>
        <w:rPr>
          <w:rFonts w:eastAsia="方正仿宋简体"/>
          <w:color w:val="000000"/>
          <w:sz w:val="30"/>
          <w:szCs w:val="30"/>
        </w:rPr>
      </w:pPr>
      <w:r>
        <w:rPr>
          <w:rFonts w:eastAsia="方正仿宋简体"/>
          <w:bCs/>
          <w:color w:val="000000"/>
          <w:spacing w:val="2"/>
          <w:sz w:val="30"/>
          <w:szCs w:val="30"/>
        </w:rPr>
        <w:t>2、建设一批高端创新载体。</w:t>
      </w:r>
      <w:r>
        <w:rPr>
          <w:rFonts w:eastAsia="方正仿宋简体"/>
          <w:color w:val="000000"/>
          <w:spacing w:val="2"/>
          <w:sz w:val="30"/>
          <w:szCs w:val="30"/>
        </w:rPr>
        <w:t>积极参与国家大科学计划和大科学工程，创建一批国家级创新平台。主动参与国际科技合作，鼓励国内外知名科研机构、高等院校、大型企业和跨国公司在长设立研发总部或地区性研发总部，在更大范围、更高层次实现更有效率地配</w:t>
      </w:r>
      <w:r>
        <w:rPr>
          <w:rFonts w:eastAsia="方正仿宋简体"/>
          <w:color w:val="000000"/>
          <w:sz w:val="30"/>
          <w:szCs w:val="30"/>
        </w:rPr>
        <w:t>置创新资源。鼓励本土企业引进国外先进技术或在境外设立研发中</w:t>
      </w:r>
      <w:r>
        <w:rPr>
          <w:rFonts w:eastAsia="方正仿宋简体"/>
          <w:color w:val="000000"/>
          <w:spacing w:val="2"/>
          <w:sz w:val="30"/>
          <w:szCs w:val="30"/>
        </w:rPr>
        <w:t>心，支持依托行业龙头企业组建工业技术研究院，推动跨区域、跨</w:t>
      </w:r>
      <w:r>
        <w:rPr>
          <w:rFonts w:eastAsia="方正仿宋简体"/>
          <w:color w:val="000000"/>
          <w:spacing w:val="4"/>
          <w:sz w:val="30"/>
          <w:szCs w:val="30"/>
        </w:rPr>
        <w:t>领域的技术成果转移和协同创新。加快在电子信息、3D打印、生物技术等国际国内领先的行业细分领域，引导设立和支持壮大一批新型市场化研发机构。大力培育高能级的孵化器、加速器等</w:t>
      </w:r>
      <w:r>
        <w:rPr>
          <w:rFonts w:eastAsia="方正仿宋简体"/>
          <w:color w:val="000000"/>
          <w:sz w:val="30"/>
          <w:szCs w:val="30"/>
        </w:rPr>
        <w:t>新型创新载体，为企业提供从研发到试验、试制的“一站式”整体解决方案平台。到2020年，力争新增国家级创新平台10家，省级创新平台50家，新认定市级创新平台100家以上。</w:t>
      </w:r>
    </w:p>
    <w:p>
      <w:pPr>
        <w:adjustRightInd w:val="0"/>
        <w:snapToGrid w:val="0"/>
        <w:spacing w:line="600" w:lineRule="exact"/>
        <w:ind w:firstLine="600" w:firstLineChars="200"/>
        <w:rPr>
          <w:rFonts w:eastAsia="方正仿宋简体"/>
          <w:color w:val="000000"/>
          <w:sz w:val="30"/>
          <w:szCs w:val="30"/>
        </w:rPr>
      </w:pPr>
      <w:r>
        <w:rPr>
          <w:rFonts w:eastAsia="方正仿宋简体"/>
          <w:bCs/>
          <w:color w:val="000000"/>
          <w:sz w:val="30"/>
          <w:szCs w:val="30"/>
        </w:rPr>
        <w:t>3、培养一批科技创新人才。</w:t>
      </w:r>
      <w:bookmarkStart w:id="17" w:name="_GoBack"/>
      <w:bookmarkEnd w:id="17"/>
      <w:r>
        <w:rPr>
          <w:rFonts w:eastAsia="方正仿宋简体"/>
          <w:color w:val="000000"/>
          <w:sz w:val="30"/>
          <w:szCs w:val="30"/>
        </w:rPr>
        <w:t>依托国家杂交水稻工程技术研究中心、国家超级计算长沙中心、人类干细胞国家工程研究中心等由战略科学家领衔的研发团队，吸引、培养、造就一批能够突破关键技术、发展高新技术产业、带动新兴学科，具有世界一流水平的顶尖科技人才。实行科技人才准入便利、优待重用的优惠政策，优化医疗健康、子女教育、配偶就业、住房保障等人才服务，建立健全人才引进培养、选拔评价和流动等机制，加快形成一支规模宏大、富有创新精神、敢于承担风险的创新型人才队伍。到2020年，全市人才总量达到135万人，其中科技创新领军型人才100名以上。</w:t>
      </w:r>
    </w:p>
    <w:p>
      <w:pPr>
        <w:adjustRightInd w:val="0"/>
        <w:snapToGrid w:val="0"/>
        <w:spacing w:line="600" w:lineRule="exact"/>
        <w:ind w:firstLine="600" w:firstLineChars="200"/>
        <w:rPr>
          <w:rFonts w:eastAsia="方正仿宋简体"/>
          <w:bCs/>
          <w:color w:val="000000"/>
          <w:sz w:val="30"/>
          <w:szCs w:val="30"/>
        </w:rPr>
      </w:pPr>
      <w:r>
        <w:rPr>
          <w:rFonts w:eastAsia="方正仿宋简体"/>
          <w:bCs/>
          <w:color w:val="000000"/>
          <w:sz w:val="30"/>
          <w:szCs w:val="30"/>
        </w:rPr>
        <w:t>二、推动科技创新成果与产业接轨</w:t>
      </w:r>
    </w:p>
    <w:p>
      <w:pPr>
        <w:adjustRightInd w:val="0"/>
        <w:snapToGrid w:val="0"/>
        <w:spacing w:line="600" w:lineRule="exact"/>
        <w:ind w:firstLine="600" w:firstLineChars="200"/>
        <w:rPr>
          <w:rFonts w:eastAsia="方正仿宋简体"/>
          <w:color w:val="000000"/>
          <w:sz w:val="30"/>
          <w:szCs w:val="30"/>
        </w:rPr>
      </w:pPr>
      <w:r>
        <w:rPr>
          <w:rFonts w:eastAsia="方正仿宋简体"/>
          <w:color w:val="000000"/>
          <w:sz w:val="30"/>
          <w:szCs w:val="30"/>
        </w:rPr>
        <w:t>围绕产业链部署创新链，围绕创新链完善资金链，着力推动科技成果资本化和产业化，将科技创新的“长沙资源”转化为“长沙优势”。到2020年，重大科技成果本土转化率达30%以上，高新技术产业增加值占地区生产总值比重达35%。</w:t>
      </w:r>
    </w:p>
    <w:p>
      <w:pPr>
        <w:adjustRightInd w:val="0"/>
        <w:snapToGrid w:val="0"/>
        <w:spacing w:line="600" w:lineRule="exact"/>
        <w:ind w:firstLine="608" w:firstLineChars="200"/>
        <w:rPr>
          <w:rFonts w:eastAsia="方正仿宋简体"/>
          <w:color w:val="000000"/>
          <w:sz w:val="30"/>
          <w:szCs w:val="30"/>
        </w:rPr>
      </w:pPr>
      <w:r>
        <w:rPr>
          <w:rFonts w:eastAsia="方正仿宋简体"/>
          <w:color w:val="000000"/>
          <w:spacing w:val="2"/>
          <w:sz w:val="30"/>
          <w:szCs w:val="30"/>
        </w:rPr>
        <w:t>1、</w:t>
      </w:r>
      <w:r>
        <w:rPr>
          <w:rFonts w:eastAsia="方正仿宋简体"/>
          <w:bCs/>
          <w:color w:val="000000"/>
          <w:spacing w:val="2"/>
          <w:sz w:val="30"/>
          <w:szCs w:val="30"/>
        </w:rPr>
        <w:t>支持科技成果就地转化。</w:t>
      </w:r>
      <w:r>
        <w:rPr>
          <w:rFonts w:eastAsia="方正仿宋简体"/>
          <w:color w:val="000000"/>
          <w:spacing w:val="2"/>
          <w:sz w:val="30"/>
          <w:szCs w:val="30"/>
        </w:rPr>
        <w:t>依托岳麓山国家大学科技园、湖南省大学科技产业园等转化平台，完善高等院校、科研院所、研发机构与企业、产业园区的科研成果衔接机制，健全科技交易市场体系。加强知识产权交易、运营平台建设。结合传统支柱产业和战略</w:t>
      </w:r>
      <w:r>
        <w:rPr>
          <w:rFonts w:eastAsia="方正仿宋简体"/>
          <w:color w:val="000000"/>
          <w:sz w:val="30"/>
          <w:szCs w:val="30"/>
        </w:rPr>
        <w:t>性新兴产业发展导向，研究编制产业技术发展需求目录，推动企业技术瓶颈向科技攻关转化、科技攻关向中试成果转化、中试成果向产业化转化。</w:t>
      </w:r>
    </w:p>
    <w:p>
      <w:pPr>
        <w:adjustRightInd w:val="0"/>
        <w:snapToGrid w:val="0"/>
        <w:spacing w:line="600" w:lineRule="exact"/>
        <w:ind w:firstLine="600" w:firstLineChars="200"/>
        <w:rPr>
          <w:rFonts w:eastAsia="方正仿宋简体"/>
          <w:color w:val="000000"/>
          <w:sz w:val="30"/>
          <w:szCs w:val="30"/>
        </w:rPr>
      </w:pPr>
      <w:r>
        <w:rPr>
          <w:rFonts w:eastAsia="方正仿宋简体"/>
          <w:bCs/>
          <w:color w:val="000000"/>
          <w:sz w:val="30"/>
          <w:szCs w:val="30"/>
        </w:rPr>
        <w:t>2、推动军民融合深度发展。</w:t>
      </w:r>
      <w:r>
        <w:rPr>
          <w:rFonts w:eastAsia="方正仿宋简体"/>
          <w:color w:val="000000"/>
          <w:sz w:val="30"/>
          <w:szCs w:val="30"/>
        </w:rPr>
        <w:t>依托国防科技大学创建军民融合创新示范区，完善军民结合产业技术协同创新机制，促进军地协调、需求对接、资源共享。建设一批军民融合的科研、设计、测试共享平台，打造超级计算机、北斗导航、航空航天等一批特色军民融合产业园，支持军工企业开发民用产品，支持符合条件的民营企业参与军品生产，增强先进技术、产业产品、基础设施等军民共用的协调性。</w:t>
      </w:r>
    </w:p>
    <w:p>
      <w:pPr>
        <w:adjustRightInd w:val="0"/>
        <w:snapToGrid w:val="0"/>
        <w:spacing w:line="600" w:lineRule="exact"/>
        <w:ind w:firstLine="600" w:firstLineChars="200"/>
        <w:rPr>
          <w:rFonts w:eastAsia="方正仿宋简体"/>
          <w:color w:val="000000"/>
          <w:sz w:val="30"/>
          <w:szCs w:val="30"/>
        </w:rPr>
      </w:pPr>
      <w:r>
        <w:rPr>
          <w:rFonts w:eastAsia="方正仿宋简体"/>
          <w:color w:val="000000"/>
          <w:sz w:val="30"/>
          <w:szCs w:val="30"/>
        </w:rPr>
        <w:t>3</w:t>
      </w:r>
      <w:r>
        <w:rPr>
          <w:rFonts w:eastAsia="方正仿宋简体"/>
          <w:color w:val="000000"/>
          <w:spacing w:val="4"/>
          <w:sz w:val="30"/>
          <w:szCs w:val="30"/>
        </w:rPr>
        <w:t>、</w:t>
      </w:r>
      <w:r>
        <w:rPr>
          <w:rFonts w:eastAsia="方正仿宋简体"/>
          <w:bCs/>
          <w:color w:val="000000"/>
          <w:spacing w:val="4"/>
          <w:sz w:val="30"/>
          <w:szCs w:val="30"/>
        </w:rPr>
        <w:t>促进科技金融紧密结合。</w:t>
      </w:r>
      <w:r>
        <w:rPr>
          <w:rFonts w:eastAsia="方正仿宋简体"/>
          <w:color w:val="000000"/>
          <w:spacing w:val="4"/>
          <w:sz w:val="30"/>
          <w:szCs w:val="30"/>
        </w:rPr>
        <w:t>引进和发展境内外各类天使投资、创业投资和产业投资，搭建科技型中小企业投融资服务平台，支持发展小额贷款、融资担保和融资租赁机构，建立科技风险补偿机制，构建从研发、中试到生产的全过程、多层次科技创新融资服务体系。为非上市公司股权交易创造良好条件，鼓励科技型中小企业上市。</w:t>
      </w:r>
    </w:p>
    <w:p>
      <w:pPr>
        <w:adjustRightInd w:val="0"/>
        <w:snapToGrid w:val="0"/>
        <w:spacing w:line="600" w:lineRule="exact"/>
        <w:ind w:firstLine="600" w:firstLineChars="200"/>
        <w:rPr>
          <w:rFonts w:eastAsia="方正仿宋简体"/>
          <w:color w:val="000000"/>
          <w:sz w:val="30"/>
          <w:szCs w:val="30"/>
        </w:rPr>
      </w:pPr>
      <w:r>
        <w:rPr>
          <w:rFonts w:eastAsia="方正仿宋简体"/>
          <w:bCs/>
          <w:color w:val="000000"/>
          <w:sz w:val="30"/>
          <w:szCs w:val="30"/>
        </w:rPr>
        <w:t>4、强化企业创新主体地位。</w:t>
      </w:r>
      <w:r>
        <w:rPr>
          <w:rFonts w:eastAsia="方正仿宋简体"/>
          <w:color w:val="000000"/>
          <w:sz w:val="30"/>
          <w:szCs w:val="30"/>
        </w:rPr>
        <w:t>落实企业研发费用加计扣除政策，扩大固定资产加速折旧实施范围，鼓励企业加大研发投入，支持企业广泛应用新技术、新工艺、新设备和新材料。支持科研机构、高等院校和本土企业共同组建创新联盟，合作开展前沿技术、关键核心技术开发和科技成果产业化。发展壮大创新型企业梯队，培育一</w:t>
      </w:r>
      <w:r>
        <w:rPr>
          <w:rFonts w:eastAsia="方正仿宋简体"/>
          <w:color w:val="000000"/>
          <w:spacing w:val="4"/>
          <w:sz w:val="30"/>
          <w:szCs w:val="30"/>
        </w:rPr>
        <w:t>批成长性好的科技型企业，使之成为推动科技创新成果转化应用</w:t>
      </w:r>
      <w:r>
        <w:rPr>
          <w:rFonts w:eastAsia="方正仿宋简体"/>
          <w:color w:val="000000"/>
          <w:sz w:val="30"/>
          <w:szCs w:val="30"/>
        </w:rPr>
        <w:t>的重要力量。到2020年，力争企业研发投入占全社会研发投入比重达75%以上。</w:t>
      </w:r>
    </w:p>
    <w:p>
      <w:pPr>
        <w:adjustRightInd w:val="0"/>
        <w:snapToGrid w:val="0"/>
        <w:spacing w:line="600" w:lineRule="exact"/>
        <w:ind w:firstLine="600" w:firstLineChars="200"/>
        <w:rPr>
          <w:rFonts w:eastAsia="方正仿宋简体"/>
          <w:bCs/>
          <w:color w:val="000000"/>
          <w:sz w:val="30"/>
          <w:szCs w:val="30"/>
        </w:rPr>
      </w:pPr>
      <w:r>
        <w:rPr>
          <w:rFonts w:eastAsia="方正仿宋简体"/>
          <w:bCs/>
          <w:color w:val="000000"/>
          <w:sz w:val="30"/>
          <w:szCs w:val="30"/>
        </w:rPr>
        <w:t>三、推动科技创新生态与市场接轨</w:t>
      </w:r>
    </w:p>
    <w:p>
      <w:pPr>
        <w:adjustRightInd w:val="0"/>
        <w:snapToGrid w:val="0"/>
        <w:spacing w:line="600" w:lineRule="exact"/>
        <w:ind w:firstLine="600" w:firstLineChars="200"/>
        <w:rPr>
          <w:rFonts w:eastAsia="方正仿宋简体"/>
          <w:color w:val="000000"/>
          <w:sz w:val="30"/>
          <w:szCs w:val="30"/>
        </w:rPr>
      </w:pPr>
      <w:r>
        <w:rPr>
          <w:rFonts w:eastAsia="方正仿宋简体"/>
          <w:color w:val="000000"/>
          <w:sz w:val="30"/>
          <w:szCs w:val="30"/>
        </w:rPr>
        <w:t>着力完善各项制度和政策安排，构建以市场为主导的科技创新生态，让机构、人才、设备、资金、项目都充分活跃起来，形成推进科技创新发展的强大合力。</w:t>
      </w:r>
    </w:p>
    <w:p>
      <w:pPr>
        <w:adjustRightInd w:val="0"/>
        <w:snapToGrid w:val="0"/>
        <w:spacing w:line="600" w:lineRule="exact"/>
        <w:ind w:firstLine="600" w:firstLineChars="200"/>
        <w:rPr>
          <w:rFonts w:eastAsia="方正仿宋简体"/>
          <w:color w:val="000000"/>
          <w:sz w:val="30"/>
          <w:szCs w:val="30"/>
        </w:rPr>
      </w:pPr>
      <w:r>
        <w:rPr>
          <w:rFonts w:eastAsia="方正仿宋简体"/>
          <w:color w:val="000000"/>
          <w:sz w:val="30"/>
          <w:szCs w:val="30"/>
        </w:rPr>
        <w:t>1、</w:t>
      </w:r>
      <w:r>
        <w:rPr>
          <w:rFonts w:eastAsia="方正仿宋简体"/>
          <w:bCs/>
          <w:color w:val="000000"/>
          <w:sz w:val="30"/>
          <w:szCs w:val="30"/>
        </w:rPr>
        <w:t>深化科技体制机制改革创新。</w:t>
      </w:r>
      <w:r>
        <w:rPr>
          <w:rFonts w:eastAsia="方正仿宋简体"/>
          <w:color w:val="000000"/>
          <w:sz w:val="30"/>
          <w:szCs w:val="30"/>
        </w:rPr>
        <w:t>实行以增加知识价值为导向的分配政策，健全科技成果处置权、收益权管理机制，赋予科研人员更大财物支配权、技术路线决策权，提高科研人员成果转化收益分享比例，进一步调动科技研发人员的积极性。拓展科研人员双向流动机制，鼓励科研人员在职离岗创业，到科技创新型企业兼职兼薪。建立财政资金竞争性安排机制，对共性技术攻关、重大创新平台、协同创新等重大创新项目建设，实行招投标、竞争性评选。</w:t>
      </w:r>
    </w:p>
    <w:p>
      <w:pPr>
        <w:adjustRightInd w:val="0"/>
        <w:snapToGrid w:val="0"/>
        <w:spacing w:line="600" w:lineRule="exact"/>
        <w:ind w:firstLine="600" w:firstLineChars="200"/>
        <w:rPr>
          <w:rFonts w:eastAsia="方正仿宋简体"/>
          <w:color w:val="000000"/>
          <w:sz w:val="30"/>
          <w:szCs w:val="30"/>
        </w:rPr>
      </w:pPr>
      <w:r>
        <w:rPr>
          <w:rFonts w:eastAsia="方正仿宋简体"/>
          <w:bCs/>
          <w:color w:val="000000"/>
          <w:sz w:val="30"/>
          <w:szCs w:val="30"/>
        </w:rPr>
        <w:t>2、实行严格的知识产权保护。</w:t>
      </w:r>
      <w:r>
        <w:rPr>
          <w:rFonts w:eastAsia="方正仿宋简体"/>
          <w:color w:val="000000"/>
          <w:sz w:val="30"/>
          <w:szCs w:val="30"/>
        </w:rPr>
        <w:t>严厉惩治知识产权侵权行为，将故意侵犯知识产权行为纳入企业和个人信用记录，对严重违法失信主体实行市场禁入制度。推进知识产权综合行政执法，积极申报国家知识产权保护和运用综合改革试验区。健全知识产权维权援助体系，加强知识产权维权援助中心建设，支持以企业为核心建立行业或区域知识产权维权联盟。深化战略性新兴产业知识产权预警分析，建立重大经济活动知识产权评议制度。</w:t>
      </w:r>
    </w:p>
    <w:p>
      <w:pPr>
        <w:adjustRightInd w:val="0"/>
        <w:snapToGrid w:val="0"/>
        <w:spacing w:line="600" w:lineRule="exact"/>
        <w:ind w:firstLine="600" w:firstLineChars="200"/>
        <w:rPr>
          <w:rFonts w:eastAsia="方正仿宋简体"/>
          <w:color w:val="000000"/>
          <w:sz w:val="30"/>
          <w:szCs w:val="30"/>
        </w:rPr>
      </w:pPr>
      <w:r>
        <w:rPr>
          <w:rFonts w:eastAsia="方正仿宋简体"/>
          <w:color w:val="000000"/>
          <w:sz w:val="30"/>
          <w:szCs w:val="30"/>
        </w:rPr>
        <w:t>3、</w:t>
      </w:r>
      <w:r>
        <w:rPr>
          <w:rFonts w:eastAsia="方正仿宋简体"/>
          <w:bCs/>
          <w:color w:val="000000"/>
          <w:spacing w:val="3"/>
          <w:sz w:val="30"/>
          <w:szCs w:val="30"/>
        </w:rPr>
        <w:t>建立健全科技基础服务体系。</w:t>
      </w:r>
      <w:r>
        <w:rPr>
          <w:rFonts w:eastAsia="方正仿宋简体"/>
          <w:color w:val="000000"/>
          <w:spacing w:val="3"/>
          <w:sz w:val="30"/>
          <w:szCs w:val="30"/>
        </w:rPr>
        <w:t>制定实施合理的奖励补助政策，支持科研院所、高等院校、企业的科研设施和仪器设备等科技</w:t>
      </w:r>
      <w:r>
        <w:rPr>
          <w:rFonts w:eastAsia="方正仿宋简体"/>
          <w:color w:val="000000"/>
          <w:sz w:val="30"/>
          <w:szCs w:val="30"/>
        </w:rPr>
        <w:t>资源向社会开放共享，构建布局合理、开放高效的科技基础平台体系及协作共用网络。积极发展信息咨询、检验检测、技术交易、融资贷款等科技服务业，为企业提供全流程、全链条的科技共性公共服务，充分利用市场力量提高科技创新资源配置效率。</w:t>
      </w:r>
    </w:p>
    <w:p>
      <w:pPr>
        <w:adjustRightInd w:val="0"/>
        <w:snapToGrid w:val="0"/>
        <w:spacing w:before="312" w:beforeLines="100" w:after="312" w:afterLines="100" w:line="600" w:lineRule="exact"/>
        <w:jc w:val="center"/>
        <w:rPr>
          <w:rFonts w:eastAsia="方正仿宋简体"/>
          <w:color w:val="000000"/>
          <w:sz w:val="30"/>
          <w:szCs w:val="30"/>
        </w:rPr>
      </w:pPr>
      <w:r>
        <w:rPr>
          <w:rFonts w:eastAsia="方正仿宋简体"/>
          <w:color w:val="000000"/>
          <w:sz w:val="30"/>
          <w:szCs w:val="30"/>
        </w:rPr>
        <w:t>第二节  推进大众创业万众创新</w:t>
      </w:r>
    </w:p>
    <w:p>
      <w:pPr>
        <w:adjustRightInd w:val="0"/>
        <w:snapToGrid w:val="0"/>
        <w:spacing w:line="600" w:lineRule="exact"/>
        <w:ind w:firstLine="600" w:firstLineChars="200"/>
        <w:rPr>
          <w:rFonts w:eastAsia="方正仿宋简体"/>
          <w:color w:val="000000"/>
          <w:sz w:val="30"/>
          <w:szCs w:val="30"/>
        </w:rPr>
      </w:pPr>
      <w:r>
        <w:rPr>
          <w:rFonts w:eastAsia="方正仿宋简体"/>
          <w:color w:val="000000"/>
          <w:sz w:val="30"/>
          <w:szCs w:val="30"/>
        </w:rPr>
        <w:t>坚持放宽政策、放开市场、放活主体，构建有利于大众创业、万众创新的政策环境、制度环境和服务环境，让大众创业、万众创新在长沙蔚然成风，将长沙打造成为全国创客最佳城市。</w:t>
      </w:r>
    </w:p>
    <w:p>
      <w:pPr>
        <w:adjustRightInd w:val="0"/>
        <w:snapToGrid w:val="0"/>
        <w:spacing w:line="600" w:lineRule="exact"/>
        <w:ind w:firstLine="600" w:firstLineChars="200"/>
        <w:rPr>
          <w:rFonts w:eastAsia="方正仿宋简体"/>
          <w:bCs/>
          <w:color w:val="000000"/>
          <w:sz w:val="30"/>
          <w:szCs w:val="30"/>
        </w:rPr>
      </w:pPr>
      <w:r>
        <w:rPr>
          <w:rFonts w:eastAsia="方正仿宋简体"/>
          <w:bCs/>
          <w:color w:val="000000"/>
          <w:sz w:val="30"/>
          <w:szCs w:val="30"/>
        </w:rPr>
        <w:t>一、推进创业创新平台建设</w:t>
      </w:r>
    </w:p>
    <w:p>
      <w:pPr>
        <w:adjustRightInd w:val="0"/>
        <w:snapToGrid w:val="0"/>
        <w:spacing w:line="600" w:lineRule="exact"/>
        <w:ind w:firstLine="600" w:firstLineChars="200"/>
        <w:rPr>
          <w:rFonts w:hint="eastAsia" w:eastAsia="方正仿宋简体"/>
          <w:color w:val="000000"/>
          <w:sz w:val="30"/>
          <w:szCs w:val="30"/>
        </w:rPr>
      </w:pPr>
      <w:r>
        <w:rPr>
          <w:rFonts w:eastAsia="方正仿宋简体"/>
          <w:color w:val="000000"/>
          <w:sz w:val="30"/>
          <w:szCs w:val="30"/>
        </w:rPr>
        <w:t>支持各类市场主体构建一批创业与创新相结合、线上与线下相结合、孵化与投资相结合的创业创新基地，为创业者提供低成本、便利化、全要素的工作空间、网络空间、社交空间和资源共享空间。支持对现有孵化载体、闲置厂房等进行改造，发展创业社区，为创业者提供价廉宜居的创业空间。依托区域良好的交通条件和生态资源，打造一批“梦想小镇”和“梦想乡村”，吸引社会各界集中进行创业、创新和创作。到2020年，力争建设100个市级以上示范性创业创新平台，面向人人的创业创新服务平台体系基本形成。</w:t>
      </w:r>
    </w:p>
    <w:p>
      <w:pPr>
        <w:adjustRightInd w:val="0"/>
        <w:snapToGrid w:val="0"/>
        <w:spacing w:line="600" w:lineRule="exact"/>
        <w:jc w:val="center"/>
        <w:rPr>
          <w:rFonts w:hint="eastAsia" w:eastAsia="方正仿宋简体"/>
          <w:color w:val="000000"/>
          <w:sz w:val="28"/>
          <w:szCs w:val="28"/>
        </w:rPr>
      </w:pPr>
      <w:r>
        <w:rPr>
          <w:rFonts w:hint="eastAsia" w:ascii="黑体" w:eastAsia="黑体"/>
          <w:color w:val="000000"/>
          <w:sz w:val="28"/>
          <w:szCs w:val="28"/>
        </w:rPr>
        <w:t>专栏4：“五众”</w:t>
      </w:r>
      <w:r>
        <w:rPr>
          <w:rStyle w:val="10"/>
          <w:rFonts w:hint="eastAsia" w:ascii="黑体" w:eastAsia="黑体"/>
          <w:color w:val="000000"/>
          <w:kern w:val="0"/>
          <w:sz w:val="28"/>
          <w:szCs w:val="28"/>
        </w:rPr>
        <w:t>平台建设工程</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955" w:hRule="atLeast"/>
          <w:jc w:val="center"/>
        </w:trPr>
        <w:tc>
          <w:tcPr>
            <w:tcW w:w="8522" w:type="dxa"/>
            <w:noWrap w:val="0"/>
            <w:vAlign w:val="center"/>
          </w:tcPr>
          <w:p>
            <w:pPr>
              <w:adjustRightInd w:val="0"/>
              <w:snapToGrid w:val="0"/>
              <w:spacing w:line="420" w:lineRule="exact"/>
              <w:ind w:firstLine="584" w:firstLineChars="200"/>
              <w:rPr>
                <w:rFonts w:eastAsia="方正仿宋简体"/>
                <w:color w:val="000000"/>
                <w:sz w:val="24"/>
                <w:szCs w:val="24"/>
              </w:rPr>
            </w:pPr>
            <w:r>
              <w:rPr>
                <w:rFonts w:eastAsia="方正仿宋简体"/>
                <w:bCs/>
                <w:color w:val="000000"/>
                <w:spacing w:val="6"/>
                <w:sz w:val="28"/>
                <w:szCs w:val="28"/>
              </w:rPr>
              <w:t>众创平台</w:t>
            </w:r>
            <w:r>
              <w:rPr>
                <w:rFonts w:eastAsia="方正仿宋简体"/>
                <w:color w:val="000000"/>
                <w:spacing w:val="6"/>
                <w:sz w:val="28"/>
                <w:szCs w:val="28"/>
              </w:rPr>
              <w:t>。发挥行业领军企业、创业投资机构等社会力量的主力军作用，探索和推广创客空间、创业咖啡、创新工场等新型孵化模式，为科技成果转化应用和企业技术成果转化提供便利条件，全市累计新增新型孵化器10家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40" w:hRule="atLeast"/>
          <w:jc w:val="center"/>
        </w:trPr>
        <w:tc>
          <w:tcPr>
            <w:tcW w:w="8522" w:type="dxa"/>
            <w:noWrap w:val="0"/>
            <w:vAlign w:val="top"/>
          </w:tcPr>
          <w:p>
            <w:pPr>
              <w:adjustRightInd w:val="0"/>
              <w:snapToGrid w:val="0"/>
              <w:spacing w:line="400" w:lineRule="exact"/>
              <w:ind w:firstLine="584" w:firstLineChars="200"/>
              <w:rPr>
                <w:rFonts w:eastAsia="方正仿宋简体"/>
                <w:color w:val="000000"/>
                <w:spacing w:val="6"/>
                <w:sz w:val="28"/>
                <w:szCs w:val="28"/>
              </w:rPr>
            </w:pPr>
            <w:r>
              <w:rPr>
                <w:rFonts w:eastAsia="方正仿宋简体"/>
                <w:color w:val="000000"/>
                <w:spacing w:val="6"/>
                <w:sz w:val="28"/>
                <w:szCs w:val="28"/>
              </w:rPr>
              <w:t>众包平台。依托服务外包示范城市、长沙“云谷”等平台，建设长沙服务众包云平台，鼓励企业与研发机构等通过网络平台将部分设计、研发任务分发和交付，促进成本降低和提质增效，推动产品技术的跨学科融合创新。</w:t>
            </w:r>
          </w:p>
          <w:p>
            <w:pPr>
              <w:adjustRightInd w:val="0"/>
              <w:snapToGrid w:val="0"/>
              <w:spacing w:line="400" w:lineRule="exact"/>
              <w:ind w:firstLine="584" w:firstLineChars="200"/>
              <w:rPr>
                <w:rFonts w:eastAsia="方正仿宋简体"/>
                <w:color w:val="000000"/>
                <w:spacing w:val="6"/>
                <w:sz w:val="28"/>
                <w:szCs w:val="28"/>
              </w:rPr>
            </w:pPr>
            <w:r>
              <w:rPr>
                <w:rFonts w:eastAsia="方正仿宋简体"/>
                <w:color w:val="000000"/>
                <w:spacing w:val="6"/>
                <w:sz w:val="28"/>
                <w:szCs w:val="28"/>
              </w:rPr>
              <w:t>众扶平台。鼓励大中型企业通过生产协作、开放平台、共享资源、开放标准等方式，带动上下游企业和创业者发展，支持开源社区、开发者社群、资源共享平台、捐赠平台、创业沙龙等各类互助平台发展。</w:t>
            </w:r>
          </w:p>
          <w:p>
            <w:pPr>
              <w:adjustRightInd w:val="0"/>
              <w:snapToGrid w:val="0"/>
              <w:spacing w:line="400" w:lineRule="exact"/>
              <w:ind w:firstLine="560" w:firstLineChars="200"/>
              <w:rPr>
                <w:rFonts w:eastAsia="方正仿宋简体"/>
                <w:color w:val="000000"/>
                <w:spacing w:val="6"/>
                <w:sz w:val="28"/>
                <w:szCs w:val="28"/>
              </w:rPr>
            </w:pPr>
            <w:r>
              <w:rPr>
                <w:rFonts w:eastAsia="方正仿宋简体"/>
                <w:bCs/>
                <w:color w:val="000000"/>
                <w:sz w:val="28"/>
                <w:szCs w:val="28"/>
              </w:rPr>
              <w:t>众筹平台。</w:t>
            </w:r>
            <w:r>
              <w:rPr>
                <w:rFonts w:eastAsia="方正仿宋简体"/>
                <w:color w:val="000000"/>
                <w:spacing w:val="6"/>
                <w:sz w:val="28"/>
                <w:szCs w:val="28"/>
              </w:rPr>
              <w:t>充分发挥股权众筹作为传统股权融资方式有益补充的作用，增强金融服务小微企业和创业创新者的能力。积极争取股权众筹融资试点，鼓励小微企业和创业者通过股权众筹融资方式募集早期股本。</w:t>
            </w:r>
          </w:p>
          <w:p>
            <w:pPr>
              <w:adjustRightInd w:val="0"/>
              <w:snapToGrid w:val="0"/>
              <w:spacing w:line="400" w:lineRule="exact"/>
              <w:ind w:firstLine="584" w:firstLineChars="200"/>
              <w:rPr>
                <w:rFonts w:eastAsia="方正仿宋简体"/>
                <w:bCs/>
                <w:color w:val="000000"/>
                <w:spacing w:val="6"/>
                <w:sz w:val="28"/>
                <w:szCs w:val="28"/>
              </w:rPr>
            </w:pPr>
            <w:r>
              <w:rPr>
                <w:rFonts w:eastAsia="方正仿宋简体"/>
                <w:color w:val="000000"/>
                <w:spacing w:val="6"/>
                <w:sz w:val="28"/>
                <w:szCs w:val="28"/>
              </w:rPr>
              <w:t>众智平台。鼓励互联网企业、行业领军企业通过网络平台向各类创业创新主体开放技术、开发、营销、推广等资源。支持互联网企业搭建开放式众智云平台，通过百科、公众号、论坛、网上社区等形式，引导有能力、有条件的个人和企业积极参与，实现知识内容的创造、更新和汇集，形成大众智慧集聚共享新模式。</w:t>
            </w:r>
          </w:p>
        </w:tc>
      </w:tr>
    </w:tbl>
    <w:p>
      <w:pPr>
        <w:adjustRightInd w:val="0"/>
        <w:snapToGrid w:val="0"/>
        <w:spacing w:line="580" w:lineRule="exact"/>
        <w:ind w:firstLine="600" w:firstLineChars="200"/>
        <w:rPr>
          <w:rFonts w:eastAsia="方正仿宋简体"/>
          <w:bCs/>
          <w:color w:val="000000"/>
          <w:sz w:val="30"/>
          <w:szCs w:val="30"/>
        </w:rPr>
      </w:pPr>
      <w:r>
        <w:rPr>
          <w:rFonts w:eastAsia="方正仿宋简体"/>
          <w:bCs/>
          <w:color w:val="000000"/>
          <w:sz w:val="30"/>
          <w:szCs w:val="30"/>
        </w:rPr>
        <w:t>二、加强创业创新主体建设</w:t>
      </w:r>
    </w:p>
    <w:p>
      <w:pPr>
        <w:adjustRightInd w:val="0"/>
        <w:snapToGrid w:val="0"/>
        <w:spacing w:line="580" w:lineRule="exact"/>
        <w:ind w:firstLine="600" w:firstLineChars="200"/>
        <w:rPr>
          <w:rFonts w:eastAsia="方正仿宋简体"/>
          <w:color w:val="000000"/>
          <w:sz w:val="30"/>
          <w:szCs w:val="30"/>
        </w:rPr>
      </w:pPr>
      <w:r>
        <w:rPr>
          <w:rFonts w:eastAsia="方正仿宋简体"/>
          <w:color w:val="000000"/>
          <w:kern w:val="0"/>
          <w:sz w:val="30"/>
          <w:szCs w:val="30"/>
          <w:lang w:bidi="ar"/>
        </w:rPr>
        <w:t>建立健全创业创新激励扶持政策，切实解决创业者的资金需求、市场信息、政策扶持、技术支撑、公共服务等瓶颈问题，</w:t>
      </w:r>
      <w:r>
        <w:rPr>
          <w:rFonts w:eastAsia="方正仿宋简体"/>
          <w:color w:val="000000"/>
          <w:sz w:val="30"/>
          <w:szCs w:val="30"/>
        </w:rPr>
        <w:t>使有梦想、有意愿、有能力的各类市场主体“如鱼得水”，将长沙打造为创业创新“乐园”。进一步降低准入门槛，对众创空间等孵化机构的办公用房、用水、用能、网络等设施费用给予适当优惠补贴，减轻创业者负担。建立创业投资引导基金，重点资助科技人员、高校毕业生、海归人士及农民工优秀创业项目，大力激发市场主体活力。“十三五”期间，力争全市新设立市场主体40万个以上。</w:t>
      </w:r>
    </w:p>
    <w:p>
      <w:pPr>
        <w:adjustRightInd w:val="0"/>
        <w:snapToGrid w:val="0"/>
        <w:spacing w:line="580" w:lineRule="exact"/>
        <w:ind w:firstLine="600" w:firstLineChars="200"/>
        <w:rPr>
          <w:rFonts w:eastAsia="方正仿宋简体"/>
          <w:bCs/>
          <w:color w:val="000000"/>
          <w:sz w:val="30"/>
          <w:szCs w:val="30"/>
        </w:rPr>
      </w:pPr>
      <w:r>
        <w:rPr>
          <w:rFonts w:eastAsia="方正仿宋简体"/>
          <w:bCs/>
          <w:color w:val="000000"/>
          <w:sz w:val="30"/>
          <w:szCs w:val="30"/>
        </w:rPr>
        <w:t>三、加强创业创新文化建设</w:t>
      </w:r>
    </w:p>
    <w:p>
      <w:pPr>
        <w:adjustRightInd w:val="0"/>
        <w:snapToGrid w:val="0"/>
        <w:spacing w:line="600" w:lineRule="exact"/>
        <w:ind w:firstLine="600" w:firstLineChars="200"/>
        <w:rPr>
          <w:rFonts w:eastAsia="方正仿宋简体"/>
          <w:color w:val="000000"/>
          <w:sz w:val="30"/>
          <w:szCs w:val="30"/>
        </w:rPr>
      </w:pPr>
      <w:r>
        <w:rPr>
          <w:rFonts w:eastAsia="方正仿宋简体"/>
          <w:color w:val="000000"/>
          <w:sz w:val="30"/>
          <w:szCs w:val="30"/>
        </w:rPr>
        <w:t>探</w:t>
      </w:r>
      <w:r>
        <w:rPr>
          <w:rFonts w:eastAsia="方正仿宋简体"/>
          <w:color w:val="000000"/>
          <w:spacing w:val="4"/>
          <w:sz w:val="30"/>
          <w:szCs w:val="30"/>
        </w:rPr>
        <w:t>索实行创业创新宽容担保机制，大力弘扬长沙“敢为人先”</w:t>
      </w:r>
      <w:r>
        <w:rPr>
          <w:rFonts w:eastAsia="方正仿宋简体"/>
          <w:color w:val="000000"/>
          <w:sz w:val="30"/>
          <w:szCs w:val="30"/>
        </w:rPr>
        <w:br w:type="page"/>
      </w:r>
      <w:r>
        <w:rPr>
          <w:rFonts w:eastAsia="方正仿宋简体"/>
          <w:color w:val="000000"/>
          <w:sz w:val="30"/>
          <w:szCs w:val="30"/>
        </w:rPr>
        <w:t>的创业创新精神和传统，在全社会努力营造人人敢于创业、人人乐于创新、人人宽容失败的浓厚氛围。积极举办或承办各类创业大赛、技术论坛、产品展示等专题活动，分享传播全球先进的信息、技术、投资和商业模式。研究设立全市“大众创业奖”，开展创业型区县（市）、街道（乡镇）、社区（村）创建活动，加大对成功创业创新者的奖励表彰力度，让创业创新者成为真正的时代英雄。</w:t>
      </w:r>
    </w:p>
    <w:p>
      <w:pPr>
        <w:adjustRightInd w:val="0"/>
        <w:snapToGrid w:val="0"/>
        <w:spacing w:before="312" w:beforeLines="100" w:after="312" w:afterLines="100" w:line="600" w:lineRule="exact"/>
        <w:jc w:val="center"/>
        <w:rPr>
          <w:rFonts w:eastAsia="方正仿宋简体"/>
          <w:color w:val="000000"/>
          <w:sz w:val="30"/>
          <w:szCs w:val="30"/>
        </w:rPr>
      </w:pPr>
      <w:r>
        <w:rPr>
          <w:rFonts w:eastAsia="方正仿宋简体"/>
          <w:color w:val="000000"/>
          <w:sz w:val="30"/>
          <w:szCs w:val="30"/>
        </w:rPr>
        <w:t>第三节  建设面向未来的智慧长沙</w:t>
      </w:r>
    </w:p>
    <w:p>
      <w:pPr>
        <w:pStyle w:val="8"/>
        <w:adjustRightInd w:val="0"/>
        <w:snapToGrid w:val="0"/>
        <w:spacing w:before="0" w:beforeAutospacing="0" w:after="0" w:afterAutospacing="0" w:line="600" w:lineRule="exact"/>
        <w:ind w:firstLine="600" w:firstLineChars="200"/>
        <w:jc w:val="both"/>
        <w:rPr>
          <w:rFonts w:eastAsia="方正仿宋简体"/>
          <w:color w:val="000000"/>
          <w:kern w:val="2"/>
          <w:sz w:val="30"/>
          <w:szCs w:val="30"/>
        </w:rPr>
      </w:pPr>
      <w:r>
        <w:rPr>
          <w:rFonts w:eastAsia="方正仿宋简体"/>
          <w:color w:val="000000"/>
          <w:kern w:val="2"/>
          <w:sz w:val="30"/>
          <w:szCs w:val="30"/>
        </w:rPr>
        <w:t>加强网络基础设施建设和信息资源开发利用，促进信息技术在国民经济和社会发展各个领域的渗透和应用，大力发展基于互联网的网络经济和分享经济，加快建设“智慧长沙”。</w:t>
      </w:r>
    </w:p>
    <w:p>
      <w:pPr>
        <w:adjustRightInd w:val="0"/>
        <w:snapToGrid w:val="0"/>
        <w:spacing w:line="600" w:lineRule="exact"/>
        <w:ind w:firstLine="600" w:firstLineChars="200"/>
        <w:rPr>
          <w:rFonts w:eastAsia="方正仿宋简体"/>
          <w:bCs/>
          <w:color w:val="000000"/>
          <w:sz w:val="30"/>
          <w:szCs w:val="30"/>
        </w:rPr>
      </w:pPr>
      <w:r>
        <w:rPr>
          <w:rFonts w:eastAsia="方正仿宋简体"/>
          <w:bCs/>
          <w:color w:val="000000"/>
          <w:sz w:val="30"/>
          <w:szCs w:val="30"/>
        </w:rPr>
        <w:t>一、建设开放型智慧城市</w:t>
      </w:r>
    </w:p>
    <w:p>
      <w:pPr>
        <w:adjustRightInd w:val="0"/>
        <w:snapToGrid w:val="0"/>
        <w:spacing w:line="600" w:lineRule="exact"/>
        <w:ind w:firstLine="600" w:firstLineChars="200"/>
        <w:rPr>
          <w:rFonts w:eastAsia="方正仿宋简体"/>
          <w:color w:val="000000"/>
          <w:sz w:val="30"/>
          <w:szCs w:val="30"/>
          <w:lang w:bidi="ar"/>
        </w:rPr>
      </w:pPr>
      <w:r>
        <w:rPr>
          <w:rFonts w:eastAsia="方正仿宋简体"/>
          <w:color w:val="000000"/>
          <w:sz w:val="30"/>
          <w:szCs w:val="30"/>
          <w:lang w:bidi="ar"/>
        </w:rPr>
        <w:t>促进信息技术与城市发展全面融合，推动城市建设管理向数字化、网络化和智能化发展，构建面向未来的新型城市形态。</w:t>
      </w:r>
    </w:p>
    <w:p>
      <w:pPr>
        <w:adjustRightInd w:val="0"/>
        <w:snapToGrid w:val="0"/>
        <w:spacing w:line="600" w:lineRule="exact"/>
        <w:ind w:firstLine="600" w:firstLineChars="200"/>
        <w:rPr>
          <w:rFonts w:eastAsia="方正仿宋简体"/>
          <w:color w:val="000000"/>
          <w:sz w:val="30"/>
          <w:szCs w:val="30"/>
        </w:rPr>
      </w:pPr>
      <w:r>
        <w:rPr>
          <w:rFonts w:eastAsia="方正仿宋简体"/>
          <w:color w:val="000000"/>
          <w:sz w:val="30"/>
          <w:szCs w:val="30"/>
          <w:lang w:bidi="ar"/>
        </w:rPr>
        <w:t>1、</w:t>
      </w:r>
      <w:r>
        <w:rPr>
          <w:rFonts w:eastAsia="方正仿宋简体"/>
          <w:bCs/>
          <w:color w:val="000000"/>
          <w:spacing w:val="-2"/>
          <w:sz w:val="30"/>
          <w:szCs w:val="30"/>
        </w:rPr>
        <w:t>推进信息基础设施建设。</w:t>
      </w:r>
      <w:r>
        <w:rPr>
          <w:rFonts w:eastAsia="方正仿宋简体"/>
          <w:color w:val="000000"/>
          <w:spacing w:val="-2"/>
          <w:sz w:val="30"/>
          <w:szCs w:val="30"/>
        </w:rPr>
        <w:t>按照资源共享、规范管理、适度超前原则，</w:t>
      </w:r>
      <w:r>
        <w:rPr>
          <w:rFonts w:eastAsia="方正仿宋简体"/>
          <w:color w:val="000000"/>
          <w:spacing w:val="-4"/>
          <w:sz w:val="30"/>
          <w:szCs w:val="30"/>
        </w:rPr>
        <w:t>加快构建高速、移动、安全、泛在的新一代信息基础设施体系。推进宽带城市建设，加快宽带网络升级改造</w:t>
      </w:r>
      <w:r>
        <w:rPr>
          <w:rFonts w:eastAsia="方正仿宋简体"/>
          <w:color w:val="000000"/>
          <w:spacing w:val="-2"/>
          <w:sz w:val="30"/>
          <w:szCs w:val="30"/>
        </w:rPr>
        <w:t>步伐，实现光纤到户全覆盖。推进无线城市建设，加快构建以移动通信网络和无线</w:t>
      </w:r>
      <w:r>
        <w:rPr>
          <w:rFonts w:eastAsia="方正仿宋简体"/>
          <w:color w:val="000000"/>
          <w:spacing w:val="-4"/>
          <w:sz w:val="30"/>
          <w:szCs w:val="30"/>
        </w:rPr>
        <w:t>局域网络（WLAN）为主体的无线宽带网络，到2020年，实现全市</w:t>
      </w:r>
      <w:r>
        <w:rPr>
          <w:rFonts w:eastAsia="方正仿宋简体"/>
          <w:color w:val="000000"/>
          <w:spacing w:val="-2"/>
          <w:sz w:val="30"/>
          <w:szCs w:val="30"/>
        </w:rPr>
        <w:t>主</w:t>
      </w:r>
      <w:r>
        <w:rPr>
          <w:rFonts w:eastAsia="方正仿宋简体"/>
          <w:color w:val="000000"/>
          <w:spacing w:val="-4"/>
          <w:sz w:val="30"/>
          <w:szCs w:val="30"/>
        </w:rPr>
        <w:t>城区、县城及重点中心镇重要公共区域公益性WLAN全覆盖。推进下一代</w:t>
      </w:r>
      <w:r>
        <w:rPr>
          <w:rFonts w:eastAsia="方正仿宋简体"/>
          <w:color w:val="000000"/>
          <w:spacing w:val="-2"/>
          <w:sz w:val="30"/>
          <w:szCs w:val="30"/>
        </w:rPr>
        <w:t>互联网建设，到2020年，实现主干网、接入网、互联网数据中心</w:t>
      </w:r>
      <w:r>
        <w:rPr>
          <w:rFonts w:eastAsia="方正仿宋简体"/>
          <w:color w:val="000000"/>
          <w:spacing w:val="-4"/>
          <w:sz w:val="30"/>
          <w:szCs w:val="30"/>
        </w:rPr>
        <w:t>（IDC）</w:t>
      </w:r>
      <w:r>
        <w:rPr>
          <w:rFonts w:eastAsia="方正仿宋简体"/>
          <w:color w:val="000000"/>
          <w:spacing w:val="14"/>
          <w:sz w:val="30"/>
          <w:szCs w:val="30"/>
        </w:rPr>
        <w:t>等设施的主要设备全面支持互联网协议第六版（IPv6）。推进</w:t>
      </w:r>
      <w:r>
        <w:rPr>
          <w:rFonts w:eastAsia="方正仿宋简体"/>
          <w:color w:val="000000"/>
          <w:sz w:val="30"/>
          <w:szCs w:val="30"/>
        </w:rPr>
        <w:t>“三网融合”，加快有线电视网络数字化和双向化改造。</w:t>
      </w:r>
    </w:p>
    <w:p>
      <w:pPr>
        <w:adjustRightInd w:val="0"/>
        <w:snapToGrid w:val="0"/>
        <w:spacing w:line="600" w:lineRule="exact"/>
        <w:ind w:firstLine="600" w:firstLineChars="200"/>
        <w:rPr>
          <w:rFonts w:eastAsia="方正仿宋简体"/>
          <w:color w:val="000000"/>
          <w:sz w:val="30"/>
          <w:szCs w:val="30"/>
        </w:rPr>
      </w:pPr>
      <w:r>
        <w:rPr>
          <w:rFonts w:eastAsia="方正仿宋简体"/>
          <w:bCs/>
          <w:color w:val="000000"/>
          <w:sz w:val="30"/>
          <w:szCs w:val="30"/>
        </w:rPr>
        <w:t>2、提升城市综合管理信息化水平。</w:t>
      </w:r>
      <w:r>
        <w:rPr>
          <w:rFonts w:eastAsia="方正仿宋简体"/>
          <w:color w:val="000000"/>
          <w:sz w:val="30"/>
          <w:szCs w:val="30"/>
        </w:rPr>
        <w:t>推动信息技术在城市规划、建设和管理领域的深度应用，以互联网、物联网、有线和无线宽带网等网络组合为基础，建立统一的城市综合信息管理平台，将政务管理、交通设施、能源供应、电信通讯、医疗卫生、教育文化、环境保护、公共安全等基础设施及公共服务联系起来，对城市运行核心系统的各项关键信息进行实时、动态的综合管理与分析，全面支撑长沙城市功能提升和安全运行。落实信息安全等级保护制度，强化网络与信息安全应急处置工作。</w:t>
      </w:r>
    </w:p>
    <w:p>
      <w:pPr>
        <w:adjustRightInd w:val="0"/>
        <w:snapToGrid w:val="0"/>
        <w:spacing w:line="600" w:lineRule="exact"/>
        <w:ind w:firstLine="600" w:firstLineChars="200"/>
        <w:rPr>
          <w:rFonts w:hint="eastAsia" w:eastAsia="方正仿宋简体"/>
          <w:color w:val="000000"/>
          <w:sz w:val="30"/>
          <w:szCs w:val="30"/>
        </w:rPr>
      </w:pPr>
      <w:r>
        <w:rPr>
          <w:rFonts w:eastAsia="方正仿宋简体"/>
          <w:color w:val="000000"/>
          <w:sz w:val="30"/>
          <w:szCs w:val="30"/>
        </w:rPr>
        <w:t>3、</w:t>
      </w:r>
      <w:r>
        <w:rPr>
          <w:rFonts w:eastAsia="方正仿宋简体"/>
          <w:bCs/>
          <w:color w:val="000000"/>
          <w:sz w:val="30"/>
          <w:szCs w:val="30"/>
        </w:rPr>
        <w:t>实施智慧城市示范工程。</w:t>
      </w:r>
      <w:r>
        <w:rPr>
          <w:rFonts w:eastAsia="方正仿宋简体"/>
          <w:color w:val="000000"/>
          <w:sz w:val="30"/>
          <w:szCs w:val="30"/>
        </w:rPr>
        <w:t>按照基础网络领先、智慧应用普及、智慧产业集聚、信息安全可控的总体要求，围绕广大市民最关心、最受益的信息化领域，推进智慧社区、智慧村庄、智慧商圈、智慧园区、智慧新城等重大示范工程建设，使之成为智慧城市建设新标杆。</w:t>
      </w:r>
    </w:p>
    <w:p>
      <w:pPr>
        <w:pStyle w:val="4"/>
        <w:adjustRightInd w:val="0"/>
        <w:snapToGrid w:val="0"/>
        <w:spacing w:line="600" w:lineRule="exact"/>
        <w:ind w:firstLine="0"/>
        <w:jc w:val="center"/>
        <w:rPr>
          <w:rFonts w:hint="eastAsia" w:ascii="黑体" w:eastAsia="黑体"/>
          <w:color w:val="000000"/>
          <w:szCs w:val="28"/>
        </w:rPr>
      </w:pPr>
      <w:r>
        <w:rPr>
          <w:rFonts w:hint="eastAsia" w:ascii="黑体" w:eastAsia="黑体"/>
          <w:color w:val="000000"/>
          <w:szCs w:val="28"/>
        </w:rPr>
        <w:t>专栏5：智慧城市示范工程</w:t>
      </w:r>
    </w:p>
    <w:tbl>
      <w:tblPr>
        <w:tblStyle w:val="15"/>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52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230" w:hRule="atLeast"/>
          <w:jc w:val="center"/>
        </w:trPr>
        <w:tc>
          <w:tcPr>
            <w:tcW w:w="8522" w:type="dxa"/>
            <w:noWrap w:val="0"/>
            <w:vAlign w:val="center"/>
          </w:tcPr>
          <w:p>
            <w:pPr>
              <w:adjustRightInd w:val="0"/>
              <w:snapToGrid w:val="0"/>
              <w:spacing w:line="480" w:lineRule="exact"/>
              <w:ind w:firstLine="560" w:firstLineChars="200"/>
              <w:rPr>
                <w:rFonts w:eastAsia="方正仿宋简体"/>
                <w:color w:val="000000"/>
                <w:sz w:val="28"/>
                <w:szCs w:val="28"/>
              </w:rPr>
            </w:pPr>
            <w:r>
              <w:rPr>
                <w:rFonts w:eastAsia="方正仿宋简体"/>
                <w:bCs/>
                <w:color w:val="000000"/>
                <w:sz w:val="28"/>
                <w:szCs w:val="28"/>
              </w:rPr>
              <w:t>智慧社区。</w:t>
            </w:r>
            <w:r>
              <w:rPr>
                <w:rFonts w:eastAsia="方正仿宋简体"/>
                <w:color w:val="000000"/>
                <w:sz w:val="28"/>
                <w:szCs w:val="28"/>
              </w:rPr>
              <w:t>通过建设ICT（信息和通信技术）基础设施、认证、安全等平台和示范工程，构建城区（社区）发展的智慧环境和面向未来的社区形态，形成基于海量信息和智能过滤处理的生产生活方式和社会管理模式，为市民提供社会保障、社区养老、医疗健康、交通出行、气象信息、文化娱乐、公用事业、智能安防等服务。</w:t>
            </w:r>
          </w:p>
          <w:p>
            <w:pPr>
              <w:adjustRightInd w:val="0"/>
              <w:snapToGrid w:val="0"/>
              <w:spacing w:line="480" w:lineRule="exact"/>
              <w:ind w:firstLine="560" w:firstLineChars="200"/>
              <w:rPr>
                <w:rFonts w:eastAsia="方正仿宋简体"/>
                <w:color w:val="000000"/>
                <w:sz w:val="28"/>
                <w:szCs w:val="28"/>
              </w:rPr>
            </w:pPr>
            <w:r>
              <w:rPr>
                <w:rFonts w:eastAsia="方正仿宋简体"/>
                <w:bCs/>
                <w:color w:val="000000"/>
                <w:sz w:val="28"/>
                <w:szCs w:val="28"/>
              </w:rPr>
              <w:t>智慧村庄。</w:t>
            </w:r>
            <w:r>
              <w:rPr>
                <w:rFonts w:eastAsia="方正仿宋简体"/>
                <w:color w:val="000000"/>
                <w:sz w:val="28"/>
                <w:szCs w:val="28"/>
              </w:rPr>
              <w:t>推进“宽带乡村”建设，实现农村家庭宽带网络接入全覆盖，基本实现4G网络覆盖。重点发展智能农业、智能农村电网、智能农村交通和智能农村家居。加强文化、教育、旅游信息资源和服务向农村推送。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135" w:hRule="atLeast"/>
          <w:jc w:val="center"/>
        </w:trPr>
        <w:tc>
          <w:tcPr>
            <w:tcW w:w="8522" w:type="dxa"/>
            <w:noWrap w:val="0"/>
            <w:vAlign w:val="center"/>
          </w:tcPr>
          <w:p>
            <w:pPr>
              <w:adjustRightInd w:val="0"/>
              <w:snapToGrid w:val="0"/>
              <w:spacing w:line="440" w:lineRule="exact"/>
              <w:ind w:firstLine="560" w:firstLineChars="200"/>
              <w:rPr>
                <w:rFonts w:eastAsia="方正仿宋简体"/>
                <w:color w:val="000000"/>
                <w:sz w:val="28"/>
                <w:szCs w:val="28"/>
              </w:rPr>
            </w:pPr>
            <w:r>
              <w:rPr>
                <w:rFonts w:eastAsia="方正仿宋简体"/>
                <w:bCs/>
                <w:color w:val="000000"/>
                <w:sz w:val="28"/>
                <w:szCs w:val="28"/>
              </w:rPr>
              <w:t>智慧商圈。</w:t>
            </w:r>
            <w:r>
              <w:rPr>
                <w:rFonts w:eastAsia="方正仿宋简体"/>
                <w:color w:val="000000"/>
                <w:sz w:val="28"/>
                <w:szCs w:val="28"/>
              </w:rPr>
              <w:t>推动五一商圈、芙蓉商圈、东塘商圈等重点商圈宽带和无线网络覆盖，鼓励商家提供免费无线网络接入服务。推动停车诱导、购物导航、移动支付、基于位置信息服务等在商圈中的应用，提升商圈信息化管理和服务水平。</w:t>
            </w:r>
          </w:p>
          <w:p>
            <w:pPr>
              <w:adjustRightInd w:val="0"/>
              <w:snapToGrid w:val="0"/>
              <w:spacing w:line="440" w:lineRule="exact"/>
              <w:ind w:firstLine="560" w:firstLineChars="200"/>
              <w:rPr>
                <w:rFonts w:eastAsia="方正仿宋简体"/>
                <w:color w:val="000000"/>
                <w:sz w:val="28"/>
                <w:szCs w:val="28"/>
              </w:rPr>
            </w:pPr>
            <w:r>
              <w:rPr>
                <w:rFonts w:eastAsia="方正仿宋简体"/>
                <w:bCs/>
                <w:color w:val="000000"/>
                <w:sz w:val="28"/>
                <w:szCs w:val="28"/>
              </w:rPr>
              <w:t>智慧园区。</w:t>
            </w:r>
            <w:r>
              <w:rPr>
                <w:rFonts w:eastAsia="方正仿宋简体"/>
                <w:color w:val="000000"/>
                <w:sz w:val="28"/>
                <w:szCs w:val="28"/>
              </w:rPr>
              <w:t>推动国家级园区和省级园区信息基础设施集约建设，实现重点园区固定宽带网络、移动通信网络和WLAN等的优化覆盖。鼓励园区管理服务精细化，以办公、招商、物业等为核心，推动形成基于互联网的“一站式”园区公共管理服务体系。</w:t>
            </w:r>
          </w:p>
          <w:p>
            <w:pPr>
              <w:adjustRightInd w:val="0"/>
              <w:snapToGrid w:val="0"/>
              <w:spacing w:line="440" w:lineRule="exact"/>
              <w:ind w:firstLine="560" w:firstLineChars="200"/>
              <w:rPr>
                <w:rFonts w:eastAsia="方正仿宋简体"/>
                <w:bCs/>
                <w:color w:val="000000"/>
                <w:sz w:val="28"/>
                <w:szCs w:val="28"/>
              </w:rPr>
            </w:pPr>
            <w:r>
              <w:rPr>
                <w:rFonts w:eastAsia="方正仿宋简体"/>
                <w:bCs/>
                <w:color w:val="000000"/>
                <w:sz w:val="28"/>
                <w:szCs w:val="28"/>
              </w:rPr>
              <w:t>智慧新城</w:t>
            </w:r>
            <w:r>
              <w:rPr>
                <w:rFonts w:eastAsia="方正仿宋简体"/>
                <w:color w:val="000000"/>
                <w:sz w:val="28"/>
                <w:szCs w:val="28"/>
              </w:rPr>
              <w:t>。以高铁新城、梅溪湖国际新城、滨江商务新城、洋湖生态新城、金鹰文化新城、星沙城区、望城滨水新城、宁乡沩东新城等为重点，打造若干智慧新城，引领未来城市发展方向。</w:t>
            </w:r>
          </w:p>
        </w:tc>
      </w:tr>
    </w:tbl>
    <w:p>
      <w:pPr>
        <w:adjustRightInd w:val="0"/>
        <w:snapToGrid w:val="0"/>
        <w:spacing w:line="300" w:lineRule="exact"/>
        <w:ind w:firstLine="600" w:firstLineChars="200"/>
        <w:rPr>
          <w:rFonts w:hint="eastAsia" w:eastAsia="方正仿宋简体"/>
          <w:bCs/>
          <w:color w:val="000000"/>
          <w:sz w:val="30"/>
          <w:szCs w:val="30"/>
        </w:rPr>
      </w:pPr>
    </w:p>
    <w:p>
      <w:pPr>
        <w:adjustRightInd w:val="0"/>
        <w:snapToGrid w:val="0"/>
        <w:spacing w:line="600" w:lineRule="exact"/>
        <w:ind w:firstLine="600" w:firstLineChars="200"/>
        <w:rPr>
          <w:rFonts w:eastAsia="方正仿宋简体"/>
          <w:bCs/>
          <w:color w:val="000000"/>
          <w:sz w:val="30"/>
          <w:szCs w:val="30"/>
        </w:rPr>
      </w:pPr>
      <w:r>
        <w:rPr>
          <w:rFonts w:eastAsia="方正仿宋简体"/>
          <w:bCs/>
          <w:color w:val="000000"/>
          <w:sz w:val="30"/>
          <w:szCs w:val="30"/>
        </w:rPr>
        <w:t>二、营造共享型智慧生活</w:t>
      </w:r>
    </w:p>
    <w:p>
      <w:pPr>
        <w:adjustRightInd w:val="0"/>
        <w:snapToGrid w:val="0"/>
        <w:spacing w:line="600" w:lineRule="exact"/>
        <w:ind w:firstLine="600" w:firstLineChars="200"/>
        <w:rPr>
          <w:rFonts w:eastAsia="方正仿宋简体"/>
          <w:color w:val="000000"/>
          <w:sz w:val="30"/>
          <w:szCs w:val="30"/>
        </w:rPr>
      </w:pPr>
      <w:r>
        <w:rPr>
          <w:rFonts w:eastAsia="方正仿宋简体"/>
          <w:color w:val="000000"/>
          <w:sz w:val="30"/>
          <w:szCs w:val="30"/>
        </w:rPr>
        <w:t>推进信息技术和信息网络在公共服务领域的应用普及，促进公共服务的多方协同合作、资源共享和制度对接，创造更加优质高效和普惠公平的新型智慧生活模式。</w:t>
      </w:r>
    </w:p>
    <w:p>
      <w:pPr>
        <w:adjustRightInd w:val="0"/>
        <w:snapToGrid w:val="0"/>
        <w:spacing w:line="600" w:lineRule="exact"/>
        <w:ind w:firstLine="600" w:firstLineChars="200"/>
        <w:rPr>
          <w:rFonts w:eastAsia="方正仿宋简体"/>
          <w:color w:val="000000"/>
          <w:sz w:val="30"/>
          <w:szCs w:val="30"/>
        </w:rPr>
      </w:pPr>
      <w:r>
        <w:rPr>
          <w:rFonts w:eastAsia="方正仿宋简体"/>
          <w:bCs/>
          <w:color w:val="000000"/>
          <w:sz w:val="30"/>
          <w:szCs w:val="30"/>
        </w:rPr>
        <w:t>1、发展智慧交通。</w:t>
      </w:r>
      <w:r>
        <w:rPr>
          <w:rFonts w:eastAsia="方正仿宋简体"/>
          <w:color w:val="000000"/>
          <w:sz w:val="30"/>
          <w:szCs w:val="30"/>
        </w:rPr>
        <w:t>构建智能交通管理系统，实现全市路况实时监控、动态管理和充分共享。加强交通数据采集处理和分析应用，开展实时交通出行分析，为优化交通规划提供智能化分析决策支撑。推广不停车电子收费（ETC）、公交一卡通和电子客票，提升交通支付智能化水平。到2020年，实现对全市70%交通基础设施的智能感知覆盖。</w:t>
      </w:r>
    </w:p>
    <w:p>
      <w:pPr>
        <w:adjustRightInd w:val="0"/>
        <w:snapToGrid w:val="0"/>
        <w:spacing w:line="600" w:lineRule="exact"/>
        <w:ind w:firstLine="600" w:firstLineChars="200"/>
        <w:rPr>
          <w:rFonts w:eastAsia="方正仿宋简体"/>
          <w:color w:val="000000"/>
          <w:sz w:val="30"/>
          <w:szCs w:val="30"/>
        </w:rPr>
      </w:pPr>
      <w:r>
        <w:rPr>
          <w:rFonts w:eastAsia="方正仿宋简体"/>
          <w:bCs/>
          <w:color w:val="000000"/>
          <w:sz w:val="30"/>
          <w:szCs w:val="30"/>
        </w:rPr>
        <w:t>2、发展智慧医疗。</w:t>
      </w:r>
      <w:r>
        <w:rPr>
          <w:rFonts w:eastAsia="方正仿宋简体"/>
          <w:color w:val="000000"/>
          <w:sz w:val="30"/>
          <w:szCs w:val="30"/>
        </w:rPr>
        <w:t>构建全市医疗卫生大数据平台，推动医疗卫生资源在市级医院、县（市、区）级医院、基层医疗服务机构、零</w:t>
      </w:r>
      <w:r>
        <w:rPr>
          <w:rFonts w:eastAsia="方正仿宋简体"/>
          <w:color w:val="000000"/>
          <w:spacing w:val="4"/>
          <w:sz w:val="30"/>
          <w:szCs w:val="30"/>
        </w:rPr>
        <w:t>售药店的共建共享。推进市民电子健康档案信息化，促进医疗健</w:t>
      </w:r>
      <w:r>
        <w:rPr>
          <w:rFonts w:eastAsia="方正仿宋简体"/>
          <w:color w:val="000000"/>
          <w:sz w:val="30"/>
          <w:szCs w:val="30"/>
        </w:rPr>
        <w:t>康信息在不同医疗机构之间、医疗机构和市民之间、医疗机构和零售药店之间的互联互通。积极探索拓展互联网在线诊断、延伸医嘱、电子处方等网络医疗健康服务，让更多市民享有更加优质的医疗健康服务。</w:t>
      </w:r>
    </w:p>
    <w:p>
      <w:pPr>
        <w:adjustRightInd w:val="0"/>
        <w:snapToGrid w:val="0"/>
        <w:spacing w:line="600" w:lineRule="exact"/>
        <w:ind w:firstLine="600" w:firstLineChars="200"/>
        <w:rPr>
          <w:rFonts w:eastAsia="方正仿宋简体"/>
          <w:color w:val="000000"/>
          <w:sz w:val="30"/>
          <w:szCs w:val="30"/>
        </w:rPr>
      </w:pPr>
      <w:r>
        <w:rPr>
          <w:rFonts w:eastAsia="方正仿宋简体"/>
          <w:color w:val="000000"/>
          <w:sz w:val="30"/>
          <w:szCs w:val="30"/>
        </w:rPr>
        <w:t>3、</w:t>
      </w:r>
      <w:r>
        <w:rPr>
          <w:rFonts w:eastAsia="方正仿宋简体"/>
          <w:bCs/>
          <w:color w:val="000000"/>
          <w:sz w:val="30"/>
          <w:szCs w:val="30"/>
        </w:rPr>
        <w:t>发展智慧教育。</w:t>
      </w:r>
      <w:r>
        <w:rPr>
          <w:rFonts w:eastAsia="方正仿宋简体"/>
          <w:color w:val="000000"/>
          <w:sz w:val="30"/>
          <w:szCs w:val="30"/>
        </w:rPr>
        <w:t>建设长沙教育云服务平台，升级教育“三通两平台”，建设一批数字化示范校园，加强优质网络教育资源的共建共享，实现农村教学点专递课堂全覆盖。</w:t>
      </w:r>
      <w:bookmarkStart w:id="0" w:name="_Toc298083925"/>
      <w:bookmarkStart w:id="1" w:name="_Toc298147432"/>
      <w:bookmarkStart w:id="2" w:name="_Toc298084559"/>
      <w:bookmarkStart w:id="3" w:name="_Toc298080513"/>
      <w:r>
        <w:rPr>
          <w:rFonts w:eastAsia="方正仿宋简体"/>
          <w:color w:val="000000"/>
          <w:sz w:val="30"/>
          <w:szCs w:val="30"/>
        </w:rPr>
        <w:t>推进智慧教学，促进信息技术与教育教学深度融合</w:t>
      </w:r>
      <w:bookmarkEnd w:id="0"/>
      <w:bookmarkEnd w:id="1"/>
      <w:bookmarkEnd w:id="2"/>
      <w:bookmarkEnd w:id="3"/>
      <w:r>
        <w:rPr>
          <w:rFonts w:eastAsia="方正仿宋简体"/>
          <w:color w:val="000000"/>
          <w:sz w:val="30"/>
          <w:szCs w:val="30"/>
        </w:rPr>
        <w:t>，数字服务与全民学习有效对接。推进智慧管理，建设教育管理信息化体系，实现对教育质量、招生考试、学生流动、资源配置和毕业生就业等状况的有效监管。</w:t>
      </w:r>
    </w:p>
    <w:p>
      <w:pPr>
        <w:adjustRightInd w:val="0"/>
        <w:snapToGrid w:val="0"/>
        <w:spacing w:line="600" w:lineRule="exact"/>
        <w:ind w:firstLine="600" w:firstLineChars="200"/>
        <w:rPr>
          <w:rFonts w:eastAsia="方正仿宋简体"/>
          <w:color w:val="000000"/>
          <w:sz w:val="30"/>
          <w:szCs w:val="30"/>
        </w:rPr>
      </w:pPr>
      <w:r>
        <w:rPr>
          <w:rFonts w:eastAsia="方正仿宋简体"/>
          <w:color w:val="000000"/>
          <w:sz w:val="30"/>
          <w:szCs w:val="30"/>
        </w:rPr>
        <w:t>4、</w:t>
      </w:r>
      <w:r>
        <w:rPr>
          <w:rFonts w:eastAsia="方正仿宋简体"/>
          <w:bCs/>
          <w:color w:val="000000"/>
          <w:sz w:val="30"/>
          <w:szCs w:val="30"/>
        </w:rPr>
        <w:t>发展智慧旅游。</w:t>
      </w:r>
      <w:r>
        <w:rPr>
          <w:rFonts w:eastAsia="方正仿宋简体"/>
          <w:color w:val="000000"/>
          <w:sz w:val="30"/>
          <w:szCs w:val="30"/>
        </w:rPr>
        <w:t>加快建设智慧旅游城市、智慧旅游乡村、智慧旅游景区、智慧旅游企业，构建全市智慧旅游公共服务网络平台。发展在线度假租赁、旅游网络购物、在线旅游租车等互联网旅游新业态，开展旅游宣传推广、智能导游、电子讲解、在线预订、旅游信息推送等服务。</w:t>
      </w:r>
    </w:p>
    <w:p>
      <w:pPr>
        <w:adjustRightInd w:val="0"/>
        <w:snapToGrid w:val="0"/>
        <w:spacing w:line="600" w:lineRule="exact"/>
        <w:ind w:firstLine="600" w:firstLineChars="200"/>
        <w:rPr>
          <w:rFonts w:eastAsia="方正仿宋简体"/>
          <w:color w:val="000000"/>
          <w:sz w:val="30"/>
          <w:szCs w:val="30"/>
        </w:rPr>
      </w:pPr>
      <w:r>
        <w:rPr>
          <w:rFonts w:eastAsia="方正仿宋简体"/>
          <w:color w:val="000000"/>
          <w:sz w:val="30"/>
          <w:szCs w:val="30"/>
        </w:rPr>
        <w:t>5、</w:t>
      </w:r>
      <w:r>
        <w:rPr>
          <w:rFonts w:eastAsia="方正仿宋简体"/>
          <w:bCs/>
          <w:color w:val="000000"/>
          <w:sz w:val="30"/>
          <w:szCs w:val="30"/>
        </w:rPr>
        <w:t>发展智慧政务。</w:t>
      </w:r>
      <w:r>
        <w:rPr>
          <w:rFonts w:eastAsia="方正仿宋简体"/>
          <w:color w:val="000000"/>
          <w:sz w:val="30"/>
          <w:szCs w:val="30"/>
        </w:rPr>
        <w:t>实施“1131”电子政务工程，即建设一张电子</w:t>
      </w:r>
      <w:r>
        <w:rPr>
          <w:rFonts w:eastAsia="方正仿宋简体"/>
          <w:color w:val="000000"/>
          <w:spacing w:val="4"/>
          <w:sz w:val="30"/>
          <w:szCs w:val="30"/>
        </w:rPr>
        <w:t>政务内外网，一个“政务云”资源中心，三个基础支撑平台（政务信息数据服务平台、安全支撑平台、移动电子政务平台），一批公共数据库，构建科学高效的电子政务网络体系。推广基于移动互联网入口的城市服务，开展网上社保办理等互联网应用，让老百姓足不出户享受便捷高效的政府服务。到2020年，全市所有服</w:t>
      </w:r>
      <w:r>
        <w:rPr>
          <w:rFonts w:eastAsia="方正仿宋简体"/>
          <w:color w:val="000000"/>
          <w:spacing w:val="2"/>
          <w:sz w:val="30"/>
          <w:szCs w:val="30"/>
        </w:rPr>
        <w:t>务事项均可实现网上查询并接受电子监察，服务事项网上办理率</w:t>
      </w:r>
      <w:r>
        <w:rPr>
          <w:rFonts w:eastAsia="方正仿宋简体"/>
          <w:color w:val="000000"/>
          <w:spacing w:val="4"/>
          <w:sz w:val="30"/>
          <w:szCs w:val="30"/>
        </w:rPr>
        <w:t>达</w:t>
      </w:r>
      <w:r>
        <w:rPr>
          <w:rFonts w:eastAsia="方正仿宋简体"/>
          <w:color w:val="000000"/>
          <w:sz w:val="30"/>
          <w:szCs w:val="30"/>
        </w:rPr>
        <w:t>到90%以上。</w:t>
      </w:r>
    </w:p>
    <w:p>
      <w:pPr>
        <w:adjustRightInd w:val="0"/>
        <w:snapToGrid w:val="0"/>
        <w:spacing w:line="600" w:lineRule="exact"/>
        <w:ind w:firstLine="600" w:firstLineChars="200"/>
        <w:rPr>
          <w:rFonts w:eastAsia="方正仿宋简体"/>
          <w:bCs/>
          <w:color w:val="000000"/>
          <w:sz w:val="30"/>
          <w:szCs w:val="30"/>
        </w:rPr>
      </w:pPr>
      <w:r>
        <w:rPr>
          <w:rFonts w:eastAsia="方正仿宋简体"/>
          <w:bCs/>
          <w:color w:val="000000"/>
          <w:sz w:val="30"/>
          <w:szCs w:val="30"/>
        </w:rPr>
        <w:t>三、发展网络型智慧经济</w:t>
      </w:r>
    </w:p>
    <w:p>
      <w:pPr>
        <w:adjustRightInd w:val="0"/>
        <w:snapToGrid w:val="0"/>
        <w:spacing w:line="600" w:lineRule="exact"/>
        <w:ind w:firstLine="600" w:firstLineChars="200"/>
        <w:rPr>
          <w:rFonts w:eastAsia="方正仿宋简体"/>
          <w:color w:val="000000"/>
          <w:sz w:val="30"/>
          <w:szCs w:val="30"/>
        </w:rPr>
      </w:pPr>
      <w:r>
        <w:rPr>
          <w:rFonts w:eastAsia="方正仿宋简体"/>
          <w:color w:val="000000"/>
          <w:sz w:val="30"/>
          <w:szCs w:val="30"/>
        </w:rPr>
        <w:t>以广泛应用信息技术、加快培育发展分享经济为战略重点，全力推动信息化与三次产业深度融合，拓展经济增长新空间。</w:t>
      </w:r>
    </w:p>
    <w:p>
      <w:pPr>
        <w:adjustRightInd w:val="0"/>
        <w:snapToGrid w:val="0"/>
        <w:spacing w:line="600" w:lineRule="exact"/>
        <w:ind w:firstLine="600" w:firstLineChars="200"/>
        <w:rPr>
          <w:rFonts w:eastAsia="方正仿宋简体"/>
          <w:color w:val="000000"/>
          <w:sz w:val="30"/>
          <w:szCs w:val="30"/>
        </w:rPr>
      </w:pPr>
      <w:r>
        <w:rPr>
          <w:rFonts w:eastAsia="方正仿宋简体"/>
          <w:bCs/>
          <w:color w:val="000000"/>
          <w:sz w:val="30"/>
          <w:szCs w:val="30"/>
        </w:rPr>
        <w:t>1、发展互联网+服务经济。</w:t>
      </w:r>
      <w:r>
        <w:rPr>
          <w:rFonts w:eastAsia="方正仿宋简体"/>
          <w:color w:val="000000"/>
          <w:sz w:val="30"/>
          <w:szCs w:val="30"/>
        </w:rPr>
        <w:t>依托互联网积极推动传统消费模式和商业模式变革，全面提升服务经济能级。发展体验经济，支持实体零售商综合利用网上商店、移动支付、智能试衣等新技术，打造体验式零售购物模式。发展互联网物流服务，推进制造业物流、农村物流、城市配送、冷链物流和国际物流等智能化。发展互联网金融服务，推动互联网+普惠金融发展。</w:t>
      </w:r>
    </w:p>
    <w:p>
      <w:pPr>
        <w:adjustRightInd w:val="0"/>
        <w:snapToGrid w:val="0"/>
        <w:spacing w:line="600" w:lineRule="exact"/>
        <w:ind w:firstLine="600" w:firstLineChars="200"/>
        <w:rPr>
          <w:rFonts w:eastAsia="方正仿宋简体"/>
          <w:bCs/>
          <w:color w:val="000000"/>
          <w:sz w:val="30"/>
          <w:szCs w:val="30"/>
        </w:rPr>
      </w:pPr>
      <w:r>
        <w:rPr>
          <w:rFonts w:eastAsia="方正仿宋简体"/>
          <w:bCs/>
          <w:color w:val="000000"/>
          <w:sz w:val="30"/>
          <w:szCs w:val="30"/>
        </w:rPr>
        <w:t>2、发展互联网+工业经济。</w:t>
      </w:r>
      <w:r>
        <w:rPr>
          <w:rFonts w:eastAsia="方正仿宋简体"/>
          <w:color w:val="000000"/>
          <w:sz w:val="30"/>
          <w:szCs w:val="30"/>
        </w:rPr>
        <w:t>在工程机械、汽车、医疗设备等装备制造领域，开展在线检测、实时监控、在线维护、位置服务等新业态应用示范和推广，实现向服务型制造转型升级。在食品、药品等领域开展智能检测、全产业链追溯等工业互联网新模式。鼓励发展基于互联网的众包设计、柔性制造、个性化定制、智慧物流等新型制造模式。到2020年，建设50家以上智能制造示范工厂。</w:t>
      </w:r>
    </w:p>
    <w:p>
      <w:pPr>
        <w:adjustRightInd w:val="0"/>
        <w:snapToGrid w:val="0"/>
        <w:spacing w:line="600" w:lineRule="exact"/>
        <w:ind w:firstLine="600" w:firstLineChars="200"/>
        <w:rPr>
          <w:rFonts w:eastAsia="方正仿宋简体"/>
          <w:color w:val="000000"/>
          <w:spacing w:val="2"/>
          <w:sz w:val="30"/>
          <w:szCs w:val="30"/>
        </w:rPr>
      </w:pPr>
      <w:r>
        <w:rPr>
          <w:rFonts w:eastAsia="方正仿宋简体"/>
          <w:bCs/>
          <w:color w:val="000000"/>
          <w:sz w:val="30"/>
          <w:szCs w:val="30"/>
        </w:rPr>
        <w:t>3、</w:t>
      </w:r>
      <w:r>
        <w:rPr>
          <w:rFonts w:eastAsia="方正仿宋简体"/>
          <w:bCs/>
          <w:color w:val="000000"/>
          <w:spacing w:val="4"/>
          <w:sz w:val="30"/>
          <w:szCs w:val="30"/>
        </w:rPr>
        <w:t>发展互联网+农业经济。</w:t>
      </w:r>
      <w:r>
        <w:rPr>
          <w:rFonts w:eastAsia="方正仿宋简体"/>
          <w:color w:val="000000"/>
          <w:spacing w:val="4"/>
          <w:sz w:val="30"/>
          <w:szCs w:val="30"/>
        </w:rPr>
        <w:t>推进农业生产智能化，加快智能传感器、卫星导航、地理空间系统等技术应用，增强对农业生产环境的精确监测能力。研发制造智能农业机械，发展自动灌溉、自动施肥、自动喷药等智能农业生产模式。加快建设网上农产品交易平台，发展生鲜速递、特产专卖等农产品定制开发和互联网直销运营模式。</w:t>
      </w:r>
    </w:p>
    <w:p>
      <w:pPr>
        <w:adjustRightInd w:val="0"/>
        <w:snapToGrid w:val="0"/>
        <w:spacing w:line="600" w:lineRule="exact"/>
        <w:ind w:firstLine="600" w:firstLineChars="200"/>
        <w:rPr>
          <w:rFonts w:eastAsia="方正仿宋简体"/>
          <w:color w:val="000000"/>
          <w:sz w:val="30"/>
          <w:szCs w:val="30"/>
        </w:rPr>
      </w:pPr>
      <w:r>
        <w:rPr>
          <w:rFonts w:eastAsia="方正仿宋简体"/>
          <w:bCs/>
          <w:color w:val="000000"/>
          <w:sz w:val="30"/>
          <w:szCs w:val="30"/>
        </w:rPr>
        <w:t>4、发展大数据经济。</w:t>
      </w:r>
      <w:r>
        <w:rPr>
          <w:rFonts w:eastAsia="方正仿宋简体"/>
          <w:color w:val="000000"/>
          <w:sz w:val="30"/>
          <w:szCs w:val="30"/>
        </w:rPr>
        <w:t>围绕打造全国重要的大数据经济集聚区的总体目标，推进大数据基地建设，依托超级计算长沙中心，引进建设一批大数据研发实验室、工程（技术）中心、应用中心和交易市场，构建立足中南、辐射全国的数据资源中心、数据加工中心和数据服务中心。推进大数据应用，构建长沙云体系，逐步推动信用、交通、医疗、社保、公共安全等与民生保障服务相关领域的大数据应用向商业应用转变。推进大数据产业发展，加快推进互联网大数据科技产业园、中部中国联通IDC中心、长沙中兴软创、证通电子等数据产业园建设，促进大数据业态快速形成。</w:t>
      </w:r>
    </w:p>
    <w:p>
      <w:pPr>
        <w:pStyle w:val="8"/>
        <w:adjustRightInd w:val="0"/>
        <w:snapToGrid w:val="0"/>
        <w:spacing w:before="312" w:beforeLines="100" w:beforeAutospacing="0" w:after="312" w:afterLines="100" w:afterAutospacing="0" w:line="600" w:lineRule="exact"/>
        <w:jc w:val="center"/>
        <w:rPr>
          <w:rFonts w:eastAsia="方正仿宋简体"/>
          <w:color w:val="000000"/>
          <w:sz w:val="30"/>
          <w:szCs w:val="30"/>
        </w:rPr>
      </w:pPr>
      <w:r>
        <w:rPr>
          <w:rFonts w:eastAsia="方正仿宋简体"/>
          <w:color w:val="000000"/>
          <w:sz w:val="30"/>
          <w:szCs w:val="30"/>
        </w:rPr>
        <w:t>第四节  构建有利于创新发展的制度优势</w:t>
      </w:r>
    </w:p>
    <w:p>
      <w:pPr>
        <w:adjustRightInd w:val="0"/>
        <w:snapToGrid w:val="0"/>
        <w:spacing w:line="600" w:lineRule="exact"/>
        <w:ind w:firstLine="600" w:firstLineChars="200"/>
        <w:rPr>
          <w:rFonts w:eastAsia="方正仿宋简体"/>
          <w:color w:val="000000"/>
          <w:sz w:val="30"/>
          <w:szCs w:val="30"/>
        </w:rPr>
      </w:pPr>
      <w:r>
        <w:rPr>
          <w:rFonts w:eastAsia="方正仿宋简体"/>
          <w:color w:val="000000"/>
          <w:sz w:val="30"/>
          <w:szCs w:val="30"/>
        </w:rPr>
        <w:t>充分发挥市场在资源配置中的决定性作用，更好发挥政府作用，在适度扩大总需求的同时，着力加强供给侧结构性改革，为推动转型创新发展提供良好的体制机制保障。</w:t>
      </w:r>
    </w:p>
    <w:p>
      <w:pPr>
        <w:adjustRightInd w:val="0"/>
        <w:snapToGrid w:val="0"/>
        <w:spacing w:line="600" w:lineRule="exact"/>
        <w:ind w:firstLine="600" w:firstLineChars="200"/>
        <w:rPr>
          <w:rFonts w:eastAsia="方正仿宋简体"/>
          <w:bCs/>
          <w:color w:val="000000"/>
          <w:sz w:val="30"/>
          <w:szCs w:val="30"/>
        </w:rPr>
      </w:pPr>
      <w:r>
        <w:rPr>
          <w:rFonts w:eastAsia="方正仿宋简体"/>
          <w:bCs/>
          <w:color w:val="000000"/>
          <w:sz w:val="30"/>
          <w:szCs w:val="30"/>
        </w:rPr>
        <w:t>一、构建竞争有序的现代市场机制</w:t>
      </w:r>
    </w:p>
    <w:p>
      <w:pPr>
        <w:adjustRightInd w:val="0"/>
        <w:snapToGrid w:val="0"/>
        <w:spacing w:line="600" w:lineRule="exact"/>
        <w:ind w:firstLine="600" w:firstLineChars="200"/>
        <w:rPr>
          <w:rFonts w:eastAsia="方正仿宋简体"/>
          <w:color w:val="000000"/>
          <w:sz w:val="30"/>
          <w:szCs w:val="30"/>
        </w:rPr>
      </w:pPr>
      <w:r>
        <w:rPr>
          <w:rFonts w:eastAsia="方正仿宋简体"/>
          <w:color w:val="000000"/>
          <w:sz w:val="30"/>
          <w:szCs w:val="30"/>
        </w:rPr>
        <w:t>以减少生产要素供给抑制、提高生产要素供给效率、降低生产要素供给成本为中心，营造竞争有序的现代市场体系，全面激活微观主体创新创业创造潜能。</w:t>
      </w:r>
    </w:p>
    <w:p>
      <w:pPr>
        <w:adjustRightInd w:val="0"/>
        <w:snapToGrid w:val="0"/>
        <w:spacing w:line="600" w:lineRule="exact"/>
        <w:ind w:firstLine="600" w:firstLineChars="200"/>
        <w:rPr>
          <w:rFonts w:eastAsia="方正仿宋简体"/>
          <w:color w:val="000000"/>
          <w:sz w:val="30"/>
          <w:szCs w:val="30"/>
        </w:rPr>
      </w:pPr>
      <w:r>
        <w:rPr>
          <w:rFonts w:eastAsia="方正仿宋简体"/>
          <w:color w:val="000000"/>
          <w:sz w:val="30"/>
          <w:szCs w:val="30"/>
        </w:rPr>
        <w:t>1、</w:t>
      </w:r>
      <w:r>
        <w:rPr>
          <w:rFonts w:eastAsia="方正仿宋简体"/>
          <w:bCs/>
          <w:color w:val="000000"/>
          <w:sz w:val="30"/>
          <w:szCs w:val="30"/>
        </w:rPr>
        <w:t>深化国资国企改革。</w:t>
      </w:r>
      <w:r>
        <w:rPr>
          <w:rFonts w:eastAsia="方正仿宋简体"/>
          <w:color w:val="000000"/>
          <w:sz w:val="30"/>
          <w:szCs w:val="30"/>
        </w:rPr>
        <w:t>加快国有资本向重要行业、关键领域、优势企业和企业主业集中，完成党政机关、事业单位与所办企业脱钩移交工作。推进国有企业市场化经营机制建设。建立国有企业职业经理人制度。推动国有企业公司制和股份制改革。强化国有企业</w:t>
      </w:r>
      <w:r>
        <w:rPr>
          <w:rFonts w:eastAsia="方正仿宋简体"/>
          <w:color w:val="000000"/>
          <w:spacing w:val="2"/>
          <w:sz w:val="30"/>
          <w:szCs w:val="30"/>
        </w:rPr>
        <w:t>经营投资责任追究，理顺国资监管体制机制，建立集中统一、全面覆盖、权责明确、规范高效的国有资产监管制度体系。到2020年，基本完成全市国有资本战略性调整和改组，市属国有企业整合为20家以下大型企业集团，控股10家以上上市公司，国有资本经营收益划转公共财政预算比例达到30%。鼓励民营企业依法进入更多领域，引入非国有资本参与国有企业改革，促进多种所有制经济共同发展。</w:t>
      </w:r>
    </w:p>
    <w:p>
      <w:pPr>
        <w:adjustRightInd w:val="0"/>
        <w:snapToGrid w:val="0"/>
        <w:spacing w:line="600" w:lineRule="exact"/>
        <w:ind w:firstLine="600" w:firstLineChars="200"/>
        <w:rPr>
          <w:rFonts w:eastAsia="方正仿宋简体"/>
          <w:color w:val="000000"/>
          <w:sz w:val="30"/>
          <w:szCs w:val="30"/>
        </w:rPr>
      </w:pPr>
      <w:r>
        <w:rPr>
          <w:rFonts w:eastAsia="方正仿宋简体"/>
          <w:bCs/>
          <w:color w:val="000000"/>
          <w:sz w:val="30"/>
          <w:szCs w:val="30"/>
        </w:rPr>
        <w:t>2、深化财税金融体制改革。</w:t>
      </w:r>
      <w:r>
        <w:rPr>
          <w:rFonts w:eastAsia="方正仿宋简体"/>
          <w:color w:val="000000"/>
          <w:sz w:val="30"/>
          <w:szCs w:val="30"/>
        </w:rPr>
        <w:t>稳妥推进财税体制改革，实行规范透明的预算管理制度，科学制定地方权限内的税收制度和政策，构建与基本公共服务均等化相适应的公共财政体系，建立事权与支出相适应的财政制度。推广政府购买公共服务模式，加快教育、文化、医疗卫生、社会福利等领域引入社会资本的步伐。推进投融资体制改革，拓宽重大项目建设及公共服务领域融资渠道。围绕服务实体经济推进金融体制改革，积极发展中小型金融机构，建立多元化、多层次的资本市场体系，全面提升金融输血和造血功能。</w:t>
      </w:r>
    </w:p>
    <w:p>
      <w:pPr>
        <w:adjustRightInd w:val="0"/>
        <w:snapToGrid w:val="0"/>
        <w:spacing w:line="600" w:lineRule="exact"/>
        <w:ind w:firstLine="600" w:firstLineChars="200"/>
        <w:rPr>
          <w:rFonts w:eastAsia="方正仿宋简体"/>
          <w:color w:val="000000"/>
          <w:sz w:val="30"/>
          <w:szCs w:val="30"/>
        </w:rPr>
      </w:pPr>
      <w:r>
        <w:rPr>
          <w:rFonts w:eastAsia="方正仿宋简体"/>
          <w:color w:val="000000"/>
          <w:sz w:val="30"/>
          <w:szCs w:val="30"/>
        </w:rPr>
        <w:t>3、</w:t>
      </w:r>
      <w:r>
        <w:rPr>
          <w:rFonts w:eastAsia="方正仿宋简体"/>
          <w:bCs/>
          <w:color w:val="000000"/>
          <w:sz w:val="30"/>
          <w:szCs w:val="30"/>
        </w:rPr>
        <w:t>深化要素市场改革。</w:t>
      </w:r>
      <w:r>
        <w:rPr>
          <w:rFonts w:eastAsia="方正仿宋简体"/>
          <w:color w:val="000000"/>
          <w:sz w:val="30"/>
          <w:szCs w:val="30"/>
        </w:rPr>
        <w:t>推进城乡一体、统一规范、上下贯通、便捷高效的人力资源市场公共服务体系建设，破除人力资源市场的</w:t>
      </w:r>
      <w:r>
        <w:rPr>
          <w:rFonts w:eastAsia="方正仿宋简体"/>
          <w:color w:val="000000"/>
          <w:spacing w:val="3"/>
          <w:sz w:val="30"/>
          <w:szCs w:val="30"/>
        </w:rPr>
        <w:t>城乡、地区、行业分割和身份歧视。推进土地制度改革，稳定农村土地承包关系，完善土地所有权、承包权、经营权分置办法，依法</w:t>
      </w:r>
      <w:r>
        <w:rPr>
          <w:rFonts w:eastAsia="方正仿宋简体"/>
          <w:color w:val="000000"/>
          <w:spacing w:val="4"/>
          <w:sz w:val="30"/>
          <w:szCs w:val="30"/>
        </w:rPr>
        <w:t>推进农村土地承包经营权有序流转，加快建设城乡统一的建设用地市场。加快发展技术市场，健全知识产权运用体系和技术转移</w:t>
      </w:r>
      <w:r>
        <w:rPr>
          <w:rFonts w:eastAsia="方正仿宋简体"/>
          <w:color w:val="000000"/>
          <w:sz w:val="30"/>
          <w:szCs w:val="30"/>
        </w:rPr>
        <w:t>机制。严格限定政府定价范围，深化资源型产品价格改革，着力解决教育、医疗、住房等民生价格问题。推进不动产登记制度改革，建立健全现代产权制度，切实保护市场主体合法权益。</w:t>
      </w:r>
    </w:p>
    <w:p>
      <w:pPr>
        <w:adjustRightInd w:val="0"/>
        <w:snapToGrid w:val="0"/>
        <w:spacing w:line="600" w:lineRule="exact"/>
        <w:ind w:firstLine="600" w:firstLineChars="200"/>
        <w:rPr>
          <w:rFonts w:eastAsia="方正仿宋简体"/>
          <w:color w:val="000000"/>
          <w:sz w:val="30"/>
          <w:szCs w:val="30"/>
        </w:rPr>
      </w:pPr>
      <w:r>
        <w:rPr>
          <w:rFonts w:eastAsia="方正仿宋简体"/>
          <w:color w:val="000000"/>
          <w:sz w:val="30"/>
          <w:szCs w:val="30"/>
        </w:rPr>
        <w:t>4、</w:t>
      </w:r>
      <w:r>
        <w:rPr>
          <w:rFonts w:eastAsia="方正仿宋简体"/>
          <w:bCs/>
          <w:color w:val="000000"/>
          <w:sz w:val="30"/>
          <w:szCs w:val="30"/>
        </w:rPr>
        <w:t>实施市场负面清单管理制度。</w:t>
      </w:r>
      <w:r>
        <w:rPr>
          <w:rFonts w:eastAsia="方正仿宋简体"/>
          <w:color w:val="000000"/>
          <w:sz w:val="30"/>
          <w:szCs w:val="30"/>
        </w:rPr>
        <w:t>根据国家统一部署，实施市场负面清单制度，对市场准入负面清单以外的行业、领域、业务等，各类市场主体皆可依法平等进入。探索实行外商投资市场准入前国民待遇加负面清单制度，提升外资引进和管理服务水平，创造资本洼地效应。加强市场监管，建立安全审查监管追责机制，形成政府监管、企业自治、行业自律、社会监督的新格局。</w:t>
      </w:r>
    </w:p>
    <w:p>
      <w:pPr>
        <w:adjustRightInd w:val="0"/>
        <w:snapToGrid w:val="0"/>
        <w:spacing w:line="600" w:lineRule="exact"/>
        <w:ind w:firstLine="600" w:firstLineChars="200"/>
        <w:rPr>
          <w:rFonts w:eastAsia="方正仿宋简体"/>
          <w:color w:val="000000"/>
          <w:sz w:val="30"/>
          <w:szCs w:val="30"/>
        </w:rPr>
      </w:pPr>
      <w:r>
        <w:rPr>
          <w:rFonts w:eastAsia="方正仿宋简体"/>
          <w:color w:val="000000"/>
          <w:sz w:val="30"/>
          <w:szCs w:val="30"/>
        </w:rPr>
        <w:t>5、</w:t>
      </w:r>
      <w:r>
        <w:rPr>
          <w:rFonts w:eastAsia="方正仿宋简体"/>
          <w:bCs/>
          <w:color w:val="000000"/>
          <w:sz w:val="30"/>
          <w:szCs w:val="30"/>
        </w:rPr>
        <w:t>加强社会信用体系建设。</w:t>
      </w:r>
      <w:r>
        <w:rPr>
          <w:rFonts w:eastAsia="方正仿宋简体"/>
          <w:color w:val="000000"/>
          <w:sz w:val="30"/>
          <w:szCs w:val="30"/>
        </w:rPr>
        <w:t>建设全市统一的信用信息共享交换平台，实现全市各行业、各领域信用信息系统的互联互通和信用信息的共享交换。重点推进政务诚信、商务诚信、社会诚信、食品诚信和司法公信建设，建立健全守信激励和失信联合惩戒机制，大力弘扬诚信文化，努力强化诚信意识，在全社会广泛形成守信光荣、失信可耻的浓厚氛围。</w:t>
      </w:r>
    </w:p>
    <w:p>
      <w:pPr>
        <w:adjustRightInd w:val="0"/>
        <w:snapToGrid w:val="0"/>
        <w:spacing w:line="600" w:lineRule="exact"/>
        <w:ind w:firstLine="600" w:firstLineChars="200"/>
        <w:rPr>
          <w:rFonts w:eastAsia="方正仿宋简体"/>
          <w:bCs/>
          <w:color w:val="000000"/>
          <w:sz w:val="30"/>
          <w:szCs w:val="30"/>
        </w:rPr>
      </w:pPr>
      <w:r>
        <w:rPr>
          <w:rFonts w:eastAsia="方正仿宋简体"/>
          <w:bCs/>
          <w:color w:val="000000"/>
          <w:sz w:val="30"/>
          <w:szCs w:val="30"/>
        </w:rPr>
        <w:t>二、构建优质高效的公共服务供给机制</w:t>
      </w:r>
    </w:p>
    <w:p>
      <w:pPr>
        <w:adjustRightInd w:val="0"/>
        <w:snapToGrid w:val="0"/>
        <w:spacing w:line="600" w:lineRule="exact"/>
        <w:ind w:firstLine="600" w:firstLineChars="200"/>
        <w:rPr>
          <w:rFonts w:eastAsia="方正仿宋简体"/>
          <w:color w:val="000000"/>
          <w:sz w:val="30"/>
          <w:szCs w:val="30"/>
        </w:rPr>
      </w:pPr>
      <w:r>
        <w:rPr>
          <w:rFonts w:eastAsia="方正仿宋简体"/>
          <w:color w:val="000000"/>
          <w:sz w:val="30"/>
          <w:szCs w:val="30"/>
        </w:rPr>
        <w:t>深入推进社会公共领域的体制机制改革，广泛凝聚社会力量和社会资源，推动公共服务供给主体和供给方式多元化。</w:t>
      </w:r>
    </w:p>
    <w:p>
      <w:pPr>
        <w:adjustRightInd w:val="0"/>
        <w:snapToGrid w:val="0"/>
        <w:spacing w:line="600" w:lineRule="exact"/>
        <w:ind w:firstLine="640"/>
        <w:rPr>
          <w:rFonts w:eastAsia="方正仿宋简体"/>
          <w:color w:val="000000"/>
          <w:sz w:val="30"/>
          <w:szCs w:val="30"/>
        </w:rPr>
      </w:pPr>
      <w:r>
        <w:rPr>
          <w:rFonts w:eastAsia="方正仿宋简体"/>
          <w:bCs/>
          <w:color w:val="000000"/>
          <w:spacing w:val="2"/>
          <w:sz w:val="30"/>
          <w:szCs w:val="30"/>
        </w:rPr>
        <w:t>1、深化教育综合配套改革。</w:t>
      </w:r>
      <w:r>
        <w:rPr>
          <w:rFonts w:eastAsia="方正仿宋简体"/>
          <w:color w:val="000000"/>
          <w:spacing w:val="2"/>
          <w:sz w:val="30"/>
          <w:szCs w:val="30"/>
        </w:rPr>
        <w:t>全面推进依法治教，推进管办评分离，建立现代学校制度，构建和完善现代教育治理体系。深化办</w:t>
      </w:r>
      <w:r>
        <w:rPr>
          <w:rFonts w:eastAsia="方正仿宋简体"/>
          <w:color w:val="000000"/>
          <w:spacing w:val="4"/>
          <w:sz w:val="30"/>
          <w:szCs w:val="30"/>
        </w:rPr>
        <w:t>学体制改革，深入推进基础教育集团办学，实现优质资源共建共</w:t>
      </w:r>
      <w:r>
        <w:rPr>
          <w:rFonts w:eastAsia="方正仿宋简体"/>
          <w:color w:val="000000"/>
          <w:spacing w:val="2"/>
          <w:sz w:val="30"/>
          <w:szCs w:val="30"/>
        </w:rPr>
        <w:t>享；探索实施民办学校分类管理，支持和规范民办教育发展。深化考试招生制度改革，完善义务教育划片招生和中考中招录取政</w:t>
      </w:r>
      <w:r>
        <w:rPr>
          <w:rFonts w:eastAsia="方正仿宋简体"/>
          <w:color w:val="000000"/>
          <w:spacing w:val="4"/>
          <w:sz w:val="30"/>
          <w:szCs w:val="30"/>
        </w:rPr>
        <w:t>策，</w:t>
      </w:r>
      <w:r>
        <w:rPr>
          <w:rFonts w:eastAsia="方正仿宋简体"/>
          <w:color w:val="000000"/>
          <w:sz w:val="30"/>
          <w:szCs w:val="30"/>
        </w:rPr>
        <w:t>实行“阳光招生”，推进入学机会均等和义务教育相对就近入学。深化教育人事制度改革，探索实施义务教育学校教师“县管校聘”和中小学校长职级制，建立校长教师轮岗交流制度，建立科学合理的中小学教师职称制度。深化教育质量综合评价改革，完善促进学校发展、教师进步、学生成长的发展性评价体系，建立教育现代化、教育均衡及教育质量监测保障体系，全面提高教育教学质量。深入推进教育对外开放，加强国际、区域教育合作交流，扩大教育开放度和国际影响力。</w:t>
      </w:r>
      <w:r>
        <w:rPr>
          <w:rFonts w:eastAsia="方正仿宋简体"/>
          <w:color w:val="000000"/>
          <w:sz w:val="30"/>
          <w:szCs w:val="30"/>
        </w:rPr>
        <w:tab/>
      </w:r>
    </w:p>
    <w:p>
      <w:pPr>
        <w:adjustRightInd w:val="0"/>
        <w:snapToGrid w:val="0"/>
        <w:spacing w:line="600" w:lineRule="exact"/>
        <w:ind w:firstLine="600" w:firstLineChars="200"/>
        <w:rPr>
          <w:rFonts w:eastAsia="方正仿宋简体"/>
          <w:bCs/>
          <w:color w:val="000000"/>
          <w:sz w:val="30"/>
          <w:szCs w:val="30"/>
        </w:rPr>
      </w:pPr>
      <w:r>
        <w:rPr>
          <w:rFonts w:eastAsia="方正仿宋简体"/>
          <w:bCs/>
          <w:color w:val="000000"/>
          <w:sz w:val="30"/>
          <w:szCs w:val="30"/>
        </w:rPr>
        <w:t>2、深化医药卫生体制改革。</w:t>
      </w:r>
      <w:r>
        <w:rPr>
          <w:rFonts w:eastAsia="方正仿宋简体"/>
          <w:color w:val="000000"/>
          <w:sz w:val="30"/>
          <w:szCs w:val="30"/>
        </w:rPr>
        <w:t>进一步完善医药卫生管理、运行、投入、价格政策，协同推进公共卫生、医疗服务、医疗保障、药品供应、监管体制综合改革，稳妥推进公立医院改革，支持社会力量举办非营利性医疗机构，实现医疗、医药、医保联动，推动医疗卫生重心下移和资源下沉。到2020年，建立全面覆盖城乡居民的基本医疗卫生制度，逐步实现每个家庭拥有1名合格的家庭医生、每个居民拥有1份动态管理的电子健康档案和1张服务功能完善的健康卡。</w:t>
      </w:r>
    </w:p>
    <w:p>
      <w:pPr>
        <w:adjustRightInd w:val="0"/>
        <w:snapToGrid w:val="0"/>
        <w:spacing w:line="600" w:lineRule="exact"/>
        <w:ind w:firstLine="600" w:firstLineChars="200"/>
        <w:rPr>
          <w:rFonts w:eastAsia="方正仿宋简体"/>
          <w:color w:val="000000"/>
          <w:sz w:val="30"/>
          <w:szCs w:val="30"/>
        </w:rPr>
      </w:pPr>
      <w:r>
        <w:rPr>
          <w:rFonts w:eastAsia="方正仿宋简体"/>
          <w:bCs/>
          <w:color w:val="000000"/>
          <w:sz w:val="30"/>
          <w:szCs w:val="30"/>
        </w:rPr>
        <w:t>3、深化文化体制改革</w:t>
      </w:r>
      <w:r>
        <w:rPr>
          <w:rFonts w:eastAsia="方正仿宋简体"/>
          <w:color w:val="000000"/>
          <w:sz w:val="30"/>
          <w:szCs w:val="30"/>
        </w:rPr>
        <w:t>。进一步降低文化企业准入门槛，鼓励社会力量、社会资本参与公共文化服务体系建设，推动文化事业由办文化向管文化转变。继续推进国有经营性文化单位转企改制，支持民营文化企业以控股形式参与国有影视制作机构、文艺院团改制经营。推动文化企业跨地区、跨行业、跨所有制兼并重组，提高文化产业规模化、集约化、专业化水平。</w:t>
      </w:r>
    </w:p>
    <w:p>
      <w:pPr>
        <w:adjustRightInd w:val="0"/>
        <w:snapToGrid w:val="0"/>
        <w:spacing w:line="600" w:lineRule="exact"/>
        <w:ind w:firstLine="600" w:firstLineChars="200"/>
        <w:rPr>
          <w:rFonts w:eastAsia="方正仿宋简体"/>
          <w:bCs/>
          <w:color w:val="000000"/>
          <w:sz w:val="30"/>
          <w:szCs w:val="30"/>
        </w:rPr>
      </w:pPr>
      <w:r>
        <w:rPr>
          <w:rFonts w:eastAsia="方正仿宋简体"/>
          <w:bCs/>
          <w:color w:val="000000"/>
          <w:sz w:val="30"/>
          <w:szCs w:val="30"/>
        </w:rPr>
        <w:t>三、构建廉洁高效的政务运行机制</w:t>
      </w:r>
    </w:p>
    <w:p>
      <w:pPr>
        <w:adjustRightInd w:val="0"/>
        <w:snapToGrid w:val="0"/>
        <w:spacing w:line="600" w:lineRule="exact"/>
        <w:ind w:firstLine="600" w:firstLineChars="200"/>
        <w:rPr>
          <w:rFonts w:eastAsia="方正仿宋简体"/>
          <w:color w:val="000000"/>
          <w:sz w:val="30"/>
          <w:szCs w:val="30"/>
        </w:rPr>
      </w:pPr>
      <w:r>
        <w:rPr>
          <w:rFonts w:eastAsia="方正仿宋简体"/>
          <w:color w:val="000000"/>
          <w:sz w:val="30"/>
          <w:szCs w:val="30"/>
        </w:rPr>
        <w:t>协同推进简政放权、放管结合、优化服务，把长沙建设成为全国行政服务最优、行政效能最高、行政收费最少的城市之一。</w:t>
      </w:r>
    </w:p>
    <w:p>
      <w:pPr>
        <w:adjustRightInd w:val="0"/>
        <w:snapToGrid w:val="0"/>
        <w:spacing w:line="600" w:lineRule="exact"/>
        <w:ind w:firstLine="600" w:firstLineChars="200"/>
        <w:rPr>
          <w:rFonts w:eastAsia="方正仿宋简体"/>
          <w:color w:val="000000"/>
          <w:sz w:val="30"/>
          <w:szCs w:val="30"/>
        </w:rPr>
      </w:pPr>
      <w:r>
        <w:rPr>
          <w:rFonts w:eastAsia="方正仿宋简体"/>
          <w:bCs/>
          <w:color w:val="000000"/>
          <w:sz w:val="30"/>
          <w:szCs w:val="30"/>
        </w:rPr>
        <w:t>1、切实转变政府职能。</w:t>
      </w:r>
      <w:r>
        <w:rPr>
          <w:rFonts w:eastAsia="方正仿宋简体"/>
          <w:color w:val="000000"/>
          <w:sz w:val="30"/>
          <w:szCs w:val="30"/>
        </w:rPr>
        <w:t>进一步推进政企分开、政事分开、政资分开、政社分开，把市场能够解决的问题全部交给市场，把社会可以自我管理的事情交给社会，把企业的投资决策权真正交给企业，把政府职能切实转到市场监管、社会治理和公共服务上来。深化行政审批制度改革，建立“统一规范、并联运行，信息共享、高效便捷，阳光操作、全程监督”的网上联合审批监管平台，到2020年，实现所有审批“一网告知、一网受理、一网办结、一网监管”。</w:t>
      </w:r>
    </w:p>
    <w:p>
      <w:pPr>
        <w:adjustRightInd w:val="0"/>
        <w:snapToGrid w:val="0"/>
        <w:spacing w:line="600" w:lineRule="exact"/>
        <w:ind w:firstLine="600" w:firstLineChars="200"/>
        <w:rPr>
          <w:rFonts w:eastAsia="方正仿宋简体"/>
          <w:color w:val="000000"/>
          <w:sz w:val="30"/>
          <w:szCs w:val="30"/>
        </w:rPr>
      </w:pPr>
      <w:r>
        <w:rPr>
          <w:rFonts w:eastAsia="方正仿宋简体"/>
          <w:bCs/>
          <w:color w:val="000000"/>
          <w:sz w:val="30"/>
          <w:szCs w:val="30"/>
        </w:rPr>
        <w:t>2、创新行政管理体制。</w:t>
      </w:r>
      <w:r>
        <w:rPr>
          <w:rFonts w:eastAsia="方正仿宋简体"/>
          <w:color w:val="000000"/>
          <w:sz w:val="30"/>
          <w:szCs w:val="30"/>
        </w:rPr>
        <w:t>深入推进扩权强县、扩权强园和扩权强镇等改革事项，进一步优化行政组织结构，推动行政扁平化、大部制发展。根据经济社会发展的需要，适时对行政区划进行微调，加快宁乡撤县设市，推进长沙县撤县设区，深化乡镇村区划调整，为促进生产力合理布局提供优质平台支撑。</w:t>
      </w:r>
    </w:p>
    <w:p>
      <w:pPr>
        <w:adjustRightInd w:val="0"/>
        <w:snapToGrid w:val="0"/>
        <w:spacing w:line="600" w:lineRule="exact"/>
        <w:ind w:firstLine="600" w:firstLineChars="200"/>
        <w:rPr>
          <w:rFonts w:eastAsia="方正仿宋简体"/>
          <w:color w:val="000000"/>
          <w:sz w:val="30"/>
          <w:szCs w:val="30"/>
        </w:rPr>
      </w:pPr>
      <w:r>
        <w:rPr>
          <w:rFonts w:eastAsia="方正仿宋简体"/>
          <w:bCs/>
          <w:color w:val="000000"/>
          <w:sz w:val="30"/>
          <w:szCs w:val="30"/>
        </w:rPr>
        <w:t>3、优化行政运行机制。</w:t>
      </w:r>
      <w:r>
        <w:rPr>
          <w:rFonts w:eastAsia="方正仿宋简体"/>
          <w:color w:val="000000"/>
          <w:sz w:val="30"/>
          <w:szCs w:val="30"/>
        </w:rPr>
        <w:t>实行重大行政决策听证制度、专家咨询和公众公示制度，建立健全科学民主决策机制。建立全面科学的政绩考核指标体系，更加注重自主创新、公共服务、资源环境、法治建设等领域的考核。强化行政问责制，完善行政权力运行的监督制约机制。推广引入第三方力量政策评估监督模式，提高政府公信力。</w:t>
      </w:r>
    </w:p>
    <w:p>
      <w:pPr>
        <w:adjustRightInd w:val="0"/>
        <w:snapToGrid w:val="0"/>
        <w:spacing w:line="600" w:lineRule="exact"/>
        <w:jc w:val="center"/>
        <w:rPr>
          <w:rFonts w:hint="eastAsia" w:ascii="方正小标宋简体" w:eastAsia="方正小标宋简体"/>
          <w:color w:val="000000"/>
          <w:w w:val="85"/>
          <w:sz w:val="44"/>
          <w:szCs w:val="44"/>
        </w:rPr>
      </w:pPr>
      <w:r>
        <w:rPr>
          <w:rFonts w:eastAsia="方正仿宋简体"/>
          <w:color w:val="000000"/>
          <w:sz w:val="30"/>
          <w:szCs w:val="30"/>
        </w:rPr>
        <w:br w:type="page"/>
      </w:r>
      <w:r>
        <w:rPr>
          <w:rFonts w:hint="eastAsia" w:ascii="方正小标宋简体" w:eastAsia="方正小标宋简体"/>
          <w:color w:val="000000"/>
          <w:w w:val="85"/>
          <w:sz w:val="44"/>
          <w:szCs w:val="44"/>
        </w:rPr>
        <w:t>第三章  协调发展  打造形成整体均衡的发展新格局</w:t>
      </w:r>
    </w:p>
    <w:p>
      <w:pPr>
        <w:adjustRightInd w:val="0"/>
        <w:snapToGrid w:val="0"/>
        <w:spacing w:line="600" w:lineRule="exact"/>
        <w:jc w:val="center"/>
        <w:rPr>
          <w:rFonts w:eastAsia="方正仿宋简体"/>
          <w:color w:val="000000"/>
          <w:sz w:val="30"/>
          <w:szCs w:val="30"/>
        </w:rPr>
      </w:pPr>
    </w:p>
    <w:p>
      <w:pPr>
        <w:adjustRightInd w:val="0"/>
        <w:snapToGrid w:val="0"/>
        <w:spacing w:line="600" w:lineRule="exact"/>
        <w:ind w:firstLine="600" w:firstLineChars="200"/>
        <w:rPr>
          <w:rFonts w:eastAsia="方正仿宋简体"/>
          <w:color w:val="000000"/>
          <w:sz w:val="30"/>
          <w:szCs w:val="30"/>
        </w:rPr>
      </w:pPr>
      <w:r>
        <w:rPr>
          <w:rFonts w:eastAsia="方正仿宋简体"/>
          <w:color w:val="000000"/>
          <w:sz w:val="30"/>
          <w:szCs w:val="30"/>
        </w:rPr>
        <w:t>协调是持续健康发展的内在要求。要不断增强发展的协调性和整体性，推动区域协调、产业协调、城乡协调、供需协调，在协调发展中拓展新空间，在补齐短板中增强发展后劲，着力形成均衡协调发展格局。</w:t>
      </w:r>
    </w:p>
    <w:p>
      <w:pPr>
        <w:adjustRightInd w:val="0"/>
        <w:snapToGrid w:val="0"/>
        <w:spacing w:before="312" w:beforeLines="100" w:after="312" w:afterLines="100" w:line="600" w:lineRule="exact"/>
        <w:jc w:val="center"/>
        <w:rPr>
          <w:rFonts w:eastAsia="方正仿宋简体"/>
          <w:color w:val="000000"/>
          <w:sz w:val="30"/>
          <w:szCs w:val="30"/>
        </w:rPr>
      </w:pPr>
      <w:r>
        <w:rPr>
          <w:rFonts w:eastAsia="方正仿宋简体"/>
          <w:color w:val="000000"/>
          <w:sz w:val="30"/>
          <w:szCs w:val="30"/>
        </w:rPr>
        <w:t>第一节  推动形成区域协调的城市发展格局</w:t>
      </w:r>
    </w:p>
    <w:p>
      <w:pPr>
        <w:adjustRightInd w:val="0"/>
        <w:snapToGrid w:val="0"/>
        <w:spacing w:line="600" w:lineRule="exact"/>
        <w:ind w:firstLine="600" w:firstLineChars="200"/>
        <w:rPr>
          <w:rFonts w:eastAsia="方正仿宋简体"/>
          <w:color w:val="000000"/>
          <w:sz w:val="30"/>
          <w:szCs w:val="30"/>
        </w:rPr>
      </w:pPr>
      <w:r>
        <w:rPr>
          <w:rFonts w:eastAsia="方正仿宋简体"/>
          <w:color w:val="000000"/>
          <w:sz w:val="30"/>
          <w:szCs w:val="30"/>
        </w:rPr>
        <w:t>城市发展的协调取决于功能配置的协调，要按照“生产空间集约高效、生活空间宜居适度、生态空间山青水秀”的原则，加快推动城市空间格局由中心城区功能过度集中向多功能区域共同支撑转变，构建要素有序自由流动、主体功能约束有效、资源环境可承载的发展新格局。</w:t>
      </w:r>
    </w:p>
    <w:p>
      <w:pPr>
        <w:adjustRightInd w:val="0"/>
        <w:snapToGrid w:val="0"/>
        <w:spacing w:line="600" w:lineRule="exact"/>
        <w:ind w:firstLine="600" w:firstLineChars="200"/>
        <w:rPr>
          <w:rFonts w:eastAsia="方正仿宋简体"/>
          <w:bCs/>
          <w:color w:val="000000"/>
          <w:sz w:val="30"/>
          <w:szCs w:val="30"/>
        </w:rPr>
      </w:pPr>
      <w:r>
        <w:rPr>
          <w:rFonts w:eastAsia="方正仿宋简体"/>
          <w:bCs/>
          <w:color w:val="000000"/>
          <w:sz w:val="30"/>
          <w:szCs w:val="30"/>
        </w:rPr>
        <w:t>一、推进形成主体功能区</w:t>
      </w:r>
    </w:p>
    <w:p>
      <w:pPr>
        <w:pStyle w:val="4"/>
        <w:adjustRightInd w:val="0"/>
        <w:snapToGrid w:val="0"/>
        <w:spacing w:line="600" w:lineRule="exact"/>
        <w:ind w:firstLine="600" w:firstLineChars="200"/>
        <w:rPr>
          <w:rFonts w:hint="eastAsia" w:ascii="Times New Roman" w:eastAsia="方正仿宋简体"/>
          <w:color w:val="000000"/>
          <w:sz w:val="30"/>
          <w:szCs w:val="30"/>
        </w:rPr>
      </w:pPr>
      <w:r>
        <w:rPr>
          <w:rFonts w:ascii="Times New Roman" w:eastAsia="方正仿宋简体"/>
          <w:color w:val="000000"/>
          <w:sz w:val="30"/>
          <w:szCs w:val="30"/>
        </w:rPr>
        <w:t>根据不同区域的生态承载功能和现有开发强度，统筹谋划未来人口分布、经济布局、国土利用和城镇化格局，对优化开发区域、重点开发区域、限制开发区域、禁止开发区域四类主体功能区，实行分区分类管理的区域政策。建立分类绩效考核评价体系。对不同主体功能区实行差别化绩效评价和考核办法，强化生态安全、社会治理、公共服务、自主创新等方面的评价。建立分类财政激励政策体系</w:t>
      </w:r>
      <w:r>
        <w:rPr>
          <w:rFonts w:ascii="Times New Roman" w:eastAsia="方正仿宋简体"/>
          <w:bCs/>
          <w:color w:val="000000"/>
          <w:sz w:val="30"/>
          <w:szCs w:val="30"/>
        </w:rPr>
        <w:t>。</w:t>
      </w:r>
      <w:r>
        <w:rPr>
          <w:rFonts w:ascii="Times New Roman" w:eastAsia="方正仿宋简体"/>
          <w:color w:val="000000"/>
          <w:sz w:val="30"/>
          <w:szCs w:val="30"/>
        </w:rPr>
        <w:t>按照各区域的主体功能定位和发展方向，分类别、分领域安排政府投资，逐步加大对基础设施和公共服务的投资力度。建立分类产业准入政策体系。对不同主体功能区的投资项目实行不同的土地、能耗、水耗、污染物排放和生态保护等强制性标准。建立土地差别化管理体系。合理开发利用土地资源，制定实施不同主体功能区的用地管控导则。</w:t>
      </w:r>
    </w:p>
    <w:p>
      <w:pPr>
        <w:pStyle w:val="4"/>
        <w:adjustRightInd w:val="0"/>
        <w:snapToGrid w:val="0"/>
        <w:spacing w:line="600" w:lineRule="exact"/>
        <w:ind w:firstLine="0"/>
        <w:jc w:val="center"/>
        <w:rPr>
          <w:rFonts w:hint="eastAsia" w:ascii="Times New Roman" w:eastAsia="方正仿宋简体"/>
          <w:color w:val="000000"/>
          <w:sz w:val="30"/>
          <w:szCs w:val="30"/>
        </w:rPr>
      </w:pPr>
      <w:r>
        <w:rPr>
          <w:rFonts w:hint="eastAsia" w:ascii="黑体" w:eastAsia="黑体"/>
          <w:color w:val="000000"/>
          <w:szCs w:val="28"/>
        </w:rPr>
        <w:t>专栏6：主体功能区划分</w:t>
      </w:r>
    </w:p>
    <w:tbl>
      <w:tblPr>
        <w:tblStyle w:val="15"/>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52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372" w:hRule="atLeast"/>
          <w:jc w:val="center"/>
        </w:trPr>
        <w:tc>
          <w:tcPr>
            <w:tcW w:w="8522" w:type="dxa"/>
            <w:noWrap w:val="0"/>
            <w:vAlign w:val="center"/>
          </w:tcPr>
          <w:p>
            <w:pPr>
              <w:adjustRightInd w:val="0"/>
              <w:snapToGrid w:val="0"/>
              <w:spacing w:line="460" w:lineRule="exact"/>
              <w:ind w:firstLine="560" w:firstLineChars="200"/>
              <w:rPr>
                <w:rFonts w:eastAsia="方正仿宋简体"/>
                <w:color w:val="000000"/>
                <w:sz w:val="28"/>
                <w:szCs w:val="28"/>
              </w:rPr>
            </w:pPr>
            <w:r>
              <w:rPr>
                <w:rFonts w:eastAsia="方正仿宋简体"/>
                <w:bCs/>
                <w:color w:val="000000"/>
                <w:sz w:val="28"/>
                <w:szCs w:val="28"/>
              </w:rPr>
              <w:t>优化开发区域。</w:t>
            </w:r>
            <w:r>
              <w:rPr>
                <w:rFonts w:eastAsia="方正仿宋简体"/>
                <w:color w:val="000000"/>
                <w:sz w:val="28"/>
                <w:szCs w:val="28"/>
              </w:rPr>
              <w:t>主要范围为开发强度较高、人口密度和交通负荷过大、资源环境容量接近饱和的主城区，严格控制城市建筑容积率和开发密度，重点加强历史文化名城保护和生态环境建设，完善公共服务配套，着力提升城市品质和综合服务功能。</w:t>
            </w:r>
          </w:p>
          <w:p>
            <w:pPr>
              <w:adjustRightInd w:val="0"/>
              <w:snapToGrid w:val="0"/>
              <w:spacing w:line="460" w:lineRule="exact"/>
              <w:ind w:firstLine="560" w:firstLineChars="200"/>
              <w:rPr>
                <w:rFonts w:eastAsia="方正仿宋简体"/>
                <w:color w:val="000000"/>
                <w:sz w:val="28"/>
                <w:szCs w:val="28"/>
              </w:rPr>
            </w:pPr>
            <w:r>
              <w:rPr>
                <w:rFonts w:eastAsia="方正仿宋简体"/>
                <w:bCs/>
                <w:color w:val="000000"/>
                <w:sz w:val="28"/>
                <w:szCs w:val="28"/>
              </w:rPr>
              <w:t>重点开发区域。</w:t>
            </w:r>
            <w:r>
              <w:rPr>
                <w:rFonts w:eastAsia="方正仿宋简体"/>
                <w:color w:val="000000"/>
                <w:sz w:val="28"/>
                <w:szCs w:val="28"/>
              </w:rPr>
              <w:t>主要范围为产业基础好、承载能力强、开发潜力大、能够大规模集聚产业和人口的东西两大城市片区、两个副中心城市和重点镇。两大城市片区：河西的湘江新区；河东二环以外，北至丁字区域，东至浏阳经济技术开发区，南至暮云区域。两个副中心城市：浏阳城区、宁乡城区。重点镇：金井、开慧、江背、安沙、铜官、跳马、大瑶、镇头、沙市、沿溪、文家市、花明楼、灰汤、流沙河等，每个镇集聚5-10万城镇人口。</w:t>
            </w:r>
          </w:p>
          <w:p>
            <w:pPr>
              <w:adjustRightInd w:val="0"/>
              <w:snapToGrid w:val="0"/>
              <w:spacing w:line="460" w:lineRule="exact"/>
              <w:ind w:firstLine="560" w:firstLineChars="200"/>
              <w:rPr>
                <w:rFonts w:eastAsia="方正仿宋简体"/>
                <w:color w:val="000000"/>
                <w:sz w:val="28"/>
                <w:szCs w:val="28"/>
              </w:rPr>
            </w:pPr>
            <w:r>
              <w:rPr>
                <w:rFonts w:eastAsia="方正仿宋简体"/>
                <w:bCs/>
                <w:color w:val="000000"/>
                <w:sz w:val="28"/>
                <w:szCs w:val="28"/>
              </w:rPr>
              <w:t>限</w:t>
            </w:r>
            <w:r>
              <w:rPr>
                <w:rFonts w:eastAsia="方正仿宋简体"/>
                <w:bCs/>
                <w:color w:val="000000"/>
                <w:spacing w:val="-4"/>
                <w:sz w:val="28"/>
                <w:szCs w:val="28"/>
              </w:rPr>
              <w:t>制开发区域。</w:t>
            </w:r>
            <w:r>
              <w:rPr>
                <w:rFonts w:eastAsia="方正仿宋简体"/>
                <w:color w:val="000000"/>
                <w:spacing w:val="-4"/>
                <w:sz w:val="28"/>
                <w:szCs w:val="28"/>
              </w:rPr>
              <w:t>主要范围为资源环境承载能力较弱、大规模集聚经济和人口的条件有限、关系区域生态安全的非中心乡镇，主要任务是强化生态保护与环境整治，因地制宜发展资源环境可承载的特色产业。</w:t>
            </w:r>
          </w:p>
          <w:p>
            <w:pPr>
              <w:adjustRightInd w:val="0"/>
              <w:snapToGrid w:val="0"/>
              <w:spacing w:line="460" w:lineRule="exact"/>
              <w:ind w:firstLine="560" w:firstLineChars="200"/>
              <w:rPr>
                <w:rFonts w:eastAsia="方正仿宋简体"/>
                <w:bCs/>
                <w:color w:val="000000"/>
                <w:sz w:val="24"/>
                <w:szCs w:val="24"/>
              </w:rPr>
            </w:pPr>
            <w:r>
              <w:rPr>
                <w:rFonts w:eastAsia="方正仿宋简体"/>
                <w:bCs/>
                <w:color w:val="000000"/>
                <w:sz w:val="28"/>
                <w:szCs w:val="28"/>
              </w:rPr>
              <w:t>禁止开发区域。</w:t>
            </w:r>
            <w:r>
              <w:rPr>
                <w:rFonts w:eastAsia="方正仿宋简体"/>
                <w:color w:val="000000"/>
                <w:sz w:val="28"/>
                <w:szCs w:val="28"/>
              </w:rPr>
              <w:t>包括水源保护区、风景名胜区、自然保护区、基本农田保护区、生态绿心、森林公园、郊野公园、湿地公园、坡度大于25％和相对高差大于50米的山体、主干河流、重要水库以及对维护生态系统完整性具有重要作用的生态廊道和隔离绿地。</w:t>
            </w:r>
          </w:p>
        </w:tc>
      </w:tr>
    </w:tbl>
    <w:p>
      <w:pPr>
        <w:adjustRightInd w:val="0"/>
        <w:snapToGrid w:val="0"/>
        <w:spacing w:line="600" w:lineRule="exact"/>
        <w:ind w:firstLine="600" w:firstLineChars="200"/>
        <w:rPr>
          <w:rFonts w:eastAsia="方正仿宋简体"/>
          <w:bCs/>
          <w:color w:val="000000"/>
          <w:sz w:val="30"/>
          <w:szCs w:val="30"/>
        </w:rPr>
      </w:pPr>
      <w:r>
        <w:rPr>
          <w:rFonts w:eastAsia="方正仿宋简体"/>
          <w:bCs/>
          <w:color w:val="000000"/>
          <w:sz w:val="30"/>
          <w:szCs w:val="30"/>
        </w:rPr>
        <w:t>二、优化城市空间布局</w:t>
      </w:r>
    </w:p>
    <w:p>
      <w:pPr>
        <w:adjustRightInd w:val="0"/>
        <w:snapToGrid w:val="0"/>
        <w:spacing w:line="600" w:lineRule="exact"/>
        <w:ind w:firstLine="624" w:firstLineChars="200"/>
        <w:rPr>
          <w:rFonts w:eastAsia="方正仿宋简体"/>
          <w:color w:val="000000"/>
          <w:sz w:val="30"/>
          <w:szCs w:val="30"/>
        </w:rPr>
      </w:pPr>
      <w:r>
        <w:rPr>
          <w:rFonts w:eastAsia="方正仿宋简体"/>
          <w:color w:val="000000"/>
          <w:spacing w:val="6"/>
          <w:sz w:val="30"/>
          <w:szCs w:val="30"/>
        </w:rPr>
        <w:t>实施河西湘江新区、东部开放型经济走廊“双核驱动”战略，在规划区范围内谋划“一城两片”的大长沙发展格局，坚持跨江发</w:t>
      </w:r>
      <w:r>
        <w:rPr>
          <w:rFonts w:eastAsia="方正仿宋简体"/>
          <w:color w:val="000000"/>
          <w:sz w:val="30"/>
          <w:szCs w:val="30"/>
        </w:rPr>
        <w:t>展、东西比翼，在都市区构建“一轴两带多中心、一主两次六组团”的总体发展框架。</w:t>
      </w:r>
    </w:p>
    <w:p>
      <w:pPr>
        <w:adjustRightInd w:val="0"/>
        <w:snapToGrid w:val="0"/>
        <w:spacing w:line="600" w:lineRule="exact"/>
        <w:ind w:firstLine="600" w:firstLineChars="200"/>
        <w:rPr>
          <w:rFonts w:eastAsia="方正仿宋简体"/>
          <w:color w:val="000000"/>
          <w:sz w:val="30"/>
          <w:szCs w:val="30"/>
        </w:rPr>
      </w:pPr>
      <w:r>
        <w:rPr>
          <w:rFonts w:eastAsia="方正仿宋简体"/>
          <w:color w:val="000000"/>
          <w:sz w:val="30"/>
          <w:szCs w:val="30"/>
        </w:rPr>
        <w:t>以湘江为发展轴，利用湘江洲岛建设中央公园带，围绕滨水两岸打造湘江高端服务业功能集聚区。河西以湘江新区为战略平台，充分发挥科教资源和高新技术产业优势建设国家自主创新引领示范基地，以岳麓片区、高星组团、坪浦组团为空间载体，利用优越的生态资源构建大景区、大生态廊道、大休闲度假区。河东利用独特的交通枢纽优势，以大空港、大高铁、大港区为支点，以星马片区、空港组团、黄黎组团、金霞组团、暮云组团为空间载体，大力发展临空、临港、临铁经济，打造临空经济示范区、智能制造经济带、高端服务经济产业带、文化旅游产业带，形成长沙对外开放发展的大格局。</w:t>
      </w:r>
    </w:p>
    <w:p>
      <w:pPr>
        <w:adjustRightInd w:val="0"/>
        <w:snapToGrid w:val="0"/>
        <w:spacing w:line="600" w:lineRule="exact"/>
        <w:ind w:firstLine="600" w:firstLineChars="200"/>
        <w:rPr>
          <w:rFonts w:eastAsia="方正仿宋简体"/>
          <w:bCs/>
          <w:color w:val="000000"/>
          <w:sz w:val="30"/>
          <w:szCs w:val="30"/>
        </w:rPr>
      </w:pPr>
      <w:r>
        <w:rPr>
          <w:rFonts w:eastAsia="方正仿宋简体"/>
          <w:bCs/>
          <w:color w:val="000000"/>
          <w:sz w:val="30"/>
          <w:szCs w:val="30"/>
        </w:rPr>
        <w:t>三、优化区域经济布局</w:t>
      </w:r>
    </w:p>
    <w:p>
      <w:pPr>
        <w:adjustRightInd w:val="0"/>
        <w:snapToGrid w:val="0"/>
        <w:spacing w:line="600" w:lineRule="exact"/>
        <w:ind w:firstLine="600" w:firstLineChars="200"/>
        <w:rPr>
          <w:rFonts w:eastAsia="方正仿宋简体"/>
          <w:color w:val="000000"/>
          <w:sz w:val="30"/>
          <w:szCs w:val="30"/>
        </w:rPr>
      </w:pPr>
      <w:r>
        <w:rPr>
          <w:rFonts w:eastAsia="方正仿宋简体"/>
          <w:color w:val="000000"/>
          <w:sz w:val="30"/>
          <w:szCs w:val="30"/>
        </w:rPr>
        <w:t>把优化生产力布局作为转变发展方式的主攻方向，通过经济要素的“再集约、再集聚、再配套”和“再布局、再融合、再互补”，加快重点地区开发开放步伐，推进功能区域化、区域特色化。</w:t>
      </w:r>
    </w:p>
    <w:p>
      <w:pPr>
        <w:adjustRightInd w:val="0"/>
        <w:snapToGrid w:val="0"/>
        <w:spacing w:line="600" w:lineRule="exact"/>
        <w:ind w:firstLine="600" w:firstLineChars="200"/>
        <w:rPr>
          <w:rFonts w:eastAsia="方正仿宋简体"/>
          <w:color w:val="000000"/>
          <w:sz w:val="30"/>
          <w:szCs w:val="30"/>
        </w:rPr>
      </w:pPr>
      <w:r>
        <w:rPr>
          <w:rFonts w:eastAsia="方正仿宋简体"/>
          <w:bCs/>
          <w:color w:val="000000"/>
          <w:sz w:val="30"/>
          <w:szCs w:val="30"/>
        </w:rPr>
        <w:t>1、发展沿江（河）经济。</w:t>
      </w:r>
      <w:r>
        <w:rPr>
          <w:rFonts w:eastAsia="方正仿宋简体"/>
          <w:color w:val="000000"/>
          <w:sz w:val="30"/>
          <w:szCs w:val="30"/>
        </w:rPr>
        <w:t>合理开发利用湘江、浏阳河、捞刀河、沩水河、靳江河、圭塘河、龙王港等重要城市河流的岸线资源，科学规划沿江沿河建筑布局，推动金融商贸、科技研发、文化创意、生态旅游等高端服务业沿江（河）布局。</w:t>
      </w:r>
    </w:p>
    <w:p>
      <w:pPr>
        <w:adjustRightInd w:val="0"/>
        <w:snapToGrid w:val="0"/>
        <w:spacing w:line="600" w:lineRule="exact"/>
        <w:ind w:firstLine="600" w:firstLineChars="200"/>
        <w:rPr>
          <w:rFonts w:eastAsia="方正仿宋简体"/>
          <w:color w:val="000000"/>
          <w:sz w:val="30"/>
          <w:szCs w:val="30"/>
        </w:rPr>
      </w:pPr>
      <w:r>
        <w:rPr>
          <w:rFonts w:eastAsia="方正仿宋简体"/>
          <w:bCs/>
          <w:color w:val="000000"/>
          <w:sz w:val="30"/>
          <w:szCs w:val="30"/>
        </w:rPr>
        <w:t>2、发展沿路经济。</w:t>
      </w:r>
      <w:r>
        <w:rPr>
          <w:rFonts w:eastAsia="方正仿宋简体"/>
          <w:color w:val="000000"/>
          <w:sz w:val="30"/>
          <w:szCs w:val="30"/>
        </w:rPr>
        <w:t>依托G319、南北横线、万家丽路、韶山路、芙蓉路、湘府路、金阳大道、岳宁大道等重要交通干线的运输流通功能，促进信息网络、能源供应、公共服务、专业市场、产业园区、旅游景点、城镇体系等沿路配套和联网互通，打造若干依托道路延伸的工业经济带、服务经济带、生态旅游带和城镇集聚走廊。发展地铁经济，推动城市地上地下空间立体开发。</w:t>
      </w:r>
    </w:p>
    <w:p>
      <w:pPr>
        <w:adjustRightInd w:val="0"/>
        <w:snapToGrid w:val="0"/>
        <w:spacing w:line="600" w:lineRule="exact"/>
        <w:ind w:firstLine="600" w:firstLineChars="200"/>
        <w:rPr>
          <w:rFonts w:eastAsia="方正仿宋简体"/>
          <w:color w:val="000000"/>
          <w:sz w:val="30"/>
          <w:szCs w:val="30"/>
        </w:rPr>
      </w:pPr>
      <w:r>
        <w:rPr>
          <w:rFonts w:eastAsia="方正仿宋简体"/>
          <w:bCs/>
          <w:color w:val="000000"/>
          <w:sz w:val="30"/>
          <w:szCs w:val="30"/>
        </w:rPr>
        <w:t>3、发展枢纽经济。</w:t>
      </w:r>
      <w:r>
        <w:rPr>
          <w:rFonts w:eastAsia="方正仿宋简体"/>
          <w:color w:val="000000"/>
          <w:sz w:val="30"/>
          <w:szCs w:val="30"/>
        </w:rPr>
        <w:t>依托黄花机场、高铁站、霞凝港区等大型综合性交通枢纽要素集散功能，合理布局发展临空经济、临铁经济和临港经济，引导现代物流、企业总部、会展服务等产业集聚发展；推进火车客运站、金桥站等交通枢纽及周边地区整体捆绑开发，建设若干依托交通枢纽发展的新兴增长极。</w:t>
      </w:r>
    </w:p>
    <w:p>
      <w:pPr>
        <w:adjustRightInd w:val="0"/>
        <w:snapToGrid w:val="0"/>
        <w:spacing w:line="600" w:lineRule="exact"/>
        <w:ind w:firstLine="600" w:firstLineChars="200"/>
        <w:rPr>
          <w:rFonts w:eastAsia="方正仿宋简体"/>
          <w:color w:val="000000"/>
          <w:sz w:val="30"/>
          <w:szCs w:val="30"/>
        </w:rPr>
      </w:pPr>
      <w:r>
        <w:rPr>
          <w:rFonts w:eastAsia="方正仿宋简体"/>
          <w:bCs/>
          <w:color w:val="000000"/>
          <w:sz w:val="30"/>
          <w:szCs w:val="30"/>
        </w:rPr>
        <w:t>4、发展边界经济。</w:t>
      </w:r>
      <w:r>
        <w:rPr>
          <w:rFonts w:eastAsia="方正仿宋简体"/>
          <w:color w:val="000000"/>
          <w:sz w:val="30"/>
          <w:szCs w:val="30"/>
        </w:rPr>
        <w:t>充分发挥省会城市的辐射带动作用，向北对接岳阳及洞庭湖生态经济区，加强与城陵矶港的联系，打通融入长江经济带的水运通道；向南对接株洲、湘潭，加大基础设施和要素布局延伸力度，加速推进长株潭一体化融合发展；向东对接江西，加强湘赣边区域合作，提升城市东向的对外辐射能力；向西对接益阳、娄底等地，延伸生产力布局，深化区域产业分工与合作，进一步增强区域经济的联动效应。</w:t>
      </w:r>
    </w:p>
    <w:p>
      <w:pPr>
        <w:adjustRightInd w:val="0"/>
        <w:snapToGrid w:val="0"/>
        <w:spacing w:line="600" w:lineRule="exact"/>
        <w:ind w:firstLine="600" w:firstLineChars="200"/>
        <w:rPr>
          <w:rFonts w:eastAsia="方正仿宋简体"/>
          <w:bCs/>
          <w:color w:val="000000"/>
          <w:sz w:val="30"/>
          <w:szCs w:val="30"/>
        </w:rPr>
      </w:pPr>
      <w:r>
        <w:rPr>
          <w:rFonts w:eastAsia="方正仿宋简体"/>
          <w:bCs/>
          <w:color w:val="000000"/>
          <w:sz w:val="30"/>
          <w:szCs w:val="30"/>
        </w:rPr>
        <w:t>四、优化产业空间布局</w:t>
      </w:r>
    </w:p>
    <w:p>
      <w:pPr>
        <w:adjustRightInd w:val="0"/>
        <w:snapToGrid w:val="0"/>
        <w:spacing w:line="600" w:lineRule="exact"/>
        <w:ind w:firstLine="600" w:firstLineChars="200"/>
        <w:rPr>
          <w:rFonts w:eastAsia="方正仿宋简体"/>
          <w:color w:val="000000"/>
          <w:sz w:val="30"/>
          <w:szCs w:val="30"/>
        </w:rPr>
      </w:pPr>
      <w:r>
        <w:rPr>
          <w:rFonts w:eastAsia="方正仿宋简体"/>
          <w:color w:val="000000"/>
          <w:sz w:val="30"/>
          <w:szCs w:val="30"/>
        </w:rPr>
        <w:t>按照“多点支撑、链群引导、圈层推进、分类管控”的发展思路，坚持产城互促、产城融合，以产业分区、空间整合为核心，形成“一横两纵”的总体发展格局，即：横向浏长宁制造业集聚带，纵向湘江综合服务业集聚带、东部开放型经济走廊。</w:t>
      </w:r>
    </w:p>
    <w:p>
      <w:pPr>
        <w:adjustRightInd w:val="0"/>
        <w:snapToGrid w:val="0"/>
        <w:spacing w:line="600" w:lineRule="exact"/>
        <w:ind w:firstLine="616" w:firstLineChars="200"/>
        <w:rPr>
          <w:rFonts w:eastAsia="方正仿宋简体"/>
          <w:color w:val="000000"/>
          <w:sz w:val="30"/>
          <w:szCs w:val="30"/>
        </w:rPr>
      </w:pPr>
      <w:r>
        <w:rPr>
          <w:rFonts w:eastAsia="方正仿宋简体"/>
          <w:bCs/>
          <w:color w:val="000000"/>
          <w:spacing w:val="4"/>
          <w:sz w:val="30"/>
          <w:szCs w:val="30"/>
        </w:rPr>
        <w:t>1、现代农业。</w:t>
      </w:r>
      <w:r>
        <w:rPr>
          <w:rFonts w:eastAsia="方正仿宋简体"/>
          <w:color w:val="000000"/>
          <w:spacing w:val="4"/>
          <w:sz w:val="30"/>
          <w:szCs w:val="30"/>
        </w:rPr>
        <w:t>以农业空间优化引导农业产业相对集中、农业</w:t>
      </w:r>
      <w:r>
        <w:rPr>
          <w:rFonts w:eastAsia="方正仿宋简体"/>
          <w:color w:val="000000"/>
          <w:sz w:val="30"/>
          <w:szCs w:val="30"/>
        </w:rPr>
        <w:t>产业链有序衔接和农业基础设施相应配套，加快农业现代化进程，提高农业生产效率。重点打造</w:t>
      </w:r>
      <w:r>
        <w:rPr>
          <w:rFonts w:eastAsia="方正仿宋简体"/>
          <w:bCs/>
          <w:color w:val="000000"/>
          <w:sz w:val="30"/>
          <w:szCs w:val="30"/>
        </w:rPr>
        <w:t>“二区三圈四园五廊”。</w:t>
      </w:r>
      <w:r>
        <w:rPr>
          <w:rFonts w:eastAsia="方正仿宋简体"/>
          <w:color w:val="000000"/>
          <w:sz w:val="30"/>
          <w:szCs w:val="30"/>
        </w:rPr>
        <w:t>“二区”，即：长沙现代农业综合配套改革试验区和长沙现代农业创新示范区；“三圈”，即：近郊都市高效农业经济圈、中郊保障性农产品生产经济圈、远郊特色生态农业经济圈；“四园”，即：隆平高科技园、望城国家农业科技园、宁乡农业科技园、浏阳两型产业园；“五廊”，即：百里优质水稻走廊、百里优质茶叶走廊、百里优质水产走廊、百里花卉苗木走廊、百里优质水果走廊。</w:t>
      </w:r>
    </w:p>
    <w:p>
      <w:pPr>
        <w:adjustRightInd w:val="0"/>
        <w:snapToGrid w:val="0"/>
        <w:spacing w:line="600" w:lineRule="exact"/>
        <w:jc w:val="center"/>
        <w:outlineLvl w:val="0"/>
        <w:rPr>
          <w:rFonts w:eastAsia="方正仿宋简体"/>
          <w:bCs/>
          <w:color w:val="000000"/>
          <w:sz w:val="28"/>
          <w:szCs w:val="28"/>
        </w:rPr>
      </w:pPr>
      <w:r>
        <w:rPr>
          <w:rFonts w:eastAsia="方正仿宋简体"/>
          <w:bCs/>
          <w:color w:val="000000"/>
          <w:sz w:val="28"/>
          <w:szCs w:val="28"/>
        </w:rPr>
        <w:t>图1：长沙市“十三五”现代农业布局图</w:t>
      </w:r>
    </w:p>
    <w:p>
      <w:pPr>
        <w:adjustRightInd w:val="0"/>
        <w:snapToGrid w:val="0"/>
        <w:jc w:val="center"/>
        <w:outlineLvl w:val="0"/>
        <w:rPr>
          <w:rFonts w:eastAsia="方正仿宋简体"/>
          <w:bCs/>
          <w:color w:val="000000"/>
          <w:sz w:val="30"/>
          <w:szCs w:val="30"/>
        </w:rPr>
      </w:pPr>
      <w:r>
        <w:rPr>
          <w:rFonts w:eastAsia="方正仿宋简体"/>
          <w:color w:val="000000"/>
          <w:sz w:val="30"/>
          <w:szCs w:val="30"/>
        </w:rPr>
        <w:drawing>
          <wp:inline distT="0" distB="0" distL="114300" distR="114300">
            <wp:extent cx="5574030" cy="3987800"/>
            <wp:effectExtent l="0" t="0" r="7620" b="12700"/>
            <wp:docPr id="1" name="图片 6" descr="2第一产业布局规划图改"/>
            <wp:cNvGraphicFramePr/>
            <a:graphic xmlns:a="http://schemas.openxmlformats.org/drawingml/2006/main">
              <a:graphicData uri="http://schemas.openxmlformats.org/drawingml/2006/picture">
                <pic:pic xmlns:pic="http://schemas.openxmlformats.org/drawingml/2006/picture">
                  <pic:nvPicPr>
                    <pic:cNvPr id="1" name="图片 6" descr="2第一产业布局规划图改"/>
                    <pic:cNvPicPr preferRelativeResize="0"/>
                  </pic:nvPicPr>
                  <pic:blipFill>
                    <a:blip r:embed="rId6">
                      <a:grayscl/>
                    </a:blip>
                    <a:srcRect l="4134" t="12651" r="2925" b="16498"/>
                    <a:stretch>
                      <a:fillRect/>
                    </a:stretch>
                  </pic:blipFill>
                  <pic:spPr>
                    <a:xfrm>
                      <a:off x="0" y="0"/>
                      <a:ext cx="5574030" cy="3987800"/>
                    </a:xfrm>
                    <a:prstGeom prst="rect">
                      <a:avLst/>
                    </a:prstGeom>
                    <a:noFill/>
                    <a:ln>
                      <a:noFill/>
                    </a:ln>
                  </pic:spPr>
                </pic:pic>
              </a:graphicData>
            </a:graphic>
          </wp:inline>
        </w:drawing>
      </w:r>
    </w:p>
    <w:p>
      <w:pPr>
        <w:adjustRightInd w:val="0"/>
        <w:snapToGrid w:val="0"/>
        <w:spacing w:line="400" w:lineRule="exact"/>
        <w:ind w:firstLine="600" w:firstLineChars="200"/>
        <w:rPr>
          <w:rFonts w:hint="eastAsia" w:eastAsia="方正仿宋简体"/>
          <w:bCs/>
          <w:color w:val="000000"/>
          <w:sz w:val="30"/>
          <w:szCs w:val="30"/>
        </w:rPr>
      </w:pPr>
    </w:p>
    <w:p>
      <w:pPr>
        <w:adjustRightInd w:val="0"/>
        <w:snapToGrid w:val="0"/>
        <w:spacing w:line="600" w:lineRule="exact"/>
        <w:ind w:firstLine="600" w:firstLineChars="200"/>
        <w:rPr>
          <w:rFonts w:eastAsia="方正仿宋简体"/>
          <w:color w:val="000000"/>
          <w:sz w:val="30"/>
          <w:szCs w:val="30"/>
        </w:rPr>
      </w:pPr>
      <w:r>
        <w:rPr>
          <w:rFonts w:eastAsia="方正仿宋简体"/>
          <w:bCs/>
          <w:color w:val="000000"/>
          <w:sz w:val="30"/>
          <w:szCs w:val="30"/>
        </w:rPr>
        <w:t>2、先进制造业。</w:t>
      </w:r>
      <w:r>
        <w:rPr>
          <w:rFonts w:eastAsia="方正仿宋简体"/>
          <w:color w:val="000000"/>
          <w:sz w:val="30"/>
          <w:szCs w:val="30"/>
        </w:rPr>
        <w:t>推进产业空间功能分区，实行相对统一的园区</w:t>
      </w:r>
      <w:r>
        <w:rPr>
          <w:rFonts w:eastAsia="方正仿宋简体"/>
          <w:color w:val="000000"/>
          <w:spacing w:val="4"/>
          <w:sz w:val="30"/>
          <w:szCs w:val="30"/>
        </w:rPr>
        <w:t>建设策略和项目准入机制，推动制造业在空间上差异发展、错位</w:t>
      </w:r>
      <w:r>
        <w:rPr>
          <w:rFonts w:eastAsia="方正仿宋简体"/>
          <w:color w:val="000000"/>
          <w:sz w:val="30"/>
          <w:szCs w:val="30"/>
        </w:rPr>
        <w:t>发展。重点打造</w:t>
      </w:r>
      <w:r>
        <w:rPr>
          <w:rFonts w:eastAsia="方正仿宋简体"/>
          <w:bCs/>
          <w:color w:val="000000"/>
          <w:sz w:val="30"/>
          <w:szCs w:val="30"/>
        </w:rPr>
        <w:t>“一带五区七园”。</w:t>
      </w:r>
      <w:r>
        <w:rPr>
          <w:rFonts w:eastAsia="方正仿宋简体"/>
          <w:color w:val="000000"/>
          <w:sz w:val="30"/>
          <w:szCs w:val="30"/>
        </w:rPr>
        <w:t>“一带”，即：横贯东西，连接浏阳市、宁乡县，西向对接益阳、东向衔接江西的浏长宁制造业产业带；“五区”，即：长沙高新技术产业开发区、长沙经济技术开发区、宁乡经济技术开发区、浏阳经济技术开发区、望城经济技术开发区五个国家级园区；“七园”，即：天心经济开发区、金霞经济开发区、雨花经济开发区、浏阳工业集中区、宁乡高新区、岳麓工业集中区、星沙产业基地七个制造业园区。</w:t>
      </w:r>
    </w:p>
    <w:p>
      <w:pPr>
        <w:adjustRightInd w:val="0"/>
        <w:snapToGrid w:val="0"/>
        <w:spacing w:line="600" w:lineRule="exact"/>
        <w:jc w:val="center"/>
        <w:outlineLvl w:val="0"/>
        <w:rPr>
          <w:rFonts w:eastAsia="方正仿宋简体"/>
          <w:bCs/>
          <w:color w:val="000000"/>
          <w:sz w:val="28"/>
          <w:szCs w:val="28"/>
        </w:rPr>
      </w:pPr>
      <w:r>
        <w:rPr>
          <w:rFonts w:eastAsia="方正仿宋简体"/>
          <w:bCs/>
          <w:color w:val="000000"/>
          <w:sz w:val="28"/>
          <w:szCs w:val="28"/>
        </w:rPr>
        <w:t>图2：长沙市“十三五”先进制造业布局图</w:t>
      </w:r>
    </w:p>
    <w:p>
      <w:pPr>
        <w:adjustRightInd w:val="0"/>
        <w:snapToGrid w:val="0"/>
        <w:rPr>
          <w:rFonts w:eastAsia="方正仿宋简体"/>
          <w:bCs/>
          <w:color w:val="000000"/>
          <w:sz w:val="30"/>
          <w:szCs w:val="30"/>
        </w:rPr>
      </w:pPr>
      <w:r>
        <w:rPr>
          <w:rFonts w:eastAsia="方正仿宋简体"/>
          <w:color w:val="000000"/>
          <w:sz w:val="30"/>
          <w:szCs w:val="30"/>
        </w:rPr>
        <w:drawing>
          <wp:inline distT="0" distB="0" distL="114300" distR="114300">
            <wp:extent cx="5601335" cy="4476750"/>
            <wp:effectExtent l="0" t="0" r="18415" b="0"/>
            <wp:docPr id="2" name="图片 2" descr="第二产业总体空间布局图改"/>
            <wp:cNvGraphicFramePr/>
            <a:graphic xmlns:a="http://schemas.openxmlformats.org/drawingml/2006/main">
              <a:graphicData uri="http://schemas.openxmlformats.org/drawingml/2006/picture">
                <pic:pic xmlns:pic="http://schemas.openxmlformats.org/drawingml/2006/picture">
                  <pic:nvPicPr>
                    <pic:cNvPr id="2" name="图片 2" descr="第二产业总体空间布局图改"/>
                    <pic:cNvPicPr preferRelativeResize="0"/>
                  </pic:nvPicPr>
                  <pic:blipFill>
                    <a:blip r:embed="rId7">
                      <a:grayscl/>
                    </a:blip>
                    <a:srcRect l="3418" t="14551" r="2261" b="14703"/>
                    <a:stretch>
                      <a:fillRect/>
                    </a:stretch>
                  </pic:blipFill>
                  <pic:spPr>
                    <a:xfrm>
                      <a:off x="0" y="0"/>
                      <a:ext cx="5601335" cy="4476750"/>
                    </a:xfrm>
                    <a:prstGeom prst="rect">
                      <a:avLst/>
                    </a:prstGeom>
                    <a:noFill/>
                    <a:ln>
                      <a:noFill/>
                    </a:ln>
                  </pic:spPr>
                </pic:pic>
              </a:graphicData>
            </a:graphic>
          </wp:inline>
        </w:drawing>
      </w:r>
    </w:p>
    <w:p>
      <w:pPr>
        <w:adjustRightInd w:val="0"/>
        <w:snapToGrid w:val="0"/>
        <w:spacing w:line="200" w:lineRule="exact"/>
        <w:ind w:firstLine="600" w:firstLineChars="200"/>
        <w:rPr>
          <w:rFonts w:hint="eastAsia" w:eastAsia="方正仿宋简体"/>
          <w:bCs/>
          <w:color w:val="000000"/>
          <w:sz w:val="30"/>
          <w:szCs w:val="30"/>
        </w:rPr>
      </w:pPr>
    </w:p>
    <w:p>
      <w:pPr>
        <w:adjustRightInd w:val="0"/>
        <w:snapToGrid w:val="0"/>
        <w:spacing w:line="600" w:lineRule="exact"/>
        <w:ind w:firstLine="600" w:firstLineChars="200"/>
        <w:rPr>
          <w:rFonts w:eastAsia="方正仿宋简体"/>
          <w:color w:val="000000"/>
          <w:sz w:val="30"/>
          <w:szCs w:val="30"/>
        </w:rPr>
      </w:pPr>
      <w:r>
        <w:rPr>
          <w:rFonts w:eastAsia="方正仿宋简体"/>
          <w:bCs/>
          <w:color w:val="000000"/>
          <w:sz w:val="30"/>
          <w:szCs w:val="30"/>
        </w:rPr>
        <w:t>3、现代服务业。</w:t>
      </w:r>
      <w:r>
        <w:rPr>
          <w:rFonts w:eastAsia="方正仿宋简体"/>
          <w:color w:val="000000"/>
          <w:sz w:val="30"/>
          <w:szCs w:val="30"/>
        </w:rPr>
        <w:t>紧扣工农业生产需要布局生产性服务业，紧扣城乡居民生活需求布局生活性服务业，紧扣生态、文化、旅游资源布局特色优势服务业，促进服务业集聚集约发展。重点打造</w:t>
      </w:r>
      <w:r>
        <w:rPr>
          <w:rFonts w:eastAsia="方正仿宋简体"/>
          <w:bCs/>
          <w:color w:val="000000"/>
          <w:sz w:val="30"/>
          <w:szCs w:val="30"/>
        </w:rPr>
        <w:t>“一核十片”。</w:t>
      </w:r>
      <w:r>
        <w:rPr>
          <w:rFonts w:eastAsia="方正仿宋简体"/>
          <w:color w:val="000000"/>
          <w:sz w:val="30"/>
          <w:szCs w:val="30"/>
        </w:rPr>
        <w:t>“一核”，即：中心城区现代服务业发展集聚核；“十片”，即：十大承载和推动现代服务业发展的功能片区，包括星沙片、望城片、浏永片、宁金片、麓谷片、金霞片、空港片、高铁片、暮云片、坪浦片。</w:t>
      </w:r>
    </w:p>
    <w:p>
      <w:pPr>
        <w:adjustRightInd w:val="0"/>
        <w:snapToGrid w:val="0"/>
        <w:spacing w:line="600" w:lineRule="exact"/>
        <w:jc w:val="center"/>
        <w:outlineLvl w:val="0"/>
        <w:rPr>
          <w:rFonts w:hint="eastAsia" w:eastAsia="方正仿宋简体"/>
          <w:bCs/>
          <w:color w:val="000000"/>
          <w:sz w:val="28"/>
          <w:szCs w:val="28"/>
        </w:rPr>
      </w:pPr>
      <w:r>
        <w:rPr>
          <w:rFonts w:eastAsia="方正仿宋简体"/>
          <w:bCs/>
          <w:color w:val="000000"/>
          <w:sz w:val="28"/>
          <w:szCs w:val="28"/>
        </w:rPr>
        <w:t>图3：长沙市“十三五”现代服务业布局图</w:t>
      </w:r>
    </w:p>
    <w:p>
      <w:pPr>
        <w:adjustRightInd w:val="0"/>
        <w:snapToGrid w:val="0"/>
        <w:spacing w:line="600" w:lineRule="exact"/>
        <w:jc w:val="center"/>
        <w:outlineLvl w:val="0"/>
        <w:rPr>
          <w:rFonts w:hint="eastAsia" w:eastAsia="方正仿宋简体"/>
          <w:bCs/>
          <w:color w:val="000000"/>
          <w:sz w:val="28"/>
          <w:szCs w:val="28"/>
        </w:rPr>
      </w:pPr>
    </w:p>
    <w:p>
      <w:pPr>
        <w:adjustRightInd w:val="0"/>
        <w:snapToGrid w:val="0"/>
        <w:jc w:val="center"/>
        <w:rPr>
          <w:rFonts w:eastAsia="方正仿宋简体"/>
          <w:color w:val="000000"/>
          <w:sz w:val="30"/>
          <w:szCs w:val="30"/>
        </w:rPr>
      </w:pPr>
      <w:r>
        <w:rPr>
          <w:rFonts w:eastAsia="方正仿宋简体"/>
          <w:color w:val="000000"/>
          <w:sz w:val="30"/>
          <w:szCs w:val="30"/>
        </w:rPr>
        <w:drawing>
          <wp:inline distT="0" distB="0" distL="114300" distR="114300">
            <wp:extent cx="5486400" cy="3550920"/>
            <wp:effectExtent l="0" t="0" r="0" b="11430"/>
            <wp:docPr id="3" name="图片 7" descr="1第三产业总规+(2)"/>
            <wp:cNvGraphicFramePr/>
            <a:graphic xmlns:a="http://schemas.openxmlformats.org/drawingml/2006/main">
              <a:graphicData uri="http://schemas.openxmlformats.org/drawingml/2006/picture">
                <pic:pic xmlns:pic="http://schemas.openxmlformats.org/drawingml/2006/picture">
                  <pic:nvPicPr>
                    <pic:cNvPr id="3" name="图片 7" descr="1第三产业总规+(2)"/>
                    <pic:cNvPicPr/>
                  </pic:nvPicPr>
                  <pic:blipFill>
                    <a:blip r:embed="rId8">
                      <a:grayscl/>
                    </a:blip>
                    <a:srcRect l="4131" t="12651" r="2925" b="13968"/>
                    <a:stretch>
                      <a:fillRect/>
                    </a:stretch>
                  </pic:blipFill>
                  <pic:spPr>
                    <a:xfrm>
                      <a:off x="0" y="0"/>
                      <a:ext cx="5486400" cy="3550920"/>
                    </a:xfrm>
                    <a:prstGeom prst="rect">
                      <a:avLst/>
                    </a:prstGeom>
                    <a:noFill/>
                    <a:ln>
                      <a:noFill/>
                    </a:ln>
                  </pic:spPr>
                </pic:pic>
              </a:graphicData>
            </a:graphic>
          </wp:inline>
        </w:drawing>
      </w:r>
    </w:p>
    <w:p>
      <w:pPr>
        <w:adjustRightInd w:val="0"/>
        <w:snapToGrid w:val="0"/>
        <w:spacing w:line="600" w:lineRule="exact"/>
        <w:jc w:val="center"/>
        <w:rPr>
          <w:rFonts w:hint="eastAsia" w:eastAsia="方正仿宋简体"/>
          <w:color w:val="000000"/>
          <w:sz w:val="30"/>
          <w:szCs w:val="30"/>
        </w:rPr>
      </w:pPr>
    </w:p>
    <w:p>
      <w:pPr>
        <w:adjustRightInd w:val="0"/>
        <w:snapToGrid w:val="0"/>
        <w:spacing w:before="312" w:beforeLines="100" w:after="312" w:afterLines="100" w:line="600" w:lineRule="exact"/>
        <w:jc w:val="center"/>
        <w:rPr>
          <w:rFonts w:eastAsia="方正仿宋简体"/>
          <w:color w:val="000000"/>
          <w:sz w:val="30"/>
          <w:szCs w:val="30"/>
        </w:rPr>
      </w:pPr>
      <w:r>
        <w:rPr>
          <w:rFonts w:eastAsia="方正仿宋简体"/>
          <w:color w:val="000000"/>
          <w:sz w:val="30"/>
          <w:szCs w:val="30"/>
        </w:rPr>
        <w:t>第二节  构建形成产业协调发展的多点支撑体系</w:t>
      </w:r>
    </w:p>
    <w:p>
      <w:pPr>
        <w:adjustRightInd w:val="0"/>
        <w:snapToGrid w:val="0"/>
        <w:spacing w:line="600" w:lineRule="exact"/>
        <w:ind w:firstLine="600" w:firstLineChars="200"/>
        <w:rPr>
          <w:rFonts w:eastAsia="方正仿宋简体"/>
          <w:bCs/>
          <w:color w:val="000000"/>
          <w:sz w:val="30"/>
          <w:szCs w:val="30"/>
        </w:rPr>
      </w:pPr>
      <w:r>
        <w:rPr>
          <w:rFonts w:eastAsia="方正仿宋简体"/>
          <w:color w:val="000000"/>
          <w:sz w:val="30"/>
          <w:szCs w:val="30"/>
        </w:rPr>
        <w:t>围绕产业集约化、集聚化、集成化，突出高端、智能、融合发展，积极培育新产品、新技术、新业态，着力构建以制造业为主体、现代服务业为支撑、现代农业为基础的现代产业体系。</w:t>
      </w:r>
    </w:p>
    <w:p>
      <w:pPr>
        <w:adjustRightInd w:val="0"/>
        <w:snapToGrid w:val="0"/>
        <w:spacing w:line="600" w:lineRule="exact"/>
        <w:ind w:firstLine="600" w:firstLineChars="200"/>
        <w:rPr>
          <w:rFonts w:eastAsia="方正仿宋简体"/>
          <w:bCs/>
          <w:color w:val="000000"/>
          <w:sz w:val="30"/>
          <w:szCs w:val="30"/>
        </w:rPr>
      </w:pPr>
      <w:r>
        <w:rPr>
          <w:rFonts w:eastAsia="方正仿宋简体"/>
          <w:bCs/>
          <w:color w:val="000000"/>
          <w:sz w:val="30"/>
          <w:szCs w:val="30"/>
        </w:rPr>
        <w:t>一、深入实施制造强市战略</w:t>
      </w:r>
    </w:p>
    <w:p>
      <w:pPr>
        <w:adjustRightInd w:val="0"/>
        <w:snapToGrid w:val="0"/>
        <w:spacing w:line="600" w:lineRule="exact"/>
        <w:ind w:firstLine="600" w:firstLineChars="200"/>
        <w:rPr>
          <w:rFonts w:eastAsia="方正仿宋简体"/>
          <w:color w:val="000000"/>
          <w:sz w:val="30"/>
          <w:szCs w:val="30"/>
        </w:rPr>
      </w:pPr>
      <w:r>
        <w:rPr>
          <w:rFonts w:eastAsia="方正仿宋简体"/>
          <w:color w:val="000000"/>
          <w:sz w:val="30"/>
          <w:szCs w:val="30"/>
        </w:rPr>
        <w:t>制造业是长沙经济的基础支撑，也是长沙参与区域竞争的比较优势。制造强则长沙强。“十三五”期间，长沙要抢抓工业4.0发展机遇，以智能制造为统领，坚持产品装备智能化和工艺流程智能化齐头并进，进一步筑强制造业“骨骼”、壮实制造业“肌肉”，推动“长沙制造”向“长沙智造”升级，实现制造业由大变强的新跨越。着力实施新型工业化“13518”工程，构建一个现代工业新体系，形成三个梯次发展层级，围绕五大发展目标，完善一个政策支撑体系，制定八大专项行动计划，推进新型工业化进程，加快迈入全国制造强市先进行列。到2020年，全部工业总产值达到1.8万亿元，规模工业增加值达到5000亿元以上。</w:t>
      </w:r>
    </w:p>
    <w:p>
      <w:pPr>
        <w:adjustRightInd w:val="0"/>
        <w:snapToGrid w:val="0"/>
        <w:spacing w:line="600" w:lineRule="exact"/>
        <w:ind w:firstLine="600" w:firstLineChars="200"/>
        <w:rPr>
          <w:rFonts w:hint="eastAsia" w:eastAsia="方正仿宋简体"/>
          <w:color w:val="000000"/>
          <w:sz w:val="30"/>
          <w:szCs w:val="30"/>
        </w:rPr>
      </w:pPr>
      <w:r>
        <w:rPr>
          <w:rFonts w:eastAsia="方正仿宋简体"/>
          <w:bCs/>
          <w:color w:val="000000"/>
          <w:sz w:val="30"/>
          <w:szCs w:val="30"/>
        </w:rPr>
        <w:t>1、打造具有国际竞争力的先进制造业基地。</w:t>
      </w:r>
      <w:r>
        <w:rPr>
          <w:rFonts w:eastAsia="方正仿宋简体"/>
          <w:color w:val="000000"/>
          <w:sz w:val="30"/>
          <w:szCs w:val="30"/>
        </w:rPr>
        <w:t>全面对接“中国制造2025”，引导制造业朝分工细化、协作紧密方向发展。大力实施制造业强基工程，支持企业在核心基础零部件（元器件）、先进基础工艺、关键基础材料、产业技术基础等“四基”领域加强突破，进一步提升产业核心竞争力。支持互联网、云计算、大数据等信息技术在企业全生命周期和全产业链的综合集成应用，着力提高工艺流程的稳定性，促进工业设计的自动化，推动产品质量的大提升。推</w:t>
      </w:r>
      <w:r>
        <w:rPr>
          <w:rFonts w:eastAsia="方正仿宋简体"/>
          <w:color w:val="000000"/>
          <w:spacing w:val="6"/>
          <w:sz w:val="30"/>
          <w:szCs w:val="30"/>
        </w:rPr>
        <w:t>进产业链细分，实现制造业企业由加工制造环节向研发设计、品牌营销等上下游延伸。健全国产首台（套）重大技术装备市场应用机制，支持企业研发和推广应用重大创新产品。到2020年，制造业重点领域智能化水平显著提升，试点示范项目运营成本降</w:t>
      </w:r>
      <w:r>
        <w:rPr>
          <w:rFonts w:eastAsia="方正仿宋简体"/>
          <w:color w:val="000000"/>
          <w:sz w:val="30"/>
          <w:szCs w:val="30"/>
        </w:rPr>
        <w:t>低30%以上，产品生产周期缩短30%，形成先进装备制造、汽车及零部件、食品加工、烟草工业、智能家电等优势产业集群，培育30家制造业领军企业、30个具有较强影响力的制造业知名品牌。</w:t>
      </w:r>
    </w:p>
    <w:p>
      <w:pPr>
        <w:adjustRightInd w:val="0"/>
        <w:snapToGrid w:val="0"/>
        <w:spacing w:line="600" w:lineRule="exact"/>
        <w:jc w:val="center"/>
        <w:rPr>
          <w:rFonts w:hint="eastAsia" w:eastAsia="方正仿宋简体"/>
          <w:color w:val="000000"/>
          <w:sz w:val="30"/>
          <w:szCs w:val="30"/>
        </w:rPr>
      </w:pPr>
      <w:r>
        <w:rPr>
          <w:rFonts w:hint="eastAsia" w:ascii="黑体" w:eastAsia="黑体"/>
          <w:color w:val="000000"/>
          <w:sz w:val="28"/>
          <w:szCs w:val="28"/>
        </w:rPr>
        <w:t>专栏7：先进制造优势产业</w:t>
      </w:r>
    </w:p>
    <w:tbl>
      <w:tblPr>
        <w:tblStyle w:val="15"/>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52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396" w:hRule="atLeast"/>
          <w:jc w:val="center"/>
        </w:trPr>
        <w:tc>
          <w:tcPr>
            <w:tcW w:w="8522" w:type="dxa"/>
            <w:noWrap w:val="0"/>
            <w:vAlign w:val="center"/>
          </w:tcPr>
          <w:p>
            <w:pPr>
              <w:adjustRightInd w:val="0"/>
              <w:snapToGrid w:val="0"/>
              <w:spacing w:line="440" w:lineRule="exact"/>
              <w:ind w:firstLine="560" w:firstLineChars="200"/>
              <w:rPr>
                <w:rFonts w:eastAsia="方正仿宋简体"/>
                <w:color w:val="000000"/>
                <w:sz w:val="28"/>
                <w:szCs w:val="28"/>
              </w:rPr>
            </w:pPr>
            <w:r>
              <w:rPr>
                <w:rFonts w:eastAsia="方正仿宋简体"/>
                <w:bCs/>
                <w:color w:val="000000"/>
                <w:sz w:val="28"/>
                <w:szCs w:val="28"/>
              </w:rPr>
              <w:t>先进装备制造。</w:t>
            </w:r>
            <w:r>
              <w:rPr>
                <w:rFonts w:eastAsia="方正仿宋简体"/>
                <w:color w:val="000000"/>
                <w:sz w:val="28"/>
                <w:szCs w:val="28"/>
              </w:rPr>
              <w:t>以产品结构调整为突破口，细分产业价值链，引导企业向绿色化、智能化机械领域拓展，依托三一重工、中联重科、山河智能等龙头企业，大力发展中高端工程机械装备及零部件、高档数控装备、大型成套装备、全程农业机械、环卫机械、医疗及制药设备制造等产品。</w:t>
            </w:r>
          </w:p>
          <w:p>
            <w:pPr>
              <w:adjustRightInd w:val="0"/>
              <w:snapToGrid w:val="0"/>
              <w:spacing w:line="440" w:lineRule="exact"/>
              <w:rPr>
                <w:rFonts w:eastAsia="方正仿宋简体"/>
                <w:color w:val="000000"/>
                <w:sz w:val="28"/>
                <w:szCs w:val="28"/>
              </w:rPr>
            </w:pPr>
            <w:r>
              <w:rPr>
                <w:rFonts w:eastAsia="方正仿宋简体"/>
                <w:bCs/>
                <w:color w:val="000000"/>
                <w:sz w:val="28"/>
                <w:szCs w:val="28"/>
              </w:rPr>
              <w:t>汽车及零部件</w:t>
            </w:r>
            <w:r>
              <w:rPr>
                <w:rFonts w:eastAsia="方正仿宋简体"/>
                <w:color w:val="000000"/>
                <w:sz w:val="28"/>
                <w:szCs w:val="28"/>
              </w:rPr>
              <w:t>。以大众汽车、广汽三菱、北汽福田、众泰、比亚迪等为主要载体，大力实施整车带动战略，做大做强汽车零部件产业链，加大新能源汽车的研发生产、推广应用力度，努力打造中国汽车产业新版块和新能源汽车之都。</w:t>
            </w:r>
          </w:p>
          <w:p>
            <w:pPr>
              <w:adjustRightInd w:val="0"/>
              <w:snapToGrid w:val="0"/>
              <w:spacing w:line="440" w:lineRule="exact"/>
              <w:ind w:firstLine="560" w:firstLineChars="200"/>
              <w:rPr>
                <w:rFonts w:eastAsia="方正仿宋简体"/>
                <w:color w:val="000000"/>
                <w:sz w:val="28"/>
                <w:szCs w:val="28"/>
              </w:rPr>
            </w:pPr>
            <w:r>
              <w:rPr>
                <w:rFonts w:eastAsia="方正仿宋简体"/>
                <w:bCs/>
                <w:color w:val="000000"/>
                <w:sz w:val="28"/>
                <w:szCs w:val="28"/>
              </w:rPr>
              <w:t>食品加工。</w:t>
            </w:r>
            <w:r>
              <w:rPr>
                <w:rFonts w:eastAsia="方正仿宋简体"/>
                <w:color w:val="000000"/>
                <w:sz w:val="28"/>
                <w:szCs w:val="28"/>
              </w:rPr>
              <w:t>把握食品消费升级的趋势，强化食品安全与质量管理，加快发展现代食品工业，推广应用生物工程、非热杀菌等先进适用技术，全面提升自动化</w:t>
            </w:r>
          </w:p>
          <w:p>
            <w:pPr>
              <w:adjustRightInd w:val="0"/>
              <w:snapToGrid w:val="0"/>
              <w:spacing w:line="440" w:lineRule="exact"/>
              <w:ind w:firstLine="560" w:firstLineChars="200"/>
              <w:rPr>
                <w:rFonts w:eastAsia="方正仿宋简体"/>
                <w:color w:val="000000"/>
                <w:sz w:val="28"/>
                <w:szCs w:val="28"/>
              </w:rPr>
            </w:pPr>
            <w:r>
              <w:rPr>
                <w:rFonts w:eastAsia="方正仿宋简体"/>
                <w:color w:val="000000"/>
                <w:sz w:val="28"/>
                <w:szCs w:val="28"/>
              </w:rPr>
              <w:t>水平。推进中国·长沙丝绸之路特色食品产业园、湖南粮食集团宁乡生产基地、旺旺休闲食品城、浏阳两型产业园等重点项目建设，加速培育一批大型龙头企业，扶持一批特色中小企业做精做强。</w:t>
            </w:r>
          </w:p>
          <w:p>
            <w:pPr>
              <w:adjustRightInd w:val="0"/>
              <w:snapToGrid w:val="0"/>
              <w:spacing w:line="440" w:lineRule="exact"/>
              <w:ind w:firstLine="560" w:firstLineChars="200"/>
              <w:rPr>
                <w:rFonts w:eastAsia="方正仿宋简体"/>
                <w:color w:val="000000"/>
                <w:sz w:val="28"/>
                <w:szCs w:val="28"/>
              </w:rPr>
            </w:pPr>
            <w:r>
              <w:rPr>
                <w:rFonts w:eastAsia="方正仿宋简体"/>
                <w:bCs/>
                <w:color w:val="000000"/>
                <w:sz w:val="28"/>
                <w:szCs w:val="28"/>
              </w:rPr>
              <w:t>烟草工业。</w:t>
            </w:r>
            <w:r>
              <w:rPr>
                <w:rFonts w:eastAsia="方正仿宋简体"/>
                <w:color w:val="000000"/>
                <w:sz w:val="28"/>
                <w:szCs w:val="28"/>
              </w:rPr>
              <w:t>重点提升烟草制造业的发展质量和效益，以多元化路径拓展烟草产业发展领域，积极探索高端个性化订制、新型烟草制品研发，创新发展电子烟、健康烟具等健康新产品，延伸发展烟草物流、卷烟包装等配套产业。</w:t>
            </w:r>
          </w:p>
          <w:p>
            <w:pPr>
              <w:adjustRightInd w:val="0"/>
              <w:snapToGrid w:val="0"/>
              <w:spacing w:line="440" w:lineRule="exact"/>
              <w:ind w:firstLine="560" w:firstLineChars="200"/>
              <w:rPr>
                <w:rFonts w:eastAsia="方正仿宋简体"/>
                <w:color w:val="000000"/>
                <w:sz w:val="28"/>
                <w:szCs w:val="28"/>
              </w:rPr>
            </w:pPr>
            <w:r>
              <w:rPr>
                <w:rFonts w:eastAsia="方正仿宋简体"/>
                <w:bCs/>
                <w:color w:val="000000"/>
                <w:sz w:val="28"/>
                <w:szCs w:val="28"/>
              </w:rPr>
              <w:t>智能家电。</w:t>
            </w:r>
            <w:r>
              <w:rPr>
                <w:rFonts w:eastAsia="方正仿宋简体"/>
                <w:color w:val="000000"/>
                <w:sz w:val="28"/>
                <w:szCs w:val="28"/>
              </w:rPr>
              <w:t>把握大型家电制造企业在中部地区布局生产基地机遇，重点依托宁乡经济技术开发区智能家电产业园和格力电器湖南综</w:t>
            </w:r>
            <w:r>
              <w:rPr>
                <w:rFonts w:eastAsia="方正仿宋简体"/>
                <w:color w:val="000000"/>
                <w:spacing w:val="-4"/>
                <w:sz w:val="28"/>
                <w:szCs w:val="28"/>
              </w:rPr>
              <w:t>合生产基地，发展智能新产品、新服务和新模式，积极引进国内、国际先进家电产业主机企业和配套厂商，形成智能家电产业完整产业链。</w:t>
            </w:r>
          </w:p>
        </w:tc>
      </w:tr>
    </w:tbl>
    <w:p>
      <w:pPr>
        <w:adjustRightInd w:val="0"/>
        <w:snapToGrid w:val="0"/>
        <w:spacing w:line="600" w:lineRule="exact"/>
        <w:ind w:firstLine="608" w:firstLineChars="200"/>
        <w:rPr>
          <w:rFonts w:hint="eastAsia" w:eastAsia="方正仿宋简体"/>
          <w:color w:val="000000"/>
          <w:sz w:val="30"/>
          <w:szCs w:val="30"/>
        </w:rPr>
      </w:pPr>
      <w:r>
        <w:rPr>
          <w:rFonts w:eastAsia="方正仿宋简体"/>
          <w:bCs/>
          <w:color w:val="000000"/>
          <w:spacing w:val="2"/>
          <w:sz w:val="30"/>
          <w:szCs w:val="30"/>
        </w:rPr>
        <w:t>2、打造全国重要的战略性新兴产业基地。</w:t>
      </w:r>
      <w:r>
        <w:rPr>
          <w:rFonts w:eastAsia="方正仿宋简体"/>
          <w:color w:val="000000"/>
          <w:spacing w:val="2"/>
          <w:sz w:val="30"/>
          <w:szCs w:val="30"/>
        </w:rPr>
        <w:t>把培育发展战略性</w:t>
      </w:r>
      <w:r>
        <w:rPr>
          <w:rFonts w:eastAsia="方正仿宋简体"/>
          <w:color w:val="000000"/>
          <w:sz w:val="30"/>
          <w:szCs w:val="30"/>
        </w:rPr>
        <w:t>新兴产业作为我市产业结构升级、提升经济长远竞争力的关键抓手，集中力量发展壮大新材料、电子信息、新能源与节能环保、生物产业、移动互联网等基础好、潜力大、带动强的战略性新兴产业，加快推动产业规模化、集群式发展。大力优化新兴产业发展环境，依托国家战略性新兴产业区域集聚发展试点优势，充分发挥产业政策导向作用和产业投资基金作用，创新财政资金支持方式，构建符合战略性新兴产业发展需要的信贷制度，加大对新兴产业关键技术攻关、重大项目建设、收购兼并等方面的支持力度。推进重点园区硬件设施和服务体系的专业化升级，突出抓好移动互联网、节能环保、生物医药、电子信息等省级特色“园中园”建设，显著提升集聚战略性新兴产业的能力。到2020年，战略性新兴产业增加值占地区生产总值比重达20%。</w:t>
      </w:r>
    </w:p>
    <w:p>
      <w:pPr>
        <w:adjustRightInd w:val="0"/>
        <w:snapToGrid w:val="0"/>
        <w:spacing w:line="600" w:lineRule="exact"/>
        <w:jc w:val="center"/>
        <w:rPr>
          <w:rFonts w:hint="eastAsia" w:eastAsia="方正仿宋简体"/>
          <w:color w:val="000000"/>
          <w:sz w:val="30"/>
          <w:szCs w:val="30"/>
        </w:rPr>
      </w:pPr>
      <w:r>
        <w:rPr>
          <w:rFonts w:hint="eastAsia" w:ascii="黑体" w:eastAsia="黑体"/>
          <w:color w:val="000000"/>
          <w:sz w:val="28"/>
          <w:szCs w:val="28"/>
        </w:rPr>
        <w:t>专栏8：战略性新兴产业</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32" w:hRule="atLeast"/>
          <w:jc w:val="center"/>
        </w:trPr>
        <w:tc>
          <w:tcPr>
            <w:tcW w:w="8522" w:type="dxa"/>
            <w:noWrap w:val="0"/>
            <w:vAlign w:val="top"/>
          </w:tcPr>
          <w:p>
            <w:pPr>
              <w:adjustRightInd w:val="0"/>
              <w:snapToGrid w:val="0"/>
              <w:spacing w:line="440" w:lineRule="exact"/>
              <w:ind w:firstLine="560" w:firstLineChars="200"/>
              <w:rPr>
                <w:rFonts w:eastAsia="方正仿宋简体"/>
                <w:color w:val="000000"/>
                <w:sz w:val="28"/>
                <w:szCs w:val="28"/>
              </w:rPr>
            </w:pPr>
            <w:r>
              <w:rPr>
                <w:rFonts w:eastAsia="方正仿宋简体"/>
                <w:color w:val="000000"/>
                <w:sz w:val="28"/>
                <w:szCs w:val="28"/>
              </w:rPr>
              <w:t>新材料。重点发展储能材料、有色金属材料加工、碳材料、精细化工材料、绿色建筑材料、磁性材料等六大产业链，打造长沙高新区特色园区、宁乡高新区锂离子动力电池产业园及中国（金洲）锂电谷研究院、湖南绿色家居建材科技产业园等平台，将长沙建设成为我国新型材料研发、成果产业化的重要基地之一。</w:t>
            </w:r>
          </w:p>
          <w:p>
            <w:pPr>
              <w:adjustRightInd w:val="0"/>
              <w:snapToGrid w:val="0"/>
              <w:spacing w:line="440" w:lineRule="exact"/>
              <w:ind w:firstLine="560" w:firstLineChars="200"/>
              <w:rPr>
                <w:rFonts w:eastAsia="方正仿宋简体"/>
                <w:color w:val="000000"/>
                <w:sz w:val="28"/>
                <w:szCs w:val="28"/>
              </w:rPr>
            </w:pPr>
            <w:r>
              <w:rPr>
                <w:rFonts w:eastAsia="方正仿宋简体"/>
                <w:color w:val="000000"/>
                <w:sz w:val="28"/>
                <w:szCs w:val="28"/>
              </w:rPr>
              <w:t>电子信息。依托国家高技术产业基地和特色产业园区，以中兴通讯长沙基地、蓝思科技总部及蓝宝石项目、中国通号长沙产业园、欧智通智能终端产业园等重点项目为主要载体，推动新一代移动通信、下一代互联网核心设备和智能终端的研发及产业化，力争在新型显示、高端软件、高端服务器等核心领域实现突破，构建硬件、软件与信息技术服务三位一体的产业链。</w:t>
            </w:r>
          </w:p>
          <w:p>
            <w:pPr>
              <w:adjustRightInd w:val="0"/>
              <w:snapToGrid w:val="0"/>
              <w:spacing w:line="440" w:lineRule="exact"/>
              <w:ind w:firstLine="544" w:firstLineChars="200"/>
              <w:rPr>
                <w:rFonts w:eastAsia="方正仿宋简体"/>
                <w:color w:val="000000"/>
                <w:sz w:val="28"/>
                <w:szCs w:val="28"/>
              </w:rPr>
            </w:pPr>
            <w:r>
              <w:rPr>
                <w:rFonts w:eastAsia="方正仿宋简体"/>
                <w:color w:val="000000"/>
                <w:spacing w:val="-4"/>
                <w:sz w:val="28"/>
                <w:szCs w:val="28"/>
              </w:rPr>
              <w:t>新能源与节能环保。重点开发利用太阳能、生物质能、地热能等新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86" w:hRule="atLeast"/>
          <w:jc w:val="center"/>
        </w:trPr>
        <w:tc>
          <w:tcPr>
            <w:tcW w:w="8522" w:type="dxa"/>
            <w:noWrap w:val="0"/>
            <w:vAlign w:val="center"/>
          </w:tcPr>
          <w:p>
            <w:pPr>
              <w:adjustRightInd w:val="0"/>
              <w:snapToGrid w:val="0"/>
              <w:spacing w:line="440" w:lineRule="exact"/>
              <w:rPr>
                <w:rFonts w:eastAsia="方正仿宋简体"/>
                <w:color w:val="000000"/>
                <w:sz w:val="28"/>
                <w:szCs w:val="28"/>
              </w:rPr>
            </w:pPr>
            <w:r>
              <w:rPr>
                <w:rFonts w:eastAsia="方正仿宋简体"/>
                <w:color w:val="000000"/>
                <w:sz w:val="28"/>
                <w:szCs w:val="28"/>
              </w:rPr>
              <w:t>能源，积极拓展绿色建筑、环境治理技术与装备、资源循环利用等优势领域，依托再制造产业园加快发展机械设备再制造。</w:t>
            </w:r>
          </w:p>
          <w:p>
            <w:pPr>
              <w:adjustRightInd w:val="0"/>
              <w:snapToGrid w:val="0"/>
              <w:spacing w:line="440" w:lineRule="exact"/>
              <w:ind w:firstLine="560" w:firstLineChars="200"/>
              <w:rPr>
                <w:rFonts w:eastAsia="方正仿宋简体"/>
                <w:color w:val="000000"/>
                <w:sz w:val="28"/>
                <w:szCs w:val="28"/>
              </w:rPr>
            </w:pPr>
            <w:r>
              <w:rPr>
                <w:rFonts w:eastAsia="方正仿宋简体"/>
                <w:color w:val="000000"/>
                <w:sz w:val="28"/>
                <w:szCs w:val="28"/>
              </w:rPr>
              <w:t>生物产业。以长沙国家生物产业基地和长沙高新区为核心，重点发展现代中药、胚胎干细胞及纳米生物药物、植物提取化学药剂、基因检测、生物育种、生物农资等产业。</w:t>
            </w:r>
          </w:p>
          <w:p>
            <w:pPr>
              <w:adjustRightInd w:val="0"/>
              <w:snapToGrid w:val="0"/>
              <w:spacing w:line="440" w:lineRule="exact"/>
              <w:ind w:firstLine="560" w:firstLineChars="200"/>
              <w:rPr>
                <w:rFonts w:eastAsia="方正仿宋简体"/>
                <w:color w:val="000000"/>
                <w:sz w:val="28"/>
                <w:szCs w:val="28"/>
              </w:rPr>
            </w:pPr>
            <w:r>
              <w:rPr>
                <w:rFonts w:eastAsia="方正仿宋简体"/>
                <w:color w:val="000000"/>
                <w:sz w:val="28"/>
                <w:szCs w:val="28"/>
              </w:rPr>
              <w:t>移动互联网。依托湖南省移动互联网产业集聚区，加快具有自主知识产权的终端操作系统、数据库、行业应用等软件发展，支持移动电子商务、手机游戏、手机动漫、手机支付等平台建设，打造中部地区最大的移动互联网产业“梦工厂”。</w:t>
            </w:r>
          </w:p>
        </w:tc>
      </w:tr>
    </w:tbl>
    <w:p>
      <w:pPr>
        <w:adjustRightInd w:val="0"/>
        <w:snapToGrid w:val="0"/>
        <w:spacing w:line="300" w:lineRule="exact"/>
        <w:ind w:firstLine="600" w:firstLineChars="200"/>
        <w:rPr>
          <w:rFonts w:hint="eastAsia" w:eastAsia="方正仿宋简体"/>
          <w:bCs/>
          <w:color w:val="000000"/>
          <w:sz w:val="30"/>
          <w:szCs w:val="30"/>
        </w:rPr>
      </w:pPr>
    </w:p>
    <w:p>
      <w:pPr>
        <w:adjustRightInd w:val="0"/>
        <w:snapToGrid w:val="0"/>
        <w:spacing w:line="600" w:lineRule="exact"/>
        <w:ind w:firstLine="600" w:firstLineChars="200"/>
        <w:rPr>
          <w:rFonts w:hint="eastAsia" w:eastAsia="方正仿宋简体"/>
          <w:color w:val="000000"/>
          <w:sz w:val="30"/>
          <w:szCs w:val="30"/>
        </w:rPr>
      </w:pPr>
      <w:r>
        <w:rPr>
          <w:rFonts w:eastAsia="方正仿宋简体"/>
          <w:bCs/>
          <w:color w:val="000000"/>
          <w:sz w:val="30"/>
          <w:szCs w:val="30"/>
        </w:rPr>
        <w:t>3、打造中部地区未来产业发展的先行区。</w:t>
      </w:r>
      <w:r>
        <w:rPr>
          <w:rFonts w:eastAsia="方正仿宋简体"/>
          <w:color w:val="000000"/>
          <w:sz w:val="30"/>
          <w:szCs w:val="30"/>
        </w:rPr>
        <w:t>瞄准未来科技革命和市场需求，着眼有质量的稳定增长和可持续的全面发展，着力发展北斗导航、航空航天装备、3D打印、机器人等一批有优势、有潜力的未来产业，构建梯次发展的产业结构和新一轮产业竞争的先发优势。大力支持未来产业强化自主创新能力，加快突破关键核心技术。支持组建未来产业联盟，鼓励提供公共技术研发、检测认证、知识产权与标准化等服务，积极推动未来产业新技术、新产品的示范应用，鼓励有条件的企业积极向未来产业领域转型发展。“十三五”期间，未来产业增加值年均增速达20%。</w:t>
      </w:r>
    </w:p>
    <w:p>
      <w:pPr>
        <w:adjustRightInd w:val="0"/>
        <w:snapToGrid w:val="0"/>
        <w:spacing w:after="156" w:afterLines="50" w:line="600" w:lineRule="exact"/>
        <w:jc w:val="center"/>
        <w:rPr>
          <w:rFonts w:hint="eastAsia" w:eastAsia="方正仿宋简体"/>
          <w:color w:val="000000"/>
          <w:sz w:val="30"/>
          <w:szCs w:val="30"/>
        </w:rPr>
      </w:pPr>
      <w:r>
        <w:rPr>
          <w:rFonts w:ascii="黑体" w:eastAsia="黑体"/>
          <w:color w:val="000000"/>
          <w:sz w:val="28"/>
          <w:szCs w:val="28"/>
        </w:rPr>
        <w:t>专栏9：未来产业</w:t>
      </w:r>
    </w:p>
    <w:tbl>
      <w:tblPr>
        <w:tblStyle w:val="15"/>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41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629" w:hRule="atLeast"/>
          <w:jc w:val="center"/>
        </w:trPr>
        <w:tc>
          <w:tcPr>
            <w:tcW w:w="8414" w:type="dxa"/>
            <w:noWrap w:val="0"/>
            <w:vAlign w:val="center"/>
          </w:tcPr>
          <w:p>
            <w:pPr>
              <w:adjustRightInd w:val="0"/>
              <w:snapToGrid w:val="0"/>
              <w:spacing w:line="500" w:lineRule="exact"/>
              <w:ind w:firstLine="560" w:firstLineChars="200"/>
              <w:rPr>
                <w:rFonts w:eastAsia="方正仿宋简体"/>
                <w:color w:val="000000"/>
                <w:sz w:val="28"/>
                <w:szCs w:val="28"/>
              </w:rPr>
            </w:pPr>
            <w:r>
              <w:rPr>
                <w:rFonts w:eastAsia="方正仿宋简体"/>
                <w:bCs/>
                <w:color w:val="000000"/>
                <w:sz w:val="28"/>
                <w:szCs w:val="28"/>
              </w:rPr>
              <w:t>北斗导航。</w:t>
            </w:r>
            <w:r>
              <w:rPr>
                <w:rFonts w:eastAsia="方正仿宋简体"/>
                <w:color w:val="000000"/>
                <w:sz w:val="28"/>
                <w:szCs w:val="28"/>
              </w:rPr>
              <w:t>依托长沙高新区北斗卫星导航产业基地，重点支持北斗导航核心芯片级模块、地面增强系统和北斗导航终端开发等关键技术开发及科技成果转化，建成全国北斗导航系统技术研究、应用以及产业发展示范区。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493" w:hRule="atLeast"/>
          <w:jc w:val="center"/>
        </w:trPr>
        <w:tc>
          <w:tcPr>
            <w:tcW w:w="8414" w:type="dxa"/>
            <w:noWrap w:val="0"/>
            <w:vAlign w:val="center"/>
          </w:tcPr>
          <w:p>
            <w:pPr>
              <w:adjustRightInd w:val="0"/>
              <w:snapToGrid w:val="0"/>
              <w:spacing w:line="440" w:lineRule="exact"/>
              <w:ind w:firstLine="560" w:firstLineChars="200"/>
              <w:rPr>
                <w:rFonts w:eastAsia="方正仿宋简体"/>
                <w:bCs/>
                <w:color w:val="000000"/>
                <w:sz w:val="28"/>
                <w:szCs w:val="28"/>
              </w:rPr>
            </w:pPr>
            <w:r>
              <w:rPr>
                <w:rFonts w:eastAsia="方正仿宋简体"/>
                <w:bCs/>
                <w:color w:val="000000"/>
                <w:sz w:val="28"/>
                <w:szCs w:val="28"/>
              </w:rPr>
              <w:t>航空航天装备。依托长沙航空产业园等专业园区，引进和自主研发通用航空整机制造，培育发展新型航空铝材、机载电子、先进机载设备、通用飞机和小型无人机等，形成以飞机起落系统、中小型航空发动机、航空关键配套为主的航空产业。</w:t>
            </w:r>
          </w:p>
          <w:p>
            <w:pPr>
              <w:adjustRightInd w:val="0"/>
              <w:snapToGrid w:val="0"/>
              <w:spacing w:line="440" w:lineRule="exact"/>
              <w:ind w:firstLine="560" w:firstLineChars="200"/>
              <w:rPr>
                <w:rFonts w:eastAsia="方正仿宋简体"/>
                <w:bCs/>
                <w:color w:val="000000"/>
                <w:sz w:val="28"/>
                <w:szCs w:val="28"/>
              </w:rPr>
            </w:pPr>
            <w:r>
              <w:rPr>
                <w:rFonts w:eastAsia="方正仿宋简体"/>
                <w:bCs/>
                <w:color w:val="000000"/>
                <w:sz w:val="28"/>
                <w:szCs w:val="28"/>
              </w:rPr>
              <w:t>3D打印。重点开发微喷墨打印方阵、激光器、打印设备等关键部件和设备，攻克三维打印材料研发、过程控制、数字化建模等环节的共性关键技术，推动3D打印技术在大型复杂构件直接制造、医疗器械、高端零部件、食品工业、创意设计等领域的推广应用，建成国内领先的3D打印产业基地。</w:t>
            </w:r>
          </w:p>
          <w:p>
            <w:pPr>
              <w:adjustRightInd w:val="0"/>
              <w:snapToGrid w:val="0"/>
              <w:spacing w:line="440" w:lineRule="exact"/>
              <w:ind w:firstLine="560" w:firstLineChars="200"/>
              <w:rPr>
                <w:rFonts w:eastAsia="方正仿宋简体"/>
                <w:bCs/>
                <w:color w:val="000000"/>
                <w:sz w:val="28"/>
                <w:szCs w:val="28"/>
              </w:rPr>
            </w:pPr>
            <w:r>
              <w:rPr>
                <w:rFonts w:eastAsia="方正仿宋简体"/>
                <w:bCs/>
                <w:color w:val="000000"/>
                <w:sz w:val="28"/>
                <w:szCs w:val="28"/>
              </w:rPr>
              <w:t>机器人。依托湖南省机器人产业集聚区等平台，重点开发工业机器人系统集成、机器人本体及核心零部件、控制系统等，攻克伺服电机、精密减速器、伺服驱动器、高精度传感器等一批关键零部件核心技术，大力开展工业机器人生产示范应用。支持发展服务性机器人，建成国内有重要影响力的机器人研发基地和具有国际竞争力的机器人生产基地。</w:t>
            </w:r>
          </w:p>
        </w:tc>
      </w:tr>
    </w:tbl>
    <w:p>
      <w:pPr>
        <w:adjustRightInd w:val="0"/>
        <w:snapToGrid w:val="0"/>
        <w:spacing w:line="600" w:lineRule="exact"/>
        <w:ind w:firstLine="600" w:firstLineChars="200"/>
        <w:rPr>
          <w:rFonts w:eastAsia="方正仿宋简体"/>
          <w:color w:val="000000"/>
          <w:sz w:val="30"/>
          <w:szCs w:val="30"/>
        </w:rPr>
      </w:pPr>
      <w:r>
        <w:rPr>
          <w:rFonts w:eastAsia="方正仿宋简体"/>
          <w:bCs/>
          <w:color w:val="000000"/>
          <w:sz w:val="30"/>
          <w:szCs w:val="30"/>
        </w:rPr>
        <w:t>4、提升传统产业市场竞争力。</w:t>
      </w:r>
      <w:r>
        <w:rPr>
          <w:rFonts w:eastAsia="方正仿宋简体"/>
          <w:color w:val="000000"/>
          <w:sz w:val="30"/>
          <w:szCs w:val="30"/>
        </w:rPr>
        <w:t>以品牌建设为重点，大力推动技术进步、联合重组和特色发展，让符合产业发展政策、有生命力的传统产业“老树发新芽”，形成新的市场竞争力。支持烟花爆竹产业向安全、优质、环保方向发展，鼓励新工艺、新技术的研发和产业化，建立较为完整的机械化、自动化标准体系，创建国家级出口烟花爆竹质量安全示范区。推动建材化工产业大力发展符合绿色建筑要求的新型建材及制品。支持服装家纺产业瞄准国内中高档市场和国外新兴市场，大力拓展高端设计、个性化订制等领域，进一步拉长产业链，建设中部地区重要的服装家纺制造和贸易基地。</w:t>
      </w:r>
    </w:p>
    <w:p>
      <w:pPr>
        <w:adjustRightInd w:val="0"/>
        <w:snapToGrid w:val="0"/>
        <w:spacing w:line="600" w:lineRule="exact"/>
        <w:ind w:firstLine="600" w:firstLineChars="200"/>
        <w:rPr>
          <w:rFonts w:eastAsia="方正仿宋简体"/>
          <w:bCs/>
          <w:color w:val="000000"/>
          <w:sz w:val="30"/>
          <w:szCs w:val="30"/>
        </w:rPr>
      </w:pPr>
      <w:r>
        <w:rPr>
          <w:rFonts w:eastAsia="方正仿宋简体"/>
          <w:bCs/>
          <w:color w:val="000000"/>
          <w:sz w:val="30"/>
          <w:szCs w:val="30"/>
        </w:rPr>
        <w:t>二、建设区域性现代服务业中心</w:t>
      </w:r>
    </w:p>
    <w:p>
      <w:pPr>
        <w:adjustRightInd w:val="0"/>
        <w:snapToGrid w:val="0"/>
        <w:spacing w:line="600" w:lineRule="exact"/>
        <w:ind w:firstLine="616" w:firstLineChars="200"/>
        <w:rPr>
          <w:rFonts w:eastAsia="方正仿宋简体"/>
          <w:color w:val="000000"/>
          <w:sz w:val="30"/>
          <w:szCs w:val="30"/>
        </w:rPr>
      </w:pPr>
      <w:r>
        <w:rPr>
          <w:rFonts w:eastAsia="方正仿宋简体"/>
          <w:color w:val="000000"/>
          <w:spacing w:val="4"/>
          <w:sz w:val="30"/>
          <w:szCs w:val="30"/>
        </w:rPr>
        <w:t>坚持把服务业作为调结构促转型的战略重点，实施现代服务</w:t>
      </w:r>
      <w:r>
        <w:rPr>
          <w:rFonts w:eastAsia="方正仿宋简体"/>
          <w:color w:val="000000"/>
          <w:sz w:val="30"/>
          <w:szCs w:val="30"/>
        </w:rPr>
        <w:t>业发展行动计划，推动生产性服务业向专业化和价值链高端延伸、生活性服务业向精细化和高品质转变，打造中部一流、国内领先的区域性现代服务业中心。到2020年，力争实现服务业增加值在国民经济中的比重达到全国平均水平，“十三五”年均增速达10%。</w:t>
      </w:r>
    </w:p>
    <w:p>
      <w:pPr>
        <w:adjustRightInd w:val="0"/>
        <w:snapToGrid w:val="0"/>
        <w:spacing w:line="600" w:lineRule="exact"/>
        <w:ind w:firstLine="600" w:firstLineChars="200"/>
        <w:rPr>
          <w:rFonts w:hint="eastAsia" w:eastAsia="方正仿宋简体"/>
          <w:color w:val="000000"/>
          <w:sz w:val="30"/>
          <w:szCs w:val="30"/>
        </w:rPr>
      </w:pPr>
      <w:r>
        <w:rPr>
          <w:rFonts w:eastAsia="方正仿宋简体"/>
          <w:bCs/>
          <w:color w:val="000000"/>
          <w:sz w:val="30"/>
          <w:szCs w:val="30"/>
        </w:rPr>
        <w:t>1、大力发展生产性服务业。</w:t>
      </w:r>
      <w:r>
        <w:rPr>
          <w:rFonts w:eastAsia="方正仿宋简体"/>
          <w:color w:val="000000"/>
          <w:sz w:val="30"/>
          <w:szCs w:val="30"/>
        </w:rPr>
        <w:t>围绕长沙的“大制造”和“强制造”发力，瞄准制造业“微笑曲线”两端，支持制造业主辅分离，积极发展现代物流、电子商务、商务会展、总部经济、科技服务、服务外包等生产性服务业，实现服务业与制造业全面配套和融合发展。以显著提升产业发展整体素质和产品附加值为重点，围绕全产业链的整合优化，因地制宜引导生产性服务业在中心城市、制造业集中区域、现代农业产业基地以及有条件的城镇等区域集聚，大幅提高生产性服务业发展层次和规模能级。</w:t>
      </w:r>
    </w:p>
    <w:p>
      <w:pPr>
        <w:adjustRightInd w:val="0"/>
        <w:snapToGrid w:val="0"/>
        <w:spacing w:line="600" w:lineRule="exact"/>
        <w:jc w:val="center"/>
        <w:rPr>
          <w:rFonts w:hint="eastAsia" w:eastAsia="方正仿宋简体"/>
          <w:color w:val="000000"/>
          <w:sz w:val="30"/>
          <w:szCs w:val="30"/>
        </w:rPr>
      </w:pPr>
      <w:r>
        <w:rPr>
          <w:rFonts w:ascii="黑体" w:eastAsia="黑体"/>
          <w:color w:val="000000"/>
          <w:sz w:val="28"/>
          <w:szCs w:val="28"/>
        </w:rPr>
        <w:t>专栏10：生产性服务业</w:t>
      </w:r>
    </w:p>
    <w:tbl>
      <w:tblPr>
        <w:tblStyle w:val="15"/>
        <w:tblW w:w="0" w:type="auto"/>
        <w:jc w:val="center"/>
        <w:tblBorders>
          <w:top w:val="single" w:color="008000" w:sz="4" w:space="0"/>
          <w:left w:val="single" w:color="008000" w:sz="4" w:space="0"/>
          <w:bottom w:val="single" w:color="008000" w:sz="4" w:space="0"/>
          <w:right w:val="single" w:color="008000" w:sz="4" w:space="0"/>
          <w:insideH w:val="single" w:color="008000" w:sz="4" w:space="0"/>
          <w:insideV w:val="single" w:color="008000" w:sz="4" w:space="0"/>
        </w:tblBorders>
        <w:shd w:val="clear" w:color="auto" w:fill="CCFF99"/>
        <w:tblLayout w:type="fixed"/>
        <w:tblCellMar>
          <w:top w:w="0" w:type="dxa"/>
          <w:left w:w="108" w:type="dxa"/>
          <w:bottom w:w="0" w:type="dxa"/>
          <w:right w:w="108" w:type="dxa"/>
        </w:tblCellMar>
      </w:tblPr>
      <w:tblGrid>
        <w:gridCol w:w="8522"/>
      </w:tblGrid>
      <w:tr>
        <w:tblPrEx>
          <w:tblBorders>
            <w:top w:val="single" w:color="008000" w:sz="4" w:space="0"/>
            <w:left w:val="single" w:color="008000" w:sz="4" w:space="0"/>
            <w:bottom w:val="single" w:color="008000" w:sz="4" w:space="0"/>
            <w:right w:val="single" w:color="008000" w:sz="4" w:space="0"/>
            <w:insideH w:val="single" w:color="008000" w:sz="4" w:space="0"/>
            <w:insideV w:val="single" w:color="008000" w:sz="4" w:space="0"/>
          </w:tblBorders>
          <w:shd w:val="clear" w:color="auto" w:fill="CCFF99"/>
        </w:tblPrEx>
        <w:trPr>
          <w:trHeight w:val="4512" w:hRule="atLeast"/>
          <w:jc w:val="center"/>
        </w:trPr>
        <w:tc>
          <w:tcPr>
            <w:tcW w:w="8522" w:type="dxa"/>
            <w:tcBorders>
              <w:top w:val="single" w:color="000000" w:sz="4" w:space="0"/>
              <w:left w:val="single" w:color="000000" w:sz="4" w:space="0"/>
              <w:bottom w:val="single" w:color="000000" w:sz="4" w:space="0"/>
              <w:right w:val="single" w:color="000000" w:sz="4" w:space="0"/>
            </w:tcBorders>
            <w:shd w:val="clear" w:color="auto" w:fill="auto"/>
            <w:noWrap w:val="0"/>
            <w:vAlign w:val="top"/>
          </w:tcPr>
          <w:p>
            <w:pPr>
              <w:adjustRightInd w:val="0"/>
              <w:snapToGrid w:val="0"/>
              <w:spacing w:line="440" w:lineRule="exact"/>
              <w:ind w:firstLine="544" w:firstLineChars="200"/>
              <w:rPr>
                <w:rFonts w:eastAsia="方正仿宋简体"/>
                <w:bCs/>
                <w:color w:val="000000"/>
                <w:spacing w:val="-4"/>
                <w:sz w:val="28"/>
                <w:szCs w:val="28"/>
              </w:rPr>
            </w:pPr>
            <w:r>
              <w:rPr>
                <w:rFonts w:eastAsia="方正仿宋简体"/>
                <w:bCs/>
                <w:color w:val="000000"/>
                <w:spacing w:val="-4"/>
                <w:sz w:val="28"/>
                <w:szCs w:val="28"/>
              </w:rPr>
              <w:t>现代物流。推进“五园十中心”物流集聚区建设，加快物流标准仓储建设，提升仓储服务能力和水平。加快推进城市共同配送体系建设，着力解决物流“最后一公里”问题。加快企业物流信息系统和物流公共信息平台建设，加强物流标准化的推广应用，培育发展一批物流龙头企业。到2020年，社会物流总费用占地区生产总值比重下降2-3个百分点。</w:t>
            </w:r>
          </w:p>
          <w:p>
            <w:pPr>
              <w:adjustRightInd w:val="0"/>
              <w:snapToGrid w:val="0"/>
              <w:spacing w:line="440" w:lineRule="exact"/>
              <w:ind w:firstLine="544" w:firstLineChars="200"/>
              <w:rPr>
                <w:rFonts w:eastAsia="方正仿宋简体"/>
                <w:bCs/>
                <w:color w:val="000000"/>
                <w:spacing w:val="-4"/>
                <w:sz w:val="28"/>
                <w:szCs w:val="28"/>
              </w:rPr>
            </w:pPr>
            <w:r>
              <w:rPr>
                <w:rFonts w:eastAsia="方正仿宋简体"/>
                <w:bCs/>
                <w:color w:val="000000"/>
                <w:spacing w:val="-4"/>
                <w:sz w:val="28"/>
                <w:szCs w:val="28"/>
              </w:rPr>
              <w:t>电子商务。鼓励电子商务集聚发展，推进长沙金霞经济开发区、雨花现代电子商务产业园等电子商务集聚区建设。加快传统企业应用电子商务实现转型升级，支持本市电子商务平台做大、做强。加强农村电子商务平台建设，实现农产品网上购销常态化。推动超市、商场、个体商户发展社区电子商务，积极发展移动电子商务，鼓励电子商务企业开通移动客户端。“十三五”期间，全市电子商务交易额年均增长30%。</w:t>
            </w:r>
          </w:p>
          <w:p>
            <w:pPr>
              <w:adjustRightInd w:val="0"/>
              <w:snapToGrid w:val="0"/>
              <w:spacing w:line="440" w:lineRule="exact"/>
              <w:ind w:firstLine="544" w:firstLineChars="200"/>
              <w:rPr>
                <w:rFonts w:hint="eastAsia" w:eastAsia="方正仿宋简体"/>
                <w:bCs/>
                <w:color w:val="000000"/>
                <w:sz w:val="28"/>
                <w:szCs w:val="28"/>
              </w:rPr>
            </w:pPr>
            <w:r>
              <w:rPr>
                <w:rFonts w:eastAsia="方正仿宋简体"/>
                <w:bCs/>
                <w:color w:val="000000"/>
                <w:spacing w:val="-4"/>
                <w:sz w:val="28"/>
                <w:szCs w:val="28"/>
              </w:rPr>
              <w:t>商务会展。大力引进国际著名的中介服务企业，引导本地法律服务、</w:t>
            </w:r>
            <w:r>
              <w:rPr>
                <w:rFonts w:eastAsia="方正仿宋简体"/>
                <w:bCs/>
                <w:color w:val="000000"/>
                <w:sz w:val="28"/>
                <w:szCs w:val="28"/>
              </w:rPr>
              <w:t>知识产权服务、广告等行业整合重组，争取在会计、审计、咨询、资产评估、信用评级等领域形成具有国际水准的中介服务机构，努力打造全国中介服务业领先城市。依托长沙国际会展中心，积极引进国内外有影响的大型展会，培育一批有影响、有效益的节会品牌。</w:t>
            </w:r>
          </w:p>
          <w:p>
            <w:pPr>
              <w:adjustRightInd w:val="0"/>
              <w:snapToGrid w:val="0"/>
              <w:spacing w:line="440" w:lineRule="exact"/>
              <w:ind w:firstLine="560" w:firstLineChars="200"/>
              <w:rPr>
                <w:rFonts w:eastAsia="方正仿宋简体"/>
                <w:bCs/>
                <w:color w:val="000000"/>
                <w:sz w:val="28"/>
                <w:szCs w:val="28"/>
              </w:rPr>
            </w:pPr>
            <w:r>
              <w:rPr>
                <w:rFonts w:eastAsia="方正仿宋简体"/>
                <w:bCs/>
                <w:color w:val="000000"/>
                <w:sz w:val="28"/>
                <w:szCs w:val="28"/>
              </w:rPr>
              <w:t>总部经济。重点引进世界500强企业、中国500强企业、中国制造业500强企业、中国服务业500强企业、跨国公司、大型央企等在长沙设立综合型总部、地区总部或职能型总部机构，打造辐射全省、影响中西部、面向全国的总部经济新高地。到2020年，在长世界500强企业和跨国公司区域总部、研发中心及国际组织分支机构达到200家以上。</w:t>
            </w:r>
          </w:p>
          <w:p>
            <w:pPr>
              <w:adjustRightInd w:val="0"/>
              <w:snapToGrid w:val="0"/>
              <w:spacing w:line="440" w:lineRule="exact"/>
              <w:ind w:firstLine="560" w:firstLineChars="200"/>
              <w:rPr>
                <w:rFonts w:eastAsia="方正仿宋简体"/>
                <w:bCs/>
                <w:color w:val="000000"/>
                <w:sz w:val="28"/>
                <w:szCs w:val="28"/>
              </w:rPr>
            </w:pPr>
            <w:r>
              <w:rPr>
                <w:rFonts w:eastAsia="方正仿宋简体"/>
                <w:bCs/>
                <w:color w:val="000000"/>
                <w:sz w:val="28"/>
                <w:szCs w:val="28"/>
              </w:rPr>
              <w:t>科技服务。推进研发基地、创业孵化及中试基地、检验检测认证基地、技术培训基地以及产业配套基地建设，在优势产业领域形成一批高水平的产业技术创新联盟、工业技术研究院，建成一批工程（技术）研究中心、企业技术中心、重点实验室等技术研发创新平台，培育一批科技中介服务机构。</w:t>
            </w:r>
          </w:p>
          <w:p>
            <w:pPr>
              <w:adjustRightInd w:val="0"/>
              <w:snapToGrid w:val="0"/>
              <w:spacing w:line="440" w:lineRule="exact"/>
              <w:ind w:firstLine="560" w:firstLineChars="200"/>
              <w:rPr>
                <w:rFonts w:hint="eastAsia" w:eastAsia="方正仿宋简体"/>
                <w:bCs/>
                <w:color w:val="000000"/>
                <w:sz w:val="28"/>
                <w:szCs w:val="28"/>
              </w:rPr>
            </w:pPr>
            <w:r>
              <w:rPr>
                <w:rFonts w:eastAsia="方正仿宋简体"/>
                <w:bCs/>
                <w:color w:val="000000"/>
                <w:sz w:val="28"/>
                <w:szCs w:val="28"/>
              </w:rPr>
              <w:t>服务外包。以全国服务外包示范城市为载体，加大服务外包招商引资力度，鼓励和支持服务外包企业开展标准化建设和品牌建设，支持建设服务外包行业商（协）会，通过融入全球产业链带动产业结构优化升级，积极推进有条件的企业承接信息管理、技术研发、工业设计等国际服务外包业务，推动“长沙服务”成为国内外具有较大影响力的知名品牌。</w:t>
            </w:r>
          </w:p>
        </w:tc>
      </w:tr>
    </w:tbl>
    <w:p>
      <w:pPr>
        <w:adjustRightInd w:val="0"/>
        <w:snapToGrid w:val="0"/>
        <w:spacing w:line="600" w:lineRule="exact"/>
        <w:ind w:firstLine="600" w:firstLineChars="200"/>
        <w:rPr>
          <w:rFonts w:hint="eastAsia" w:eastAsia="方正仿宋简体"/>
          <w:color w:val="000000"/>
          <w:spacing w:val="4"/>
          <w:sz w:val="30"/>
          <w:szCs w:val="30"/>
        </w:rPr>
      </w:pPr>
      <w:r>
        <w:rPr>
          <w:rFonts w:eastAsia="方正仿宋简体"/>
          <w:bCs/>
          <w:color w:val="000000"/>
          <w:sz w:val="30"/>
          <w:szCs w:val="30"/>
        </w:rPr>
        <w:t>2、</w:t>
      </w:r>
      <w:r>
        <w:rPr>
          <w:rFonts w:eastAsia="方正仿宋简体"/>
          <w:bCs/>
          <w:color w:val="000000"/>
          <w:spacing w:val="4"/>
          <w:sz w:val="30"/>
          <w:szCs w:val="30"/>
        </w:rPr>
        <w:t>提质发展生活性服务业。</w:t>
      </w:r>
      <w:r>
        <w:rPr>
          <w:rFonts w:eastAsia="方正仿宋简体"/>
          <w:color w:val="000000"/>
          <w:spacing w:val="4"/>
          <w:sz w:val="30"/>
          <w:szCs w:val="30"/>
        </w:rPr>
        <w:t>着力强化以旅游、医疗、健康、教育服务为核心的综合服务功能，以配套基础设施和服务能力建设为重点，促进各类社会资源有效融合，引进与培育各类专业服务机构，突出服务特色，培育服务品牌，构建与经济社会发展阶段相匹配、与新型城镇化进程相协调、与居民需求相适应的生活性服务业体系。</w:t>
      </w:r>
    </w:p>
    <w:p>
      <w:pPr>
        <w:adjustRightInd w:val="0"/>
        <w:snapToGrid w:val="0"/>
        <w:spacing w:line="600" w:lineRule="exact"/>
        <w:jc w:val="center"/>
        <w:rPr>
          <w:rFonts w:hint="eastAsia" w:ascii="黑体" w:eastAsia="黑体"/>
          <w:color w:val="000000"/>
          <w:sz w:val="28"/>
          <w:szCs w:val="28"/>
        </w:rPr>
      </w:pPr>
      <w:r>
        <w:rPr>
          <w:rFonts w:hint="eastAsia" w:ascii="黑体" w:eastAsia="黑体"/>
          <w:color w:val="000000"/>
          <w:sz w:val="28"/>
          <w:szCs w:val="28"/>
        </w:rPr>
        <w:t>专栏11：生活性服务业</w:t>
      </w:r>
    </w:p>
    <w:tbl>
      <w:tblPr>
        <w:tblStyle w:val="15"/>
        <w:tblW w:w="0" w:type="auto"/>
        <w:jc w:val="center"/>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Layout w:type="fixed"/>
        <w:tblCellMar>
          <w:top w:w="0" w:type="dxa"/>
          <w:left w:w="108" w:type="dxa"/>
          <w:bottom w:w="0" w:type="dxa"/>
          <w:right w:w="108" w:type="dxa"/>
        </w:tblCellMar>
      </w:tblPr>
      <w:tblGrid>
        <w:gridCol w:w="8522"/>
      </w:tblGrid>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PrEx>
        <w:trPr>
          <w:trHeight w:val="12320" w:hRule="atLeast"/>
          <w:jc w:val="center"/>
        </w:trPr>
        <w:tc>
          <w:tcPr>
            <w:tcW w:w="8522" w:type="dxa"/>
            <w:noWrap w:val="0"/>
            <w:vAlign w:val="center"/>
          </w:tcPr>
          <w:p>
            <w:pPr>
              <w:adjustRightInd w:val="0"/>
              <w:snapToGrid w:val="0"/>
              <w:spacing w:line="440" w:lineRule="exact"/>
              <w:ind w:firstLine="560" w:firstLineChars="200"/>
              <w:rPr>
                <w:rFonts w:eastAsia="方正仿宋简体"/>
                <w:bCs/>
                <w:color w:val="000000"/>
                <w:sz w:val="28"/>
                <w:szCs w:val="28"/>
              </w:rPr>
            </w:pPr>
            <w:r>
              <w:rPr>
                <w:rFonts w:eastAsia="方正仿宋简体"/>
                <w:bCs/>
                <w:color w:val="000000"/>
                <w:sz w:val="28"/>
                <w:szCs w:val="28"/>
              </w:rPr>
              <w:t>旅游休闲。充分挖掘“山水洲城”的资源优势，以“游乐长沙”为品牌，整体提升城市建筑、街区、道路的景观功能，打造长沙城市大景区；加快建设湘江文化旅游区、浏阳河文化旅游产业带、沩水河文化观光旅游带（“十里画廊”）等水上旅游核心品牌；突出抓好岳麓山文化旅游区、大围山国家生态旅游示范区、沩山文化观光旅游区、大王山森林度假主题公园建设，打造新型山岳文化旅游精品；抓好灰汤温泉等特色旅游区建设。</w:t>
            </w:r>
          </w:p>
          <w:p>
            <w:pPr>
              <w:adjustRightInd w:val="0"/>
              <w:snapToGrid w:val="0"/>
              <w:spacing w:line="440" w:lineRule="exact"/>
              <w:ind w:firstLine="544" w:firstLineChars="200"/>
              <w:rPr>
                <w:rFonts w:hint="eastAsia" w:eastAsia="方正仿宋简体"/>
                <w:bCs/>
                <w:color w:val="000000"/>
                <w:spacing w:val="-4"/>
                <w:sz w:val="28"/>
                <w:szCs w:val="28"/>
              </w:rPr>
            </w:pPr>
            <w:r>
              <w:rPr>
                <w:rFonts w:eastAsia="方正仿宋简体"/>
                <w:bCs/>
                <w:color w:val="000000"/>
                <w:spacing w:val="-4"/>
                <w:sz w:val="28"/>
                <w:szCs w:val="28"/>
              </w:rPr>
              <w:t>健康服务。大力发展高端医疗、特色医疗等医疗卫生服务，推动建设健康教育、健康体检、营养保健、心理健康等健康管理服务体系。加快构建养老医疗相结合的综合服务体系、康复医疗体系、健康保险服务体系，逐步完善健康旅游、体育健身、休闲保健等其他健康服务体系。</w:t>
            </w:r>
          </w:p>
          <w:p>
            <w:pPr>
              <w:adjustRightInd w:val="0"/>
              <w:snapToGrid w:val="0"/>
              <w:spacing w:line="440" w:lineRule="exact"/>
              <w:ind w:firstLine="544" w:firstLineChars="200"/>
              <w:rPr>
                <w:rFonts w:eastAsia="方正仿宋简体"/>
                <w:bCs/>
                <w:color w:val="000000"/>
                <w:spacing w:val="-4"/>
                <w:sz w:val="28"/>
                <w:szCs w:val="28"/>
              </w:rPr>
            </w:pPr>
            <w:r>
              <w:rPr>
                <w:rFonts w:eastAsia="方正仿宋简体"/>
                <w:bCs/>
                <w:color w:val="000000"/>
                <w:spacing w:val="-4"/>
                <w:sz w:val="28"/>
                <w:szCs w:val="28"/>
              </w:rPr>
              <w:t>健康服务。大力发展高端医疗、特色医疗等医疗卫生服务，推动建设健康教育、健康体检、营养保健、心理健康等健康管理服务体系。加快构建养老医疗相结合的综合服务体系、康复医疗体系、健康保险服务体系，逐步完善健康旅游、体育健身、休闲保健等其他健康服务体系。</w:t>
            </w:r>
          </w:p>
          <w:p>
            <w:pPr>
              <w:adjustRightInd w:val="0"/>
              <w:snapToGrid w:val="0"/>
              <w:spacing w:line="440" w:lineRule="exact"/>
              <w:ind w:firstLine="560" w:firstLineChars="200"/>
              <w:rPr>
                <w:rFonts w:eastAsia="方正仿宋简体"/>
                <w:bCs/>
                <w:color w:val="000000"/>
                <w:sz w:val="28"/>
                <w:szCs w:val="28"/>
              </w:rPr>
            </w:pPr>
            <w:r>
              <w:rPr>
                <w:rFonts w:eastAsia="方正仿宋简体"/>
                <w:bCs/>
                <w:color w:val="000000"/>
                <w:sz w:val="28"/>
                <w:szCs w:val="28"/>
              </w:rPr>
              <w:t>养老服务。构建以居家为基础、社区为依托、机构为补充的养老服务体系。开发养老服务综合信息管理平台，完善社区居家养老服务设施建设，改造老年人无障碍居住环境。加强对医疗保健业、家政服务业、房地产业、咨询服务业等与老年服务业相关的产业分类管理。</w:t>
            </w:r>
          </w:p>
          <w:p>
            <w:pPr>
              <w:adjustRightInd w:val="0"/>
              <w:snapToGrid w:val="0"/>
              <w:spacing w:line="440" w:lineRule="exact"/>
              <w:ind w:firstLine="560" w:firstLineChars="200"/>
              <w:rPr>
                <w:rFonts w:eastAsia="方正仿宋简体"/>
                <w:bCs/>
                <w:color w:val="000000"/>
                <w:spacing w:val="-4"/>
                <w:sz w:val="28"/>
                <w:szCs w:val="28"/>
              </w:rPr>
            </w:pPr>
            <w:r>
              <w:rPr>
                <w:rFonts w:eastAsia="方正仿宋简体"/>
                <w:bCs/>
                <w:color w:val="000000"/>
                <w:sz w:val="28"/>
                <w:szCs w:val="28"/>
              </w:rPr>
              <w:t>房</w:t>
            </w:r>
            <w:r>
              <w:rPr>
                <w:rFonts w:eastAsia="方正仿宋简体"/>
                <w:bCs/>
                <w:color w:val="000000"/>
                <w:spacing w:val="-4"/>
                <w:sz w:val="28"/>
                <w:szCs w:val="28"/>
              </w:rPr>
              <w:t>地产业。按照以居住为主、以市民消费为主、以普通商品住房为主的发展方向，加强土地、金融、税收等调控措施，加快化解房地产库存。落实户籍制度改革，加快推动农村居民向城镇转移，扩大房地产有效需求。加快发展住房租赁市场，积极发展存量住房市场。鼓励房地产企业兼并重组，提升产业规模集聚效应，提高房地产供给质量。</w:t>
            </w:r>
          </w:p>
          <w:p>
            <w:pPr>
              <w:adjustRightInd w:val="0"/>
              <w:snapToGrid w:val="0"/>
              <w:spacing w:line="440" w:lineRule="exact"/>
              <w:ind w:firstLine="560" w:firstLineChars="200"/>
              <w:rPr>
                <w:rFonts w:hint="eastAsia" w:eastAsia="方正仿宋简体"/>
                <w:color w:val="000000"/>
                <w:sz w:val="24"/>
                <w:szCs w:val="24"/>
              </w:rPr>
            </w:pPr>
            <w:r>
              <w:rPr>
                <w:rFonts w:eastAsia="方正仿宋简体"/>
                <w:bCs/>
                <w:color w:val="000000"/>
                <w:sz w:val="28"/>
                <w:szCs w:val="28"/>
              </w:rPr>
              <w:t>家庭服务。鼓励各类资本投资创办家庭服务企业，培育家庭服务市场，重点发展家政服务、社区服务、家庭教育、婴幼儿看护和病患陪护，基本形成便捷化、广覆盖的家庭服务体系。</w:t>
            </w:r>
          </w:p>
        </w:tc>
      </w:tr>
    </w:tbl>
    <w:p>
      <w:pPr>
        <w:adjustRightInd w:val="0"/>
        <w:snapToGrid w:val="0"/>
        <w:spacing w:line="630" w:lineRule="exact"/>
        <w:ind w:firstLine="600" w:firstLineChars="200"/>
        <w:rPr>
          <w:rFonts w:eastAsia="方正仿宋简体"/>
          <w:color w:val="000000"/>
          <w:sz w:val="30"/>
          <w:szCs w:val="30"/>
        </w:rPr>
      </w:pPr>
      <w:bookmarkStart w:id="4" w:name="_Toc282534766"/>
      <w:bookmarkStart w:id="5" w:name="_Toc283280955"/>
      <w:r>
        <w:rPr>
          <w:rFonts w:eastAsia="方正仿宋简体"/>
          <w:bCs/>
          <w:color w:val="000000"/>
          <w:sz w:val="30"/>
          <w:szCs w:val="30"/>
        </w:rPr>
        <w:t>3、构建现代金融产业体系。按照“ 一主一副一区一园”的空间布局，加快芙蓉中路金融街、沿江金融集聚带、金融后台园区、科技金融结合创新园建设，推动金融业集聚、差异、互补发展。积极支持本土金融旗舰企业发展壮大，着力引进国际金融机构、新型金融机构的总部或区域性总部入驻。全方位推进直接融资，支持企业通过首次公开募股（IPO）、“新三板”挂牌、公司债券等多种模式拓宽融资渠道。推动融资性担保机构、小额贷款公司规范化、规模化发展。支持金融产品和服务模式创新，</w:t>
      </w:r>
      <w:r>
        <w:rPr>
          <w:rFonts w:eastAsia="方正仿宋简体"/>
          <w:color w:val="000000"/>
          <w:sz w:val="30"/>
          <w:szCs w:val="30"/>
        </w:rPr>
        <w:t>积极培育第三方支付、众筹等新兴金融业态，</w:t>
      </w:r>
      <w:r>
        <w:rPr>
          <w:rFonts w:eastAsia="方正仿宋简体"/>
          <w:bCs/>
          <w:color w:val="000000"/>
          <w:sz w:val="30"/>
          <w:szCs w:val="30"/>
        </w:rPr>
        <w:t>加快发展民营银行、金融租赁公司、消费金融公司等新型金融机构。到2020年，金融产业增加值达650亿元，年均增长12%以上。</w:t>
      </w:r>
      <w:bookmarkEnd w:id="4"/>
      <w:bookmarkEnd w:id="5"/>
    </w:p>
    <w:p>
      <w:pPr>
        <w:adjustRightInd w:val="0"/>
        <w:snapToGrid w:val="0"/>
        <w:spacing w:line="630" w:lineRule="exact"/>
        <w:ind w:firstLine="600" w:firstLineChars="200"/>
        <w:rPr>
          <w:rFonts w:eastAsia="方正仿宋简体"/>
          <w:bCs/>
          <w:color w:val="000000"/>
          <w:sz w:val="30"/>
          <w:szCs w:val="30"/>
        </w:rPr>
      </w:pPr>
      <w:r>
        <w:rPr>
          <w:rFonts w:eastAsia="方正仿宋简体"/>
          <w:bCs/>
          <w:color w:val="000000"/>
          <w:sz w:val="30"/>
          <w:szCs w:val="30"/>
        </w:rPr>
        <w:t>三、加快推进农业现代化</w:t>
      </w:r>
    </w:p>
    <w:p>
      <w:pPr>
        <w:adjustRightInd w:val="0"/>
        <w:snapToGrid w:val="0"/>
        <w:spacing w:line="630" w:lineRule="exact"/>
        <w:ind w:firstLine="600" w:firstLineChars="200"/>
        <w:rPr>
          <w:rFonts w:eastAsia="方正仿宋简体"/>
          <w:color w:val="000000"/>
          <w:sz w:val="30"/>
          <w:szCs w:val="30"/>
        </w:rPr>
      </w:pPr>
      <w:r>
        <w:rPr>
          <w:rFonts w:eastAsia="方正仿宋简体"/>
          <w:color w:val="000000"/>
          <w:sz w:val="30"/>
          <w:szCs w:val="30"/>
        </w:rPr>
        <w:t>着力加强农业供给侧结构性改革。按照生态安全、绿色高效的要求，提高农业现代化水平，走产出高效、产品安全、资源节约、环境友好的现代农业发展道路。到2020年，新增一批现代农业生产基地，打造100家农业类中国驰名商标、国家地理标志及国家级龙头企业。</w:t>
      </w:r>
    </w:p>
    <w:p>
      <w:pPr>
        <w:adjustRightInd w:val="0"/>
        <w:snapToGrid w:val="0"/>
        <w:spacing w:line="630" w:lineRule="exact"/>
        <w:ind w:firstLine="608" w:firstLineChars="200"/>
        <w:rPr>
          <w:rFonts w:eastAsia="方正仿宋简体"/>
          <w:color w:val="000000"/>
          <w:sz w:val="30"/>
          <w:szCs w:val="30"/>
        </w:rPr>
      </w:pPr>
      <w:r>
        <w:rPr>
          <w:rFonts w:eastAsia="方正仿宋简体"/>
          <w:bCs/>
          <w:color w:val="000000"/>
          <w:spacing w:val="2"/>
          <w:sz w:val="30"/>
          <w:szCs w:val="30"/>
        </w:rPr>
        <w:t>1、发展特色现代农业。</w:t>
      </w:r>
      <w:r>
        <w:rPr>
          <w:rFonts w:eastAsia="方正仿宋简体"/>
          <w:color w:val="000000"/>
          <w:spacing w:val="2"/>
          <w:sz w:val="30"/>
          <w:szCs w:val="30"/>
        </w:rPr>
        <w:t>稳定发展粮食、蔬菜、畜禽等基础性产业，实施高标准农田建设、“双十”粮食产业提升、绿色种植等现</w:t>
      </w:r>
      <w:r>
        <w:rPr>
          <w:rFonts w:eastAsia="方正仿宋简体"/>
          <w:color w:val="000000"/>
          <w:spacing w:val="4"/>
          <w:sz w:val="30"/>
          <w:szCs w:val="30"/>
        </w:rPr>
        <w:t>代农业产业化工程，强化农产品全程监管和责任追溯，推进无公害绿色有机农产品认证，守住农产品质量安全底线，有效保障“米</w:t>
      </w:r>
      <w:r>
        <w:rPr>
          <w:rFonts w:eastAsia="方正仿宋简体"/>
          <w:color w:val="000000"/>
          <w:sz w:val="30"/>
          <w:szCs w:val="30"/>
        </w:rPr>
        <w:t>袋子”、“菜篮子”。以市场需求为导向，着力发展花卉苗木、烟叶、油茶、中药材、种源等优势特色产业，扩大和提升宁乡花猪、大围山水果、金井茶叶、望城水产等品牌影响力。到2020年，力争高标准农田占全市耕地总面积的70%以上，主要农产品优质率达90%以上。</w:t>
      </w:r>
    </w:p>
    <w:p>
      <w:pPr>
        <w:adjustRightInd w:val="0"/>
        <w:snapToGrid w:val="0"/>
        <w:spacing w:line="630" w:lineRule="exact"/>
        <w:ind w:firstLine="600" w:firstLineChars="200"/>
        <w:rPr>
          <w:rFonts w:eastAsia="方正仿宋简体"/>
          <w:color w:val="000000"/>
          <w:sz w:val="30"/>
          <w:szCs w:val="30"/>
        </w:rPr>
      </w:pPr>
      <w:r>
        <w:rPr>
          <w:rFonts w:eastAsia="方正仿宋简体"/>
          <w:bCs/>
          <w:color w:val="000000"/>
          <w:sz w:val="30"/>
          <w:szCs w:val="30"/>
        </w:rPr>
        <w:t>2、培育新型农业经营主体。</w:t>
      </w:r>
      <w:r>
        <w:rPr>
          <w:rFonts w:eastAsia="方正仿宋简体"/>
          <w:color w:val="000000"/>
          <w:sz w:val="30"/>
          <w:szCs w:val="30"/>
        </w:rPr>
        <w:t>加快培育家庭农场、专业大户、农民合作社、农业龙头企业等新型农业经营主体。加强农民专业合作社和土地股份合作社规范化建设，创新农业产业链组织形式和利益联接机制，支持农业龙头企业开展跨区域、跨行业、跨所有制联合经营，构建农户、合作社、企业之间互利共赢的合作模式。大力培育新型职业农民，造就高素质的新型农业生产经营者队伍。到2020年，省级示范性家庭农场达200户以上，市级示范性家庭农场达1000户以上。</w:t>
      </w:r>
    </w:p>
    <w:p>
      <w:pPr>
        <w:adjustRightInd w:val="0"/>
        <w:snapToGrid w:val="0"/>
        <w:spacing w:line="630" w:lineRule="exact"/>
        <w:ind w:firstLine="600" w:firstLineChars="200"/>
        <w:rPr>
          <w:rFonts w:hint="eastAsia" w:eastAsia="方正仿宋简体"/>
          <w:color w:val="000000"/>
          <w:sz w:val="30"/>
          <w:szCs w:val="30"/>
        </w:rPr>
      </w:pPr>
      <w:r>
        <w:rPr>
          <w:rFonts w:eastAsia="方正仿宋简体"/>
          <w:bCs/>
          <w:color w:val="000000"/>
          <w:sz w:val="30"/>
          <w:szCs w:val="30"/>
        </w:rPr>
        <w:t>3、推进农业与二三产业融合互动。</w:t>
      </w:r>
      <w:r>
        <w:rPr>
          <w:rFonts w:eastAsia="方正仿宋简体"/>
          <w:color w:val="000000"/>
          <w:sz w:val="30"/>
          <w:szCs w:val="30"/>
        </w:rPr>
        <w:t>积极创新农业内部产业整合型融合、农业产业链延伸型融合、农业与其他产业交叉型融合、先进适用技术对农业的渗透型融合等多种类型的产业融合模式，着力提升一二三产业融合发展水平。鼓励发展适度规模种养业、农产品加工业和农村服务业，创建农业产业化示范基地。培育新型农产品流通业态，加强农超、农校、农企、农社对接，推广产供销一体化农业发展模式。依托农业资源，加强农事景观设计、体验活动创意、乡土文化开发，促进休闲观光农业快速发展。</w:t>
      </w:r>
    </w:p>
    <w:p>
      <w:pPr>
        <w:adjustRightInd w:val="0"/>
        <w:snapToGrid w:val="0"/>
        <w:spacing w:line="630" w:lineRule="exact"/>
        <w:jc w:val="center"/>
        <w:rPr>
          <w:rFonts w:hint="eastAsia" w:eastAsia="方正仿宋简体"/>
          <w:color w:val="000000"/>
          <w:sz w:val="30"/>
          <w:szCs w:val="30"/>
        </w:rPr>
      </w:pPr>
      <w:r>
        <w:rPr>
          <w:rFonts w:ascii="黑体" w:eastAsia="黑体"/>
          <w:color w:val="000000"/>
          <w:sz w:val="28"/>
          <w:szCs w:val="28"/>
        </w:rPr>
        <w:t>专栏12：现代农业</w:t>
      </w:r>
    </w:p>
    <w:tbl>
      <w:tblPr>
        <w:tblStyle w:val="15"/>
        <w:tblW w:w="0" w:type="auto"/>
        <w:jc w:val="center"/>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Layout w:type="fixed"/>
        <w:tblCellMar>
          <w:top w:w="0" w:type="dxa"/>
          <w:left w:w="108" w:type="dxa"/>
          <w:bottom w:w="0" w:type="dxa"/>
          <w:right w:w="108" w:type="dxa"/>
        </w:tblCellMar>
      </w:tblPr>
      <w:tblGrid>
        <w:gridCol w:w="8522"/>
      </w:tblGrid>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PrEx>
        <w:trPr>
          <w:trHeight w:val="12759" w:hRule="atLeast"/>
          <w:jc w:val="center"/>
        </w:trPr>
        <w:tc>
          <w:tcPr>
            <w:tcW w:w="8522" w:type="dxa"/>
            <w:noWrap w:val="0"/>
            <w:vAlign w:val="center"/>
          </w:tcPr>
          <w:p>
            <w:pPr>
              <w:adjustRightInd w:val="0"/>
              <w:snapToGrid w:val="0"/>
              <w:spacing w:line="380" w:lineRule="exact"/>
              <w:ind w:firstLine="560" w:firstLineChars="200"/>
              <w:rPr>
                <w:rFonts w:eastAsia="方正仿宋简体"/>
                <w:color w:val="000000"/>
                <w:sz w:val="28"/>
                <w:szCs w:val="28"/>
              </w:rPr>
            </w:pPr>
            <w:r>
              <w:rPr>
                <w:rFonts w:eastAsia="方正仿宋简体"/>
                <w:bCs/>
                <w:color w:val="000000"/>
                <w:sz w:val="28"/>
                <w:szCs w:val="28"/>
              </w:rPr>
              <w:t>基础性农业</w:t>
            </w:r>
            <w:bookmarkStart w:id="6" w:name="_Toc393640390"/>
            <w:bookmarkStart w:id="7" w:name="_Toc394692498"/>
            <w:bookmarkStart w:id="8" w:name="_Toc392769302"/>
            <w:bookmarkStart w:id="9" w:name="_Toc393726074"/>
            <w:bookmarkStart w:id="10" w:name="_Toc391826740"/>
            <w:r>
              <w:rPr>
                <w:rFonts w:eastAsia="方正仿宋简体"/>
                <w:bCs/>
                <w:color w:val="000000"/>
                <w:sz w:val="28"/>
                <w:szCs w:val="28"/>
              </w:rPr>
              <w:t>。粮食产业</w:t>
            </w:r>
            <w:bookmarkEnd w:id="6"/>
            <w:bookmarkEnd w:id="7"/>
            <w:bookmarkEnd w:id="8"/>
            <w:bookmarkEnd w:id="9"/>
            <w:bookmarkEnd w:id="10"/>
            <w:r>
              <w:rPr>
                <w:rFonts w:eastAsia="方正仿宋简体"/>
                <w:bCs/>
                <w:color w:val="000000"/>
                <w:sz w:val="28"/>
                <w:szCs w:val="28"/>
              </w:rPr>
              <w:t>：</w:t>
            </w:r>
            <w:r>
              <w:rPr>
                <w:rFonts w:eastAsia="方正仿宋简体"/>
                <w:color w:val="000000"/>
                <w:sz w:val="28"/>
                <w:szCs w:val="28"/>
              </w:rPr>
              <w:t>建设高标准农田121万亩，加快10万亩连片优质粮基地、万亩高标准粮田和千亩水稻科技示范园建设，力争建设优质湘米生产基地280万亩，水稻年播种面积稳定在550万亩以上，粮食总产量在240万吨以上。</w:t>
            </w:r>
            <w:r>
              <w:rPr>
                <w:rFonts w:eastAsia="方正仿宋简体"/>
                <w:bCs/>
                <w:color w:val="000000"/>
                <w:sz w:val="28"/>
                <w:szCs w:val="28"/>
              </w:rPr>
              <w:t>蔬菜产业：</w:t>
            </w:r>
            <w:r>
              <w:rPr>
                <w:rFonts w:eastAsia="方正仿宋简体"/>
                <w:color w:val="000000"/>
                <w:sz w:val="28"/>
                <w:szCs w:val="28"/>
              </w:rPr>
              <w:t>重点发展叶类生产基地、特色蔬菜种植基地、食用菌生产基地和绿色有机蔬菜生产基地等四大优势蔬菜产业，确保商品蔬菜播种面积稳定在150万亩左右、产量350万吨左右。</w:t>
            </w:r>
            <w:r>
              <w:rPr>
                <w:rFonts w:eastAsia="方正仿宋简体"/>
                <w:bCs/>
                <w:color w:val="000000"/>
                <w:sz w:val="28"/>
                <w:szCs w:val="28"/>
              </w:rPr>
              <w:t>畜禽产业：</w:t>
            </w:r>
            <w:r>
              <w:rPr>
                <w:rFonts w:eastAsia="方正仿宋简体"/>
                <w:color w:val="000000"/>
                <w:sz w:val="28"/>
                <w:szCs w:val="28"/>
              </w:rPr>
              <w:t>加快建设100万头宁乡猪、50万头大围子猪标准化生态养殖基地，生猪生产规模稳定在年出栏650万头左右；建设标准化家禽产业区，培养5家以上现代化种禽场、10家以上家禽养殖龙头企业，发展500家标准化规模养殖专业户；大力发展草食牧业，扶持建成肉牛、肉羊和奶牛规模养殖场100个。</w:t>
            </w:r>
          </w:p>
          <w:p>
            <w:pPr>
              <w:adjustRightInd w:val="0"/>
              <w:snapToGrid w:val="0"/>
              <w:spacing w:line="380" w:lineRule="exact"/>
              <w:ind w:firstLine="560" w:firstLineChars="200"/>
              <w:rPr>
                <w:rFonts w:eastAsia="方正仿宋简体"/>
                <w:color w:val="000000"/>
                <w:sz w:val="28"/>
                <w:szCs w:val="28"/>
              </w:rPr>
            </w:pPr>
            <w:r>
              <w:rPr>
                <w:rFonts w:eastAsia="方正仿宋简体"/>
                <w:bCs/>
                <w:color w:val="000000"/>
                <w:sz w:val="28"/>
                <w:szCs w:val="28"/>
              </w:rPr>
              <w:t>优势特色产业。花卉苗木产业：</w:t>
            </w:r>
            <w:r>
              <w:rPr>
                <w:rFonts w:eastAsia="方正仿宋简体"/>
                <w:color w:val="000000"/>
                <w:sz w:val="28"/>
                <w:szCs w:val="28"/>
              </w:rPr>
              <w:t>依托浏阳河花卉苗木产业带，加快百亩级花卉园艺场和千亩级高档优质苗木基地建设，建成中南地区最大的绿化苗木生产基地和交易中心，花卉苗木种植面积稳定在60万亩。</w:t>
            </w:r>
            <w:r>
              <w:rPr>
                <w:rFonts w:eastAsia="方正仿宋简体"/>
                <w:bCs/>
                <w:color w:val="000000"/>
                <w:sz w:val="28"/>
                <w:szCs w:val="28"/>
              </w:rPr>
              <w:t>烟叶产业：</w:t>
            </w:r>
            <w:r>
              <w:rPr>
                <w:rFonts w:eastAsia="方正仿宋简体"/>
                <w:color w:val="000000"/>
                <w:sz w:val="28"/>
                <w:szCs w:val="28"/>
              </w:rPr>
              <w:t>完善烟田基础设施及配套设施建设，积极创新烟叶生产运作模式，重点打造10个万亩优质烤烟乡镇。</w:t>
            </w:r>
            <w:r>
              <w:rPr>
                <w:rFonts w:eastAsia="方正仿宋简体"/>
                <w:bCs/>
                <w:color w:val="000000"/>
                <w:sz w:val="28"/>
                <w:szCs w:val="28"/>
              </w:rPr>
              <w:t>茶叶产业：</w:t>
            </w:r>
            <w:r>
              <w:rPr>
                <w:rFonts w:eastAsia="方正仿宋简体"/>
                <w:color w:val="000000"/>
                <w:sz w:val="28"/>
                <w:szCs w:val="28"/>
              </w:rPr>
              <w:t>加快推进高标准茶园建设，积极开发高档精品茶、名优茶、有机茶和出口茶，力争建成优质高产茶园面积50万亩以上。</w:t>
            </w:r>
            <w:r>
              <w:rPr>
                <w:rFonts w:eastAsia="方正仿宋简体"/>
                <w:bCs/>
                <w:color w:val="000000"/>
                <w:sz w:val="28"/>
                <w:szCs w:val="28"/>
              </w:rPr>
              <w:t>油茶产业：</w:t>
            </w:r>
            <w:r>
              <w:rPr>
                <w:rFonts w:eastAsia="方正仿宋简体"/>
                <w:color w:val="000000"/>
                <w:sz w:val="28"/>
                <w:szCs w:val="28"/>
              </w:rPr>
              <w:t>加快完善油茶选、引、繁、育等良种繁育体系，提高优质种苗的生产供应能力。重点开发油茶营养食品、茶皂素、蛋白奶等医药化工产品，提高油茶附加值，建成优质油茶基地100万亩。</w:t>
            </w:r>
            <w:r>
              <w:rPr>
                <w:rFonts w:eastAsia="方正仿宋简体"/>
                <w:bCs/>
                <w:color w:val="000000"/>
                <w:sz w:val="28"/>
                <w:szCs w:val="28"/>
              </w:rPr>
              <w:t>水果产业：</w:t>
            </w:r>
            <w:r>
              <w:rPr>
                <w:rFonts w:eastAsia="方正仿宋简体"/>
                <w:color w:val="000000"/>
                <w:sz w:val="28"/>
                <w:szCs w:val="28"/>
              </w:rPr>
              <w:t>引进和培育高档时鲜水果，加快以设施栽培为主体的特色水果采摘园建设，建成优质水果基地50万亩以上。</w:t>
            </w:r>
            <w:r>
              <w:rPr>
                <w:rFonts w:eastAsia="方正仿宋简体"/>
                <w:bCs/>
                <w:color w:val="000000"/>
                <w:sz w:val="28"/>
                <w:szCs w:val="28"/>
              </w:rPr>
              <w:t>中药材产业：</w:t>
            </w:r>
            <w:r>
              <w:rPr>
                <w:rFonts w:eastAsia="方正仿宋简体"/>
                <w:color w:val="000000"/>
                <w:sz w:val="28"/>
                <w:szCs w:val="28"/>
              </w:rPr>
              <w:t>依托浏阳国家生物医药园，发展高效中药材生产基地。加快建设以浏阳淳口、社港、沙市等地为主的金银花、罗汉果生产基地，以宁乡青山桥 、沙田、龙田等地为主的板蓝根、玉竹生产基地，以长沙县开慧、双江等地为主的铁皮石斛生产基地。到2020年，全市中药材基地面积达15万亩以上。</w:t>
            </w:r>
            <w:r>
              <w:rPr>
                <w:rFonts w:eastAsia="方正仿宋简体"/>
                <w:bCs/>
                <w:color w:val="000000"/>
                <w:sz w:val="28"/>
                <w:szCs w:val="28"/>
              </w:rPr>
              <w:t>水产品养</w:t>
            </w:r>
            <w:r>
              <w:rPr>
                <w:rFonts w:eastAsia="方正仿宋简体"/>
                <w:bCs/>
                <w:color w:val="000000"/>
                <w:spacing w:val="-4"/>
                <w:sz w:val="28"/>
                <w:szCs w:val="28"/>
              </w:rPr>
              <w:t>殖业：</w:t>
            </w:r>
            <w:r>
              <w:rPr>
                <w:rFonts w:eastAsia="方正仿宋简体"/>
                <w:color w:val="000000"/>
                <w:spacing w:val="-4"/>
                <w:sz w:val="28"/>
                <w:szCs w:val="28"/>
              </w:rPr>
              <w:t>深入推进水产健康养殖，大力推进100亩以上集中连片池塘标准化改造，发展高效设施渔业、精品渔业，到2020年，水产品产量达15万吨。</w:t>
            </w:r>
            <w:r>
              <w:rPr>
                <w:rFonts w:eastAsia="方正仿宋简体"/>
                <w:bCs/>
                <w:color w:val="000000"/>
                <w:spacing w:val="-4"/>
                <w:sz w:val="28"/>
                <w:szCs w:val="28"/>
              </w:rPr>
              <w:t>种源产业：</w:t>
            </w:r>
            <w:r>
              <w:rPr>
                <w:rFonts w:eastAsia="方正仿宋简体"/>
                <w:color w:val="000000"/>
                <w:spacing w:val="-4"/>
                <w:sz w:val="28"/>
                <w:szCs w:val="28"/>
              </w:rPr>
              <w:t>加强宁乡花猪、大围子猪、湘东黑山羊等地方品种资源的保护与利用。加快推进“种业硅谷”建设，打造种子产业基地。</w:t>
            </w:r>
          </w:p>
          <w:p>
            <w:pPr>
              <w:adjustRightInd w:val="0"/>
              <w:snapToGrid w:val="0"/>
              <w:spacing w:line="380" w:lineRule="exact"/>
              <w:ind w:firstLine="536" w:firstLineChars="200"/>
              <w:rPr>
                <w:rFonts w:eastAsia="方正仿宋简体"/>
                <w:color w:val="000000"/>
                <w:sz w:val="28"/>
                <w:szCs w:val="28"/>
              </w:rPr>
            </w:pPr>
            <w:r>
              <w:rPr>
                <w:rFonts w:eastAsia="方正仿宋简体"/>
                <w:bCs/>
                <w:color w:val="000000"/>
                <w:spacing w:val="-6"/>
                <w:sz w:val="28"/>
                <w:szCs w:val="28"/>
              </w:rPr>
              <w:t>延伸产业。农产品加工业：</w:t>
            </w:r>
            <w:r>
              <w:rPr>
                <w:rFonts w:eastAsia="方正仿宋简体"/>
                <w:color w:val="000000"/>
                <w:spacing w:val="-6"/>
                <w:sz w:val="28"/>
                <w:szCs w:val="28"/>
              </w:rPr>
              <w:t>推进农产品初加工、精深加工和综合利用加工协调发展，逐步建立以本地农产品为基础的加工产业体系。建设</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PrEx>
        <w:trPr>
          <w:trHeight w:val="3783" w:hRule="atLeast"/>
          <w:jc w:val="center"/>
        </w:trPr>
        <w:tc>
          <w:tcPr>
            <w:tcW w:w="8522" w:type="dxa"/>
            <w:noWrap w:val="0"/>
            <w:vAlign w:val="center"/>
          </w:tcPr>
          <w:p>
            <w:pPr>
              <w:adjustRightInd w:val="0"/>
              <w:snapToGrid w:val="0"/>
              <w:spacing w:line="400" w:lineRule="exact"/>
              <w:rPr>
                <w:rFonts w:eastAsia="方正仿宋简体"/>
                <w:bCs/>
                <w:color w:val="000000"/>
                <w:sz w:val="28"/>
                <w:szCs w:val="28"/>
              </w:rPr>
            </w:pPr>
            <w:r>
              <w:rPr>
                <w:rFonts w:eastAsia="方正仿宋简体"/>
                <w:color w:val="000000"/>
                <w:sz w:val="28"/>
                <w:szCs w:val="28"/>
              </w:rPr>
              <w:t>加工原料基地，推动“产学研用”合作，推广应用高新技术设备，着力培育一批创新能力强、加工水平高、带动作用大的农产品加工龙头企业，创新发展一批市场竞争力强、销售量大、叫得响的品牌产品。到2020年，本地农产品加工与农业产值之比达到2.4:1。</w:t>
            </w:r>
            <w:r>
              <w:rPr>
                <w:rFonts w:eastAsia="方正仿宋简体"/>
                <w:bCs/>
                <w:color w:val="000000"/>
                <w:sz w:val="28"/>
                <w:szCs w:val="28"/>
              </w:rPr>
              <w:t>农产品物流业：</w:t>
            </w:r>
            <w:r>
              <w:rPr>
                <w:rFonts w:eastAsia="方正仿宋简体"/>
                <w:color w:val="000000"/>
                <w:sz w:val="28"/>
                <w:szCs w:val="28"/>
              </w:rPr>
              <w:t>重点建设长沙市农产品物流中心、大河西农产品物流中心、金霞粮食物流园等专业性农产品物流中心，在全市范围内建立3000个农产品直销门点、网点，打造服务全市、辐射全省的农产品物流配送网络。休闲观光农业：因地制宜开发多样化、多功能休闲观光农业，着力打造一批休闲农庄和主题农庄。</w:t>
            </w:r>
          </w:p>
        </w:tc>
      </w:tr>
    </w:tbl>
    <w:p>
      <w:pPr>
        <w:adjustRightInd w:val="0"/>
        <w:snapToGrid w:val="0"/>
        <w:spacing w:line="600" w:lineRule="exact"/>
        <w:ind w:firstLine="600" w:firstLineChars="200"/>
        <w:rPr>
          <w:rFonts w:eastAsia="方正仿宋简体"/>
          <w:bCs/>
          <w:color w:val="000000"/>
          <w:sz w:val="30"/>
          <w:szCs w:val="30"/>
        </w:rPr>
      </w:pPr>
      <w:r>
        <w:rPr>
          <w:rFonts w:eastAsia="方正仿宋简体"/>
          <w:bCs/>
          <w:color w:val="000000"/>
          <w:sz w:val="30"/>
          <w:szCs w:val="30"/>
        </w:rPr>
        <w:t>四、优化产业发展环境</w:t>
      </w:r>
    </w:p>
    <w:p>
      <w:pPr>
        <w:adjustRightInd w:val="0"/>
        <w:snapToGrid w:val="0"/>
        <w:spacing w:line="600" w:lineRule="exact"/>
        <w:ind w:firstLine="600" w:firstLineChars="200"/>
        <w:rPr>
          <w:rFonts w:eastAsia="方正仿宋简体"/>
          <w:color w:val="000000"/>
          <w:sz w:val="30"/>
          <w:szCs w:val="30"/>
        </w:rPr>
      </w:pPr>
      <w:r>
        <w:rPr>
          <w:rFonts w:eastAsia="方正仿宋简体"/>
          <w:color w:val="000000"/>
          <w:sz w:val="30"/>
          <w:szCs w:val="30"/>
        </w:rPr>
        <w:t>把环境建设作为发展产业和培育企业的催化剂，着力打通政策服务渠道、融资渠道、信息渠道和要素供应渠道，努力营造优质高效的营商环境，为实体经济发展提供有力保障。</w:t>
      </w:r>
    </w:p>
    <w:p>
      <w:pPr>
        <w:adjustRightInd w:val="0"/>
        <w:snapToGrid w:val="0"/>
        <w:spacing w:line="600" w:lineRule="exact"/>
        <w:ind w:firstLine="600" w:firstLineChars="200"/>
        <w:rPr>
          <w:rFonts w:eastAsia="方正仿宋简体"/>
          <w:color w:val="000000"/>
          <w:sz w:val="30"/>
          <w:szCs w:val="30"/>
        </w:rPr>
      </w:pPr>
      <w:r>
        <w:rPr>
          <w:rFonts w:eastAsia="方正仿宋简体"/>
          <w:bCs/>
          <w:color w:val="000000"/>
          <w:sz w:val="30"/>
          <w:szCs w:val="30"/>
        </w:rPr>
        <w:t>1、促进园区转型提质。</w:t>
      </w:r>
      <w:r>
        <w:rPr>
          <w:rFonts w:eastAsia="方正仿宋简体"/>
          <w:color w:val="000000"/>
          <w:sz w:val="30"/>
          <w:szCs w:val="30"/>
        </w:rPr>
        <w:t>按照“集群式项目满园扩园和两型化管理提标”的思路，加大“强链、补链、建链”招商引资力度，着力将长沙高新技术开发区、长沙经济技术开发区培育成2000亿</w:t>
      </w:r>
      <w:r>
        <w:rPr>
          <w:rFonts w:hint="eastAsia" w:eastAsia="方正仿宋简体"/>
          <w:color w:val="000000"/>
          <w:sz w:val="30"/>
          <w:szCs w:val="30"/>
        </w:rPr>
        <w:t>级</w:t>
      </w:r>
      <w:r>
        <w:rPr>
          <w:rFonts w:eastAsia="方正仿宋简体"/>
          <w:color w:val="000000"/>
          <w:sz w:val="30"/>
          <w:szCs w:val="30"/>
        </w:rPr>
        <w:t>产业园区，宁乡经济技术开发区、浏阳经济技术开发区、望城经济技术开发区、宁乡高新区向1000亿级园区迈进，一批省级园区向500亿</w:t>
      </w:r>
      <w:r>
        <w:rPr>
          <w:rFonts w:hint="eastAsia" w:eastAsia="方正仿宋简体"/>
          <w:color w:val="000000"/>
          <w:sz w:val="30"/>
          <w:szCs w:val="30"/>
        </w:rPr>
        <w:t>级</w:t>
      </w:r>
      <w:r>
        <w:rPr>
          <w:rFonts w:eastAsia="方正仿宋简体"/>
          <w:color w:val="000000"/>
          <w:sz w:val="30"/>
          <w:szCs w:val="30"/>
        </w:rPr>
        <w:t>迈进。优化园区布局和功能分区，科学确定各园区的产业分工和主导产业，鼓励园区之间、园区与新城之间、园区与乡镇之间联动发展，提高园区集聚度和融合度，防止无序化竞争。创新园区管理体制，探索园区专业化职业经理制，鼓励园区开发建设公司上市融资，大力提升园区市场化运作能力。创新园区考评体系，增加亩均税收、亩均工业增加值、单位工业增加值能耗等综合评价指标，建立健全园区发展激励机制。</w:t>
      </w:r>
    </w:p>
    <w:p>
      <w:pPr>
        <w:adjustRightInd w:val="0"/>
        <w:snapToGrid w:val="0"/>
        <w:spacing w:line="600" w:lineRule="exact"/>
        <w:ind w:firstLine="600" w:firstLineChars="200"/>
        <w:rPr>
          <w:rFonts w:eastAsia="方正仿宋简体"/>
          <w:color w:val="000000"/>
          <w:sz w:val="30"/>
          <w:szCs w:val="30"/>
        </w:rPr>
      </w:pPr>
      <w:r>
        <w:rPr>
          <w:rFonts w:eastAsia="方正仿宋简体"/>
          <w:color w:val="000000"/>
          <w:sz w:val="30"/>
          <w:szCs w:val="30"/>
        </w:rPr>
        <w:t>2、完善政策支持体系。完善财政资金支持政策体系，制定工业发展资金、服务业发展资金、产业投资基金、贷款担保补贴资金等扶持资金管理办法，出台扶持公共技术平台、创业基地、企业商标品牌提升等实施细则，更好发挥政府投资对产业经济的引导撬动作用。完善战略性新兴产业培育发展政策体系，针对智能制造装备、新一代信息技术、新材料、生物医药、新能源汽车等战略性新兴产业，分别制定专项产业发展行动计划，推动重点产业和优势领域实现率先突破。完善促进产业转型升级政策体系，编制《产业升级重点项目计划》，制定出台助推工程机械、食品烟草等传统优势产业转型升级的支持政策，完善现代服务业和现代农业政策促进体系，鼓励骨干企业通过兼并、收购、联合、参股等方式进行产业整合。以《长沙市小微企业创业创新基地城市示范三年行动计划（2015-2017）》为总纲，围绕创业创新、融资贷款、公共服务等三大重点方向，构建“1+N”政策体系，支持小微企业成长壮大。</w:t>
      </w:r>
    </w:p>
    <w:p>
      <w:pPr>
        <w:adjustRightInd w:val="0"/>
        <w:snapToGrid w:val="0"/>
        <w:spacing w:line="600" w:lineRule="exact"/>
        <w:ind w:firstLine="600" w:firstLineChars="200"/>
        <w:rPr>
          <w:rFonts w:eastAsia="方正仿宋简体"/>
          <w:color w:val="000000"/>
          <w:sz w:val="30"/>
          <w:szCs w:val="30"/>
        </w:rPr>
      </w:pPr>
      <w:r>
        <w:rPr>
          <w:rFonts w:eastAsia="方正仿宋简体"/>
          <w:color w:val="000000"/>
          <w:sz w:val="30"/>
          <w:szCs w:val="30"/>
        </w:rPr>
        <w:t>3、加大金融支持力度。依托财政资金和投资引导基金杠杆效应，通过“母基金”方式设立各类产业投资基金，吸引民间资本进入产业发展关键领域，构建多种资本共同参与的融资平台，打通天使基金初投、风险基金再投、政府产业基金跟投、新三板挂牌和IPO上市助力的金融全流程通道。加大财政资金支持力度，设立并扩大智能</w:t>
      </w:r>
      <w:r>
        <w:rPr>
          <w:rFonts w:eastAsia="方正仿宋简体"/>
          <w:color w:val="000000"/>
          <w:spacing w:val="4"/>
          <w:sz w:val="30"/>
          <w:szCs w:val="30"/>
        </w:rPr>
        <w:t>制造、移动互联网、战略性新兴产业等发展专项资金和贷款风险补偿资金池。创新产业链金融、科技金融新模式，鼓励金融机构</w:t>
      </w:r>
      <w:r>
        <w:rPr>
          <w:rFonts w:eastAsia="方正仿宋简体"/>
          <w:color w:val="000000"/>
          <w:spacing w:val="2"/>
          <w:sz w:val="30"/>
          <w:szCs w:val="30"/>
        </w:rPr>
        <w:t>推出智能制造首台（套）装备保险等特色金融产品，加快发展智能</w:t>
      </w:r>
      <w:r>
        <w:rPr>
          <w:rFonts w:eastAsia="方正仿宋简体"/>
          <w:color w:val="000000"/>
          <w:sz w:val="30"/>
          <w:szCs w:val="30"/>
        </w:rPr>
        <w:t>制造装备租赁公司等新型融资机构，为企业提供多元化的融资渠道。重点加强对中小微企业融资支持力度，探索地方政府引导金融资源服务中小微企业的新模式，积极缓解中小微企业融资难、融资贵问题。</w:t>
      </w:r>
    </w:p>
    <w:p>
      <w:pPr>
        <w:adjustRightInd w:val="0"/>
        <w:snapToGrid w:val="0"/>
        <w:spacing w:line="600" w:lineRule="exact"/>
        <w:ind w:firstLine="588" w:firstLineChars="196"/>
        <w:rPr>
          <w:rFonts w:eastAsia="方正仿宋简体"/>
          <w:color w:val="000000"/>
          <w:sz w:val="30"/>
          <w:szCs w:val="30"/>
        </w:rPr>
      </w:pPr>
      <w:r>
        <w:rPr>
          <w:rFonts w:eastAsia="方正仿宋简体"/>
          <w:color w:val="000000"/>
          <w:sz w:val="30"/>
          <w:szCs w:val="30"/>
        </w:rPr>
        <w:t>4、强化生产要素保障。强化土地供给的产业导向，优先保障重点园区和重点产业发展建设用地需求。鼓励企业集约节约用地，通过清理低效用地、土地置换和利用废地等方式盘活存量用地，提高产业用地投资强度和产出水平。加快园区和重点企业变电站建设，继续推进电力改革，保障重大产业项目用电需要，有效降低企业用电成本。拓展信息资源供给渠道，建立网络化的公共政策信息发布和政策解读机制，促进信息互联共享。构建以长沙市现代产业发展研究会为基础、各重点领域专业研究院为支柱的高层次智库决策体系，为全市产业发展提供智力支撑。</w:t>
      </w:r>
    </w:p>
    <w:p>
      <w:pPr>
        <w:adjustRightInd w:val="0"/>
        <w:snapToGrid w:val="0"/>
        <w:spacing w:before="312" w:beforeLines="100" w:after="312" w:afterLines="100" w:line="600" w:lineRule="exact"/>
        <w:jc w:val="center"/>
        <w:rPr>
          <w:rFonts w:eastAsia="方正仿宋简体"/>
          <w:color w:val="000000"/>
          <w:sz w:val="30"/>
          <w:szCs w:val="30"/>
        </w:rPr>
      </w:pPr>
      <w:r>
        <w:rPr>
          <w:rFonts w:eastAsia="方正仿宋简体"/>
          <w:color w:val="000000"/>
          <w:sz w:val="30"/>
          <w:szCs w:val="30"/>
        </w:rPr>
        <w:t>第三节  打造城乡协调的新型城镇化典范</w:t>
      </w:r>
    </w:p>
    <w:p>
      <w:pPr>
        <w:adjustRightInd w:val="0"/>
        <w:snapToGrid w:val="0"/>
        <w:spacing w:line="600" w:lineRule="exact"/>
        <w:ind w:firstLine="600" w:firstLineChars="200"/>
        <w:rPr>
          <w:rFonts w:eastAsia="方正仿宋简体"/>
          <w:color w:val="000000"/>
          <w:sz w:val="30"/>
          <w:szCs w:val="30"/>
        </w:rPr>
      </w:pPr>
      <w:r>
        <w:rPr>
          <w:rFonts w:eastAsia="方正仿宋简体"/>
          <w:color w:val="000000"/>
          <w:sz w:val="30"/>
          <w:szCs w:val="30"/>
        </w:rPr>
        <w:t>深入推进国家新型城镇化综合试点，走以人为本、四化同步、绿色低碳、文化传承的特色新型城镇化道路，形成以工促农、以城带乡、工农互惠、城乡一体的新型城乡关系。</w:t>
      </w:r>
    </w:p>
    <w:p>
      <w:pPr>
        <w:adjustRightInd w:val="0"/>
        <w:snapToGrid w:val="0"/>
        <w:spacing w:line="600" w:lineRule="exact"/>
        <w:ind w:firstLine="600" w:firstLineChars="200"/>
        <w:rPr>
          <w:rFonts w:eastAsia="方正仿宋简体"/>
          <w:bCs/>
          <w:color w:val="000000"/>
          <w:sz w:val="30"/>
          <w:szCs w:val="30"/>
        </w:rPr>
      </w:pPr>
      <w:r>
        <w:rPr>
          <w:rFonts w:eastAsia="方正仿宋简体"/>
          <w:bCs/>
          <w:color w:val="000000"/>
          <w:sz w:val="30"/>
          <w:szCs w:val="30"/>
        </w:rPr>
        <w:t>一、建设精美品质长沙</w:t>
      </w:r>
    </w:p>
    <w:p>
      <w:pPr>
        <w:adjustRightInd w:val="0"/>
        <w:snapToGrid w:val="0"/>
        <w:spacing w:line="600" w:lineRule="exact"/>
        <w:ind w:firstLine="600" w:firstLineChars="200"/>
        <w:rPr>
          <w:rFonts w:eastAsia="方正仿宋简体"/>
          <w:color w:val="000000"/>
          <w:sz w:val="30"/>
          <w:szCs w:val="30"/>
        </w:rPr>
      </w:pPr>
      <w:r>
        <w:rPr>
          <w:rFonts w:eastAsia="方正仿宋简体"/>
          <w:color w:val="000000"/>
          <w:sz w:val="30"/>
          <w:szCs w:val="30"/>
        </w:rPr>
        <w:t>尊重城市发展规律，转变城市发展方式，注重人口集中、产业集聚、要素集约和功能集成，有效预防和治理“城市病”，将长沙建设成为“宜居宜业、精致精美、人见人爱”的品质家园。</w:t>
      </w:r>
    </w:p>
    <w:p>
      <w:pPr>
        <w:adjustRightInd w:val="0"/>
        <w:snapToGrid w:val="0"/>
        <w:spacing w:line="600" w:lineRule="exact"/>
        <w:ind w:firstLine="594" w:firstLineChars="198"/>
        <w:rPr>
          <w:rFonts w:eastAsia="方正仿宋简体"/>
          <w:color w:val="000000"/>
          <w:sz w:val="30"/>
          <w:szCs w:val="30"/>
        </w:rPr>
      </w:pPr>
      <w:r>
        <w:rPr>
          <w:rFonts w:eastAsia="方正仿宋简体"/>
          <w:bCs/>
          <w:color w:val="000000"/>
          <w:sz w:val="30"/>
          <w:szCs w:val="30"/>
        </w:rPr>
        <w:t>1、提升城市发展品质。</w:t>
      </w:r>
      <w:r>
        <w:rPr>
          <w:rFonts w:eastAsia="方正仿宋简体"/>
          <w:color w:val="000000"/>
          <w:sz w:val="30"/>
          <w:szCs w:val="30"/>
        </w:rPr>
        <w:t>树立系统思维，全面提升城市设计水平，注重城市色彩管理、建筑形态管控和空间艺术化塑造，加强重要城市轴线的景观建设，构建有机统一、独具特色的长沙城市形象和品牌。强化城市规划管理，坚持一本规划一张蓝图持之以恒加以落实，科学设定不同功能区土地开发利用的容积率、绿化率、地面渗透率等规范性要求，合理保护城市天际线和自然生态肌理，把城市放在大自然中，把绿水青山留给市民。健全城市管理长效机制，实现城市管理目标、方法和模式的现代化。</w:t>
      </w:r>
    </w:p>
    <w:p>
      <w:pPr>
        <w:adjustRightInd w:val="0"/>
        <w:snapToGrid w:val="0"/>
        <w:spacing w:line="600" w:lineRule="exact"/>
        <w:ind w:firstLine="600" w:firstLineChars="200"/>
        <w:rPr>
          <w:rFonts w:eastAsia="方正仿宋简体"/>
          <w:color w:val="000000"/>
          <w:sz w:val="30"/>
          <w:szCs w:val="30"/>
        </w:rPr>
      </w:pPr>
      <w:r>
        <w:rPr>
          <w:rFonts w:eastAsia="方正仿宋简体"/>
          <w:bCs/>
          <w:color w:val="000000"/>
          <w:sz w:val="30"/>
          <w:szCs w:val="30"/>
        </w:rPr>
        <w:t>2、有序推进新城建设。</w:t>
      </w:r>
      <w:r>
        <w:rPr>
          <w:rFonts w:eastAsia="方正仿宋简体"/>
          <w:color w:val="000000"/>
          <w:sz w:val="30"/>
          <w:szCs w:val="30"/>
        </w:rPr>
        <w:t>充分发挥新兴城区在优化空间、集聚人口、带动发展中的作用，使之加快成长为疏散城市功能的有力支撑。重点推进高铁新城、空港新城、省府新区、隆平新区、望城滨水新城、浏阳金阳新区、宁乡沩东新城等新兴城区建设，统筹融合生产生活生态空间，增强城市内部布局的合理性，提升城市的通透性和微循环能力。到2020年，力争一批宜居宜业宜游的现代化城市新兴片区基本建成。</w:t>
      </w:r>
    </w:p>
    <w:p>
      <w:pPr>
        <w:adjustRightInd w:val="0"/>
        <w:snapToGrid w:val="0"/>
        <w:spacing w:line="600" w:lineRule="exact"/>
        <w:ind w:firstLine="600" w:firstLineChars="200"/>
        <w:rPr>
          <w:rFonts w:eastAsia="方正仿宋简体"/>
          <w:color w:val="000000"/>
          <w:sz w:val="30"/>
          <w:szCs w:val="30"/>
        </w:rPr>
      </w:pPr>
      <w:r>
        <w:rPr>
          <w:rFonts w:eastAsia="方正仿宋简体"/>
          <w:color w:val="000000"/>
          <w:sz w:val="30"/>
          <w:szCs w:val="30"/>
        </w:rPr>
        <w:t>3、</w:t>
      </w:r>
      <w:r>
        <w:rPr>
          <w:rFonts w:eastAsia="方正仿宋简体"/>
          <w:bCs/>
          <w:color w:val="000000"/>
          <w:sz w:val="30"/>
          <w:szCs w:val="30"/>
        </w:rPr>
        <w:t>改造提升中心城区。</w:t>
      </w:r>
      <w:r>
        <w:rPr>
          <w:rFonts w:eastAsia="方正仿宋简体"/>
          <w:color w:val="000000"/>
          <w:sz w:val="30"/>
          <w:szCs w:val="30"/>
        </w:rPr>
        <w:t>推动城市中心城区部分功能向城市新城和卫星城疏散，强化中心城区金融商贸、信息中介、创新创意等高端服务功能。实施旧城改造行动，推进以火宫殿城为重点的天心区北部历史街区全面提质，加快朝正垸、蔡锷中路、远大路、雅塘冲、开福老工业基地等老旧城区改造，全面完成棚户区和城中村改造任</w:t>
      </w:r>
      <w:r>
        <w:rPr>
          <w:rFonts w:eastAsia="方正仿宋简体"/>
          <w:color w:val="000000"/>
          <w:spacing w:val="4"/>
          <w:sz w:val="30"/>
          <w:szCs w:val="30"/>
        </w:rPr>
        <w:t>务。积极推动高桥大市场、马王堆蔬菜批发市场、红星农副产品大市场、杨家山家禽批发市场等专业市场的迁建改造，关闭树木</w:t>
      </w:r>
      <w:r>
        <w:rPr>
          <w:rFonts w:eastAsia="方正仿宋简体"/>
          <w:color w:val="000000"/>
          <w:sz w:val="30"/>
          <w:szCs w:val="30"/>
        </w:rPr>
        <w:t>岭货运站，谋划实施京广铁路外迁、京珠高速长沙段提质，挖掘释放城市发展新空间。</w:t>
      </w:r>
    </w:p>
    <w:p>
      <w:pPr>
        <w:adjustRightInd w:val="0"/>
        <w:snapToGrid w:val="0"/>
        <w:spacing w:line="600" w:lineRule="exact"/>
        <w:ind w:firstLine="600" w:firstLineChars="200"/>
        <w:rPr>
          <w:rFonts w:eastAsia="方正仿宋简体"/>
          <w:color w:val="000000"/>
          <w:sz w:val="30"/>
          <w:szCs w:val="30"/>
        </w:rPr>
      </w:pPr>
      <w:r>
        <w:rPr>
          <w:rFonts w:eastAsia="方正仿宋简体"/>
          <w:bCs/>
          <w:color w:val="000000"/>
          <w:sz w:val="30"/>
          <w:szCs w:val="30"/>
        </w:rPr>
        <w:t>4、推动产城融合发展。</w:t>
      </w:r>
      <w:r>
        <w:rPr>
          <w:rFonts w:eastAsia="方正仿宋简体"/>
          <w:color w:val="000000"/>
          <w:sz w:val="30"/>
          <w:szCs w:val="30"/>
        </w:rPr>
        <w:t>以构建产-城-人和谐共生的新型城镇化发展模式为目标，推动产业园区由单纯的生产区向配套完善的城市功能区转型，加快水电路气等基础设施、市政设施融城联网和共建共享步伐，提高大型园区人口承载容量。推动新兴片区向宜业宜居的新城区转型，强化建设用地开发强度、土地投资强度和人均用地指标整体控制，完善产业功能和就业容量配套，确保开发（园）区生产性用地比重不低于60%。</w:t>
      </w:r>
    </w:p>
    <w:p>
      <w:pPr>
        <w:adjustRightInd w:val="0"/>
        <w:snapToGrid w:val="0"/>
        <w:spacing w:line="600" w:lineRule="exact"/>
        <w:ind w:firstLine="600" w:firstLineChars="200"/>
        <w:rPr>
          <w:rFonts w:eastAsia="方正仿宋简体"/>
          <w:bCs/>
          <w:color w:val="000000"/>
          <w:sz w:val="30"/>
          <w:szCs w:val="30"/>
        </w:rPr>
      </w:pPr>
      <w:r>
        <w:rPr>
          <w:rFonts w:eastAsia="方正仿宋简体"/>
          <w:bCs/>
          <w:color w:val="000000"/>
          <w:sz w:val="30"/>
          <w:szCs w:val="30"/>
        </w:rPr>
        <w:t>二、增强城市承载功能</w:t>
      </w:r>
    </w:p>
    <w:p>
      <w:pPr>
        <w:pStyle w:val="8"/>
        <w:adjustRightInd w:val="0"/>
        <w:snapToGrid w:val="0"/>
        <w:spacing w:before="0" w:beforeAutospacing="0" w:after="0" w:afterAutospacing="0" w:line="600" w:lineRule="exact"/>
        <w:ind w:firstLine="600" w:firstLineChars="200"/>
        <w:jc w:val="both"/>
        <w:rPr>
          <w:rFonts w:eastAsia="方正仿宋简体"/>
          <w:color w:val="000000"/>
          <w:sz w:val="30"/>
          <w:szCs w:val="30"/>
        </w:rPr>
      </w:pPr>
      <w:r>
        <w:rPr>
          <w:rFonts w:eastAsia="方正仿宋简体"/>
          <w:color w:val="000000"/>
          <w:sz w:val="30"/>
          <w:szCs w:val="30"/>
        </w:rPr>
        <w:t>将让市民拥有更加美好舒适生活的理念，融入到城市建设的每一个细节，统筹处理好城市局部与系统、地上与地下的关系，形成适度超前、相互衔接、满足未来需求的城市功能体系。</w:t>
      </w:r>
    </w:p>
    <w:p>
      <w:pPr>
        <w:pStyle w:val="8"/>
        <w:adjustRightInd w:val="0"/>
        <w:snapToGrid w:val="0"/>
        <w:spacing w:before="0" w:beforeAutospacing="0" w:after="0" w:afterAutospacing="0" w:line="600" w:lineRule="exact"/>
        <w:ind w:firstLine="594" w:firstLineChars="198"/>
        <w:jc w:val="both"/>
        <w:rPr>
          <w:rFonts w:hint="eastAsia" w:eastAsia="方正仿宋简体"/>
          <w:color w:val="000000"/>
          <w:sz w:val="30"/>
          <w:szCs w:val="30"/>
        </w:rPr>
      </w:pPr>
      <w:r>
        <w:rPr>
          <w:rFonts w:eastAsia="方正仿宋简体"/>
          <w:bCs/>
          <w:color w:val="000000"/>
          <w:sz w:val="30"/>
          <w:szCs w:val="30"/>
        </w:rPr>
        <w:t>1、</w:t>
      </w:r>
      <w:r>
        <w:rPr>
          <w:rFonts w:eastAsia="方正仿宋简体"/>
          <w:bCs/>
          <w:color w:val="000000"/>
          <w:spacing w:val="4"/>
          <w:sz w:val="30"/>
          <w:szCs w:val="30"/>
        </w:rPr>
        <w:t>构建快捷高效的城市交通体系。</w:t>
      </w:r>
      <w:r>
        <w:rPr>
          <w:rFonts w:eastAsia="方正仿宋简体"/>
          <w:color w:val="000000"/>
          <w:spacing w:val="4"/>
          <w:sz w:val="30"/>
          <w:szCs w:val="30"/>
        </w:rPr>
        <w:t>加快推进城市快速路建设，构建“井字+环形”快速路系统。推进“公交都市”建设，加快轨道交通系统、城市快速公交系统（BRT）、城市慢行系统建设，到2020年，轨道交通运营里程超过</w:t>
      </w:r>
      <w:r>
        <w:rPr>
          <w:rFonts w:eastAsia="方正仿宋简体"/>
          <w:color w:val="000000"/>
          <w:spacing w:val="4"/>
          <w:kern w:val="2"/>
          <w:sz w:val="30"/>
          <w:szCs w:val="30"/>
        </w:rPr>
        <w:t>200公里，</w:t>
      </w:r>
      <w:r>
        <w:rPr>
          <w:rFonts w:eastAsia="方正仿宋简体"/>
          <w:color w:val="000000"/>
          <w:spacing w:val="4"/>
          <w:sz w:val="30"/>
          <w:szCs w:val="30"/>
        </w:rPr>
        <w:t>建成公交专用道200公里，新增城市BRT65公里，公共交通占机动化出行比例达45%。加强区域性运输枢纽布局建设，实现公路、水路、航空、铁路的“零距离”换乘。强化城市东西交通联系，新建</w:t>
      </w:r>
      <w:r>
        <w:rPr>
          <w:rFonts w:eastAsia="方正仿宋简体"/>
          <w:color w:val="000000"/>
          <w:spacing w:val="4"/>
          <w:kern w:val="2"/>
          <w:sz w:val="30"/>
          <w:szCs w:val="30"/>
        </w:rPr>
        <w:t>学士路大桥、铜靖大桥等</w:t>
      </w:r>
      <w:r>
        <w:rPr>
          <w:rFonts w:eastAsia="方正仿宋简体"/>
          <w:color w:val="000000"/>
          <w:spacing w:val="4"/>
          <w:sz w:val="30"/>
          <w:szCs w:val="30"/>
        </w:rPr>
        <w:t>过江通道。加强停车设施建设，到2020年，力争都市区范围内社会公共停车场点位达到650个以上，新增停车泊位15万个以上。</w:t>
      </w:r>
      <w:r>
        <w:rPr>
          <w:rFonts w:eastAsia="方正仿宋简体"/>
          <w:color w:val="000000"/>
          <w:sz w:val="30"/>
          <w:szCs w:val="30"/>
        </w:rPr>
        <w:t>加强交通运输综合管理，提高城市文明交通水平，实现人畅其行、物畅其流。</w:t>
      </w:r>
    </w:p>
    <w:p>
      <w:pPr>
        <w:pStyle w:val="8"/>
        <w:adjustRightInd w:val="0"/>
        <w:snapToGrid w:val="0"/>
        <w:spacing w:before="0" w:beforeAutospacing="0" w:after="0" w:afterAutospacing="0" w:line="600" w:lineRule="exact"/>
        <w:jc w:val="center"/>
        <w:rPr>
          <w:rFonts w:hint="eastAsia" w:eastAsia="方正仿宋简体"/>
          <w:color w:val="000000"/>
          <w:sz w:val="30"/>
          <w:szCs w:val="30"/>
        </w:rPr>
      </w:pPr>
      <w:r>
        <w:rPr>
          <w:rFonts w:hint="eastAsia" w:ascii="黑体" w:eastAsia="黑体"/>
          <w:color w:val="000000"/>
          <w:sz w:val="28"/>
          <w:szCs w:val="28"/>
        </w:rPr>
        <w:t>专栏13：城市交通基础设施建设</w:t>
      </w:r>
    </w:p>
    <w:tbl>
      <w:tblPr>
        <w:tblStyle w:val="15"/>
        <w:tblW w:w="0" w:type="auto"/>
        <w:jc w:val="center"/>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Layout w:type="fixed"/>
        <w:tblCellMar>
          <w:top w:w="0" w:type="dxa"/>
          <w:left w:w="108" w:type="dxa"/>
          <w:bottom w:w="0" w:type="dxa"/>
          <w:right w:w="108" w:type="dxa"/>
        </w:tblCellMar>
      </w:tblPr>
      <w:tblGrid>
        <w:gridCol w:w="8522"/>
      </w:tblGrid>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PrEx>
        <w:trPr>
          <w:trHeight w:val="4145" w:hRule="atLeast"/>
          <w:jc w:val="center"/>
        </w:trPr>
        <w:tc>
          <w:tcPr>
            <w:tcW w:w="8522" w:type="dxa"/>
            <w:noWrap w:val="0"/>
            <w:vAlign w:val="center"/>
          </w:tcPr>
          <w:p>
            <w:pPr>
              <w:adjustRightInd w:val="0"/>
              <w:snapToGrid w:val="0"/>
              <w:spacing w:line="440" w:lineRule="exact"/>
              <w:ind w:firstLine="536" w:firstLineChars="200"/>
              <w:rPr>
                <w:rFonts w:eastAsia="方正仿宋简体"/>
                <w:color w:val="000000"/>
                <w:spacing w:val="-6"/>
                <w:sz w:val="28"/>
                <w:szCs w:val="28"/>
              </w:rPr>
            </w:pPr>
            <w:r>
              <w:rPr>
                <w:rFonts w:eastAsia="方正仿宋简体"/>
                <w:color w:val="000000"/>
                <w:spacing w:val="-6"/>
                <w:sz w:val="28"/>
                <w:szCs w:val="28"/>
              </w:rPr>
              <w:t>城市路网建设。建立中心城区快速通道体系，即三环内形成“两环、两横、一纵”的快速路系统，“二横五纵”的快捷路系统，加快推进湘府路、湘江大道改造等项目，扩容跨京广通道、跨湘江通道、跨京港澳高速通道的通行能力，推进京港澳高速以及G319、G107等线路改造提质。打通黄兴北路、车站北路、渔业路西延线等断头路，畅通市内道路循环。</w:t>
            </w:r>
          </w:p>
          <w:p>
            <w:pPr>
              <w:adjustRightInd w:val="0"/>
              <w:snapToGrid w:val="0"/>
              <w:spacing w:line="440" w:lineRule="exact"/>
              <w:ind w:firstLine="560" w:firstLineChars="200"/>
              <w:rPr>
                <w:rFonts w:eastAsia="方正仿宋简体"/>
                <w:color w:val="000000"/>
                <w:sz w:val="28"/>
                <w:szCs w:val="28"/>
              </w:rPr>
            </w:pPr>
            <w:r>
              <w:rPr>
                <w:rFonts w:eastAsia="方正仿宋简体"/>
                <w:color w:val="000000"/>
                <w:sz w:val="28"/>
                <w:szCs w:val="28"/>
              </w:rPr>
              <w:t>公共交通建设。加快地铁建设，争取每年开工一条、建成一条，到2020年，1-6号线基本建成，形成“米字型构架，双十字拓展”轨道交通网络主骨架，轨道交通占公共交通出行量的40%；建设形成11横9纵的公交专用道网络，新增公共自行车租赁站点246座、公交站场38个，城市建成区公交站点500米覆盖率达100%。</w:t>
            </w:r>
          </w:p>
        </w:tc>
      </w:tr>
    </w:tbl>
    <w:p>
      <w:pPr>
        <w:pStyle w:val="8"/>
        <w:adjustRightInd w:val="0"/>
        <w:snapToGrid w:val="0"/>
        <w:spacing w:before="0" w:beforeAutospacing="0" w:after="0" w:afterAutospacing="0" w:line="600" w:lineRule="exact"/>
        <w:ind w:firstLine="600" w:firstLineChars="200"/>
        <w:jc w:val="both"/>
        <w:rPr>
          <w:rFonts w:eastAsia="方正仿宋简体"/>
          <w:color w:val="000000"/>
          <w:sz w:val="30"/>
          <w:szCs w:val="30"/>
        </w:rPr>
      </w:pPr>
      <w:r>
        <w:rPr>
          <w:rFonts w:eastAsia="方正仿宋简体"/>
          <w:bCs/>
          <w:color w:val="000000"/>
          <w:sz w:val="30"/>
          <w:szCs w:val="30"/>
        </w:rPr>
        <w:t>2、构建有机统一的地下管网体系。</w:t>
      </w:r>
      <w:r>
        <w:rPr>
          <w:rFonts w:eastAsia="方正仿宋简体"/>
          <w:color w:val="000000"/>
          <w:sz w:val="30"/>
          <w:szCs w:val="30"/>
        </w:rPr>
        <w:t>按照统一规划、统一建设、统一经营、统一维护原则，统筹推进供水、排水、燃气、热力、电力、通信、广播电视、工业等管线及其附属设施建设，构筑集信息传递、能源输送、排涝减灾、废物排弃等于一体的城市“生命线”。积极推进国家地下综合管廊试点城市建设，加快地下综合管廊信息库建设，引进社会资本参与道路管廊和控制中心建设。</w:t>
      </w:r>
    </w:p>
    <w:p>
      <w:pPr>
        <w:pStyle w:val="8"/>
        <w:adjustRightInd w:val="0"/>
        <w:snapToGrid w:val="0"/>
        <w:spacing w:before="0" w:beforeAutospacing="0" w:after="0" w:afterAutospacing="0" w:line="600" w:lineRule="exact"/>
        <w:ind w:firstLine="600" w:firstLineChars="200"/>
        <w:jc w:val="both"/>
        <w:rPr>
          <w:rFonts w:eastAsia="方正仿宋简体"/>
          <w:color w:val="000000"/>
          <w:kern w:val="2"/>
          <w:sz w:val="30"/>
          <w:szCs w:val="30"/>
        </w:rPr>
      </w:pPr>
      <w:r>
        <w:rPr>
          <w:rFonts w:eastAsia="方正仿宋简体"/>
          <w:bCs/>
          <w:color w:val="000000"/>
          <w:sz w:val="30"/>
          <w:szCs w:val="30"/>
        </w:rPr>
        <w:t>3、</w:t>
      </w:r>
      <w:r>
        <w:rPr>
          <w:rFonts w:eastAsia="方正仿宋简体"/>
          <w:bCs/>
          <w:color w:val="000000"/>
          <w:spacing w:val="6"/>
          <w:sz w:val="30"/>
          <w:szCs w:val="30"/>
        </w:rPr>
        <w:t>构建清洁优质的能源保障体系。</w:t>
      </w:r>
      <w:r>
        <w:rPr>
          <w:rFonts w:eastAsia="方正仿宋简体"/>
          <w:color w:val="000000"/>
          <w:spacing w:val="6"/>
          <w:kern w:val="2"/>
          <w:sz w:val="30"/>
          <w:szCs w:val="30"/>
        </w:rPr>
        <w:t>加强城乡智能电网建设，优化网架结构，满足各类负荷增长需求，适应分布式电源接入与客户多元化发展趋势，形成“结构合理、技术适用、供电质量高、电能损耗低”的智能化配电网。</w:t>
      </w:r>
      <w:r>
        <w:rPr>
          <w:rFonts w:eastAsia="方正仿宋简体"/>
          <w:color w:val="000000"/>
          <w:spacing w:val="6"/>
          <w:sz w:val="30"/>
          <w:szCs w:val="30"/>
        </w:rPr>
        <w:t>加强“西气东送”管道的互联互通，</w:t>
      </w:r>
      <w:r>
        <w:rPr>
          <w:rFonts w:eastAsia="方正仿宋简体"/>
          <w:color w:val="000000"/>
          <w:spacing w:val="6"/>
          <w:kern w:val="2"/>
          <w:sz w:val="30"/>
          <w:szCs w:val="30"/>
        </w:rPr>
        <w:t>完成“西三线”长沙支线天然气项目、“新粤浙”工程建设，实现全市天然气管网全覆盖。</w:t>
      </w:r>
      <w:r>
        <w:rPr>
          <w:rFonts w:eastAsia="方正仿宋简体"/>
          <w:color w:val="000000"/>
          <w:spacing w:val="6"/>
          <w:sz w:val="30"/>
          <w:szCs w:val="30"/>
        </w:rPr>
        <w:t>积极发展新能源，推广清洁能源利用，到</w:t>
      </w:r>
      <w:r>
        <w:rPr>
          <w:rFonts w:eastAsia="方正仿宋简体"/>
          <w:color w:val="000000"/>
          <w:sz w:val="30"/>
          <w:szCs w:val="30"/>
        </w:rPr>
        <w:t>2020年，</w:t>
      </w:r>
      <w:r>
        <w:rPr>
          <w:rFonts w:eastAsia="方正仿宋简体"/>
          <w:color w:val="000000"/>
          <w:kern w:val="2"/>
          <w:sz w:val="30"/>
          <w:szCs w:val="30"/>
        </w:rPr>
        <w:t>清洁能源占能源消费比重达到30%以上。</w:t>
      </w:r>
    </w:p>
    <w:p>
      <w:pPr>
        <w:pStyle w:val="8"/>
        <w:adjustRightInd w:val="0"/>
        <w:snapToGrid w:val="0"/>
        <w:spacing w:before="0" w:beforeAutospacing="0" w:after="0" w:afterAutospacing="0" w:line="600" w:lineRule="exact"/>
        <w:ind w:firstLine="600" w:firstLineChars="200"/>
        <w:jc w:val="both"/>
        <w:rPr>
          <w:rFonts w:hint="eastAsia" w:eastAsia="方正仿宋简体"/>
          <w:color w:val="000000"/>
          <w:sz w:val="30"/>
          <w:szCs w:val="30"/>
        </w:rPr>
      </w:pPr>
      <w:r>
        <w:rPr>
          <w:rFonts w:eastAsia="方正仿宋简体"/>
          <w:bCs/>
          <w:color w:val="000000"/>
          <w:sz w:val="30"/>
          <w:szCs w:val="30"/>
        </w:rPr>
        <w:t>4、构建安全可靠的防灾减灾体系。</w:t>
      </w:r>
      <w:r>
        <w:rPr>
          <w:rFonts w:eastAsia="方正仿宋简体"/>
          <w:color w:val="000000"/>
          <w:sz w:val="30"/>
          <w:szCs w:val="30"/>
        </w:rPr>
        <w:t>推进“海绵城市”建设，建立健全城市水系统、园林绿地系统、城市道路系统，不断提升城市吸水、蓄水、净水、释水功能。加强城乡水务建设，着力提升水资源承载能力和防洪减灾能力，实现由“功能型水利”向“生态型水利”的转变。加强人民防空工程建设。加强防灾减灾能力建设，提高气象灾害、生物灾害、地质灾害、地震灾害等防治水平。</w:t>
      </w:r>
    </w:p>
    <w:p>
      <w:pPr>
        <w:pStyle w:val="8"/>
        <w:adjustRightInd w:val="0"/>
        <w:snapToGrid w:val="0"/>
        <w:spacing w:before="0" w:beforeAutospacing="0" w:after="0" w:afterAutospacing="0" w:line="600" w:lineRule="exact"/>
        <w:jc w:val="center"/>
        <w:rPr>
          <w:rFonts w:hint="eastAsia" w:eastAsia="方正仿宋简体"/>
          <w:color w:val="000000"/>
          <w:sz w:val="30"/>
          <w:szCs w:val="30"/>
        </w:rPr>
      </w:pPr>
      <w:r>
        <w:rPr>
          <w:rFonts w:ascii="黑体" w:eastAsia="黑体"/>
          <w:color w:val="000000"/>
          <w:sz w:val="28"/>
          <w:szCs w:val="28"/>
        </w:rPr>
        <w:t>专栏14：城乡水务基础设施建设</w:t>
      </w:r>
    </w:p>
    <w:tbl>
      <w:tblPr>
        <w:tblStyle w:val="15"/>
        <w:tblW w:w="0" w:type="auto"/>
        <w:jc w:val="center"/>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Layout w:type="fixed"/>
        <w:tblCellMar>
          <w:top w:w="0" w:type="dxa"/>
          <w:left w:w="108" w:type="dxa"/>
          <w:bottom w:w="0" w:type="dxa"/>
          <w:right w:w="108" w:type="dxa"/>
        </w:tblCellMar>
      </w:tblPr>
      <w:tblGrid>
        <w:gridCol w:w="8522"/>
      </w:tblGrid>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PrEx>
        <w:trPr>
          <w:trHeight w:val="7415" w:hRule="atLeast"/>
          <w:jc w:val="center"/>
        </w:trPr>
        <w:tc>
          <w:tcPr>
            <w:tcW w:w="8522" w:type="dxa"/>
            <w:noWrap w:val="0"/>
            <w:vAlign w:val="center"/>
          </w:tcPr>
          <w:p>
            <w:pPr>
              <w:adjustRightInd w:val="0"/>
              <w:snapToGrid w:val="0"/>
              <w:spacing w:line="400" w:lineRule="exact"/>
              <w:ind w:firstLine="560" w:firstLineChars="200"/>
              <w:rPr>
                <w:rFonts w:eastAsia="方正仿宋简体"/>
                <w:color w:val="000000"/>
                <w:sz w:val="28"/>
                <w:szCs w:val="28"/>
              </w:rPr>
            </w:pPr>
            <w:r>
              <w:rPr>
                <w:rFonts w:eastAsia="方正仿宋简体"/>
                <w:color w:val="000000"/>
                <w:sz w:val="28"/>
                <w:szCs w:val="28"/>
              </w:rPr>
              <w:t>将水留下来。实现雨洪调蓄、旱枯调剂，解决季节性缺水问题。新建椒花、白石洞、大坝塘3座大中型水库，扩建马尾皂、南康、梅田3座中型水库，改扩建21座小型水库，实施19座大中型水库、49座大中型水闸除险加固工程，建设水库联合调度管理系统。</w:t>
            </w:r>
          </w:p>
          <w:p>
            <w:pPr>
              <w:adjustRightInd w:val="0"/>
              <w:snapToGrid w:val="0"/>
              <w:spacing w:line="400" w:lineRule="exact"/>
              <w:ind w:firstLine="560" w:firstLineChars="200"/>
              <w:rPr>
                <w:rFonts w:eastAsia="方正仿宋简体"/>
                <w:color w:val="000000"/>
                <w:sz w:val="28"/>
                <w:szCs w:val="28"/>
              </w:rPr>
            </w:pPr>
            <w:r>
              <w:rPr>
                <w:rFonts w:eastAsia="方正仿宋简体"/>
                <w:color w:val="000000"/>
                <w:sz w:val="28"/>
                <w:szCs w:val="28"/>
              </w:rPr>
              <w:t>让水流起来。增强水源调配能力，解决区域性缺水问题。实施开福区堤防、潇湘大道堤防、浏阳河朝正垸堤防、烂泥湖防洪圈堤防以及长沙县、浏阳市、宁乡县城区堤防加固达标工程，加强以大中型灌区节水改造为重点的农村水利建设，建设桐溪湖-观音湖水系、雷锋湖-龙王港-梅溪湖水系、圭塘河水系、杨家湾水系、黄金河水系、大众垸水系等江河湖库水系连通工程。</w:t>
            </w:r>
          </w:p>
          <w:p>
            <w:pPr>
              <w:adjustRightInd w:val="0"/>
              <w:snapToGrid w:val="0"/>
              <w:spacing w:line="400" w:lineRule="exact"/>
              <w:ind w:firstLine="544" w:firstLineChars="200"/>
              <w:rPr>
                <w:rFonts w:eastAsia="方正仿宋简体"/>
                <w:color w:val="000000"/>
                <w:spacing w:val="-4"/>
                <w:sz w:val="28"/>
                <w:szCs w:val="28"/>
              </w:rPr>
            </w:pPr>
            <w:r>
              <w:rPr>
                <w:rFonts w:eastAsia="方正仿宋简体"/>
                <w:color w:val="000000"/>
                <w:spacing w:val="-4"/>
                <w:sz w:val="28"/>
                <w:szCs w:val="28"/>
              </w:rPr>
              <w:t>使水净起来。实施截污治污和生态净化措施，提升水体质量。加强城镇给排水能力建设，新建和改建水厂14个，新、改、扩建污水处理厂8处，主城区总供水和总污水处理能力分别达289万吨/日和238万吨/日。建设河西泉水冲水库应急水源工程，以及星沙、永安、洞阳3个园区应急水源工程。全面建成长望浏宁四县（市、区）水质检测站（所）。</w:t>
            </w:r>
          </w:p>
          <w:p>
            <w:pPr>
              <w:adjustRightInd w:val="0"/>
              <w:snapToGrid w:val="0"/>
              <w:spacing w:line="400" w:lineRule="exact"/>
              <w:ind w:firstLine="560" w:firstLineChars="200"/>
              <w:rPr>
                <w:rFonts w:eastAsia="方正仿宋简体"/>
                <w:color w:val="000000"/>
                <w:sz w:val="28"/>
                <w:szCs w:val="28"/>
              </w:rPr>
            </w:pPr>
            <w:r>
              <w:rPr>
                <w:rFonts w:eastAsia="方正仿宋简体"/>
                <w:color w:val="000000"/>
                <w:sz w:val="28"/>
                <w:szCs w:val="28"/>
              </w:rPr>
              <w:t>把水管起来。坚持依法治水，加强水务信息化工程建设，实现水资源综合管理信息化，中型以上水库等重点水利工程实现在线实时监控；继续加强基层水管站（所）能力建设。</w:t>
            </w:r>
          </w:p>
        </w:tc>
      </w:tr>
    </w:tbl>
    <w:p>
      <w:pPr>
        <w:adjustRightInd w:val="0"/>
        <w:snapToGrid w:val="0"/>
        <w:spacing w:line="600" w:lineRule="exact"/>
        <w:ind w:firstLine="600" w:firstLineChars="200"/>
        <w:rPr>
          <w:rFonts w:eastAsia="方正仿宋简体"/>
          <w:bCs/>
          <w:color w:val="000000"/>
          <w:sz w:val="30"/>
          <w:szCs w:val="30"/>
        </w:rPr>
      </w:pPr>
      <w:r>
        <w:rPr>
          <w:rFonts w:eastAsia="方正仿宋简体"/>
          <w:bCs/>
          <w:color w:val="000000"/>
          <w:sz w:val="30"/>
          <w:szCs w:val="30"/>
        </w:rPr>
        <w:t>三、优化城镇布局形态</w:t>
      </w:r>
    </w:p>
    <w:p>
      <w:pPr>
        <w:adjustRightInd w:val="0"/>
        <w:snapToGrid w:val="0"/>
        <w:spacing w:line="600" w:lineRule="exact"/>
        <w:ind w:firstLine="600" w:firstLineChars="200"/>
        <w:rPr>
          <w:rFonts w:eastAsia="方正仿宋简体"/>
          <w:color w:val="000000"/>
          <w:sz w:val="30"/>
          <w:szCs w:val="30"/>
        </w:rPr>
      </w:pPr>
      <w:r>
        <w:rPr>
          <w:rFonts w:eastAsia="方正仿宋简体"/>
          <w:color w:val="000000"/>
          <w:sz w:val="30"/>
          <w:szCs w:val="30"/>
        </w:rPr>
        <w:t>实施有重点、有层次、有步骤的城镇发展战略，构建布局合理、分工协作、以大带小的城镇空间结构，增强城镇发展的内生动力。</w:t>
      </w:r>
    </w:p>
    <w:p>
      <w:pPr>
        <w:adjustRightInd w:val="0"/>
        <w:snapToGrid w:val="0"/>
        <w:spacing w:line="600" w:lineRule="exact"/>
        <w:ind w:firstLine="600" w:firstLineChars="200"/>
        <w:rPr>
          <w:rFonts w:eastAsia="方正仿宋简体"/>
          <w:color w:val="000000"/>
          <w:sz w:val="30"/>
          <w:szCs w:val="30"/>
        </w:rPr>
      </w:pPr>
      <w:r>
        <w:rPr>
          <w:rFonts w:eastAsia="方正仿宋简体"/>
          <w:color w:val="000000"/>
          <w:sz w:val="30"/>
          <w:szCs w:val="30"/>
        </w:rPr>
        <w:t>1、</w:t>
      </w:r>
      <w:r>
        <w:rPr>
          <w:rFonts w:eastAsia="方正仿宋简体"/>
          <w:bCs/>
          <w:color w:val="000000"/>
          <w:sz w:val="30"/>
          <w:szCs w:val="30"/>
        </w:rPr>
        <w:t>完善新型城镇体系。</w:t>
      </w:r>
      <w:r>
        <w:rPr>
          <w:rFonts w:eastAsia="方正仿宋简体"/>
          <w:color w:val="000000"/>
          <w:sz w:val="30"/>
          <w:szCs w:val="30"/>
        </w:rPr>
        <w:t>进一步完善全域规划，实施极化提高、辐射带动战略，规划形成一个特大城市、两个大城市和若干个建制镇构成的市域城镇规模结构，形成多中心、多层次、网络化的城镇组合布局。其中，特大城市城区为长沙都市区，重点强化综合服务功能；两个大城市为浏阳城区和宁乡城区，分别集聚50-70万人；一批中心镇和一般建制镇，打造成为农业人口就近城镇化的主要载体。</w:t>
      </w:r>
    </w:p>
    <w:p>
      <w:pPr>
        <w:pStyle w:val="8"/>
        <w:adjustRightInd w:val="0"/>
        <w:snapToGrid w:val="0"/>
        <w:spacing w:before="0" w:beforeAutospacing="0" w:after="0" w:afterAutospacing="0" w:line="600" w:lineRule="exact"/>
        <w:ind w:firstLine="600" w:firstLineChars="200"/>
        <w:jc w:val="both"/>
        <w:rPr>
          <w:rFonts w:eastAsia="方正仿宋简体"/>
          <w:color w:val="000000"/>
          <w:sz w:val="30"/>
          <w:szCs w:val="30"/>
        </w:rPr>
      </w:pPr>
      <w:r>
        <w:rPr>
          <w:rFonts w:eastAsia="方正仿宋简体"/>
          <w:bCs/>
          <w:color w:val="000000"/>
          <w:sz w:val="30"/>
          <w:szCs w:val="30"/>
        </w:rPr>
        <w:t>2、加强特色乡镇建设。</w:t>
      </w:r>
      <w:r>
        <w:rPr>
          <w:rFonts w:eastAsia="方正仿宋简体"/>
          <w:color w:val="000000"/>
          <w:sz w:val="30"/>
          <w:szCs w:val="30"/>
        </w:rPr>
        <w:t>积极破解户籍制度、土地制度、投融资体制等体制机制障碍，充分释放重点中心镇的发展活力与潜能，在望城区、长沙县、浏阳市、宁乡县各提升打造1个以上全国闻名的样板镇，加快建设10个以上主题突出、功能完备、产业鲜明、风貌独特的环中心城市功能型城镇，并辐射带动一批工贸物流重镇、现代农业强镇、旅游精品名镇、文化品牌古镇和颐养休闲新镇，使之成为强化城乡联系、优化城乡结构、促进城乡要素流动的有力支点。</w:t>
      </w:r>
    </w:p>
    <w:p>
      <w:pPr>
        <w:pStyle w:val="88"/>
        <w:adjustRightInd w:val="0"/>
        <w:snapToGrid w:val="0"/>
        <w:spacing w:line="600" w:lineRule="exact"/>
        <w:ind w:firstLine="600"/>
        <w:rPr>
          <w:rFonts w:eastAsia="方正仿宋简体"/>
          <w:color w:val="000000"/>
          <w:sz w:val="30"/>
          <w:szCs w:val="30"/>
        </w:rPr>
      </w:pPr>
      <w:r>
        <w:rPr>
          <w:rFonts w:eastAsia="方正仿宋简体"/>
          <w:bCs/>
          <w:color w:val="000000"/>
          <w:sz w:val="30"/>
          <w:szCs w:val="30"/>
        </w:rPr>
        <w:t>3、加强“美丽乡村”建设。</w:t>
      </w:r>
      <w:r>
        <w:rPr>
          <w:rFonts w:eastAsia="方正仿宋简体"/>
          <w:color w:val="000000"/>
          <w:sz w:val="30"/>
          <w:szCs w:val="30"/>
        </w:rPr>
        <w:t>按照“生态宜居自然美、村容整洁环境美、村强民富生活美、村稳民安和谐美”的目标要求，加快推进“乡村美化、生态宜居、创业增收、乡风文明”四大工程建设，广泛实施身边增绿、“五边”造林、“千万”珍稀树种进农家活动，开展农村人居环境整治行动，全面完成农村危房改造，加强农村社区建设，发展农村服务业，大力改善农村生产生活条件。到2020年，力争建设100个“美丽乡村”示范村、100个特色村。</w:t>
      </w:r>
    </w:p>
    <w:p>
      <w:pPr>
        <w:pStyle w:val="88"/>
        <w:adjustRightInd w:val="0"/>
        <w:snapToGrid w:val="0"/>
        <w:spacing w:line="600" w:lineRule="exact"/>
        <w:ind w:firstLine="600"/>
        <w:rPr>
          <w:rFonts w:eastAsia="方正仿宋简体"/>
          <w:color w:val="000000"/>
          <w:sz w:val="30"/>
          <w:szCs w:val="30"/>
        </w:rPr>
      </w:pPr>
      <w:r>
        <w:rPr>
          <w:rFonts w:eastAsia="方正仿宋简体"/>
          <w:color w:val="000000"/>
          <w:sz w:val="30"/>
          <w:szCs w:val="30"/>
        </w:rPr>
        <w:t>4、</w:t>
      </w:r>
      <w:r>
        <w:rPr>
          <w:rFonts w:eastAsia="方正仿宋简体"/>
          <w:bCs/>
          <w:color w:val="000000"/>
          <w:sz w:val="30"/>
          <w:szCs w:val="30"/>
        </w:rPr>
        <w:t>加强农村基础设施建设。</w:t>
      </w:r>
      <w:r>
        <w:rPr>
          <w:rFonts w:eastAsia="方正仿宋简体"/>
          <w:color w:val="000000"/>
          <w:sz w:val="30"/>
          <w:szCs w:val="30"/>
        </w:rPr>
        <w:t>强化县城与重点中心镇的交通联系，打通行政区域交界地段、边远村落的镇村公路连接。到2020年，新改建国省干线公路1000公里，农村公路6000公里，力争行政村客运班线通达率达到100%。推动城乡供水供电、燃气管网、广播电视等配套工程延伸对接，加强乡村旅游服务网络、邮政设施和宽带网络等建设。到2020年，全面解决农村电网“低电压”问题。实施自来水普及工程，农村自来水普及率达85%，农村宽带入户率提高到80%以上。</w:t>
      </w:r>
    </w:p>
    <w:p>
      <w:pPr>
        <w:adjustRightInd w:val="0"/>
        <w:snapToGrid w:val="0"/>
        <w:spacing w:line="600" w:lineRule="exact"/>
        <w:ind w:firstLine="600" w:firstLineChars="200"/>
        <w:rPr>
          <w:rFonts w:eastAsia="方正仿宋简体"/>
          <w:bCs/>
          <w:color w:val="000000"/>
          <w:sz w:val="30"/>
          <w:szCs w:val="30"/>
        </w:rPr>
      </w:pPr>
      <w:r>
        <w:rPr>
          <w:rFonts w:eastAsia="方正仿宋简体"/>
          <w:bCs/>
          <w:color w:val="000000"/>
          <w:sz w:val="30"/>
          <w:szCs w:val="30"/>
        </w:rPr>
        <w:t>四、推进以人为核心的新型城镇化</w:t>
      </w:r>
    </w:p>
    <w:p>
      <w:pPr>
        <w:adjustRightInd w:val="0"/>
        <w:snapToGrid w:val="0"/>
        <w:spacing w:line="600" w:lineRule="exact"/>
        <w:ind w:firstLine="600" w:firstLineChars="200"/>
        <w:rPr>
          <w:rFonts w:eastAsia="方正仿宋简体"/>
          <w:color w:val="000000"/>
          <w:sz w:val="30"/>
          <w:szCs w:val="30"/>
        </w:rPr>
      </w:pPr>
      <w:r>
        <w:rPr>
          <w:rFonts w:eastAsia="方正仿宋简体"/>
          <w:color w:val="000000"/>
          <w:sz w:val="30"/>
          <w:szCs w:val="30"/>
        </w:rPr>
        <w:t>统筹推进人口管理、土地管理、财税金融、行政管理等重点领域和关键环节体制机制改革，形成有利于城镇化健康发展的制度环境。</w:t>
      </w:r>
    </w:p>
    <w:p>
      <w:pPr>
        <w:adjustRightInd w:val="0"/>
        <w:snapToGrid w:val="0"/>
        <w:spacing w:line="600" w:lineRule="exact"/>
        <w:ind w:firstLine="600" w:firstLineChars="200"/>
        <w:rPr>
          <w:rFonts w:eastAsia="方正仿宋简体"/>
          <w:color w:val="000000"/>
          <w:sz w:val="30"/>
          <w:szCs w:val="30"/>
        </w:rPr>
      </w:pPr>
      <w:r>
        <w:rPr>
          <w:rFonts w:eastAsia="方正仿宋简体"/>
          <w:bCs/>
          <w:color w:val="000000"/>
          <w:sz w:val="30"/>
          <w:szCs w:val="30"/>
        </w:rPr>
        <w:t>1、人口转移同城同通道。</w:t>
      </w:r>
      <w:r>
        <w:rPr>
          <w:rFonts w:eastAsia="方正仿宋简体"/>
          <w:color w:val="000000"/>
          <w:sz w:val="30"/>
          <w:szCs w:val="30"/>
        </w:rPr>
        <w:t>加快推进户籍制度改革，探索实行居住证制度，实施与农业转移人口相关的耕地、草地、林地、宅基地和农房处置政策，支持符合条件的农业转移人口落户城镇。将农业转移人口培训经费纳入财政预算，开展多形式、多层次的职业技能培训，提升农业转移人口融入城镇的能力。建设包容性城市，提高农业转移人口参与社会事务管理的水平，推进外来务工人员融入企业、子女融入学校、家庭融入社区、群体融入社会。到2020年，户籍人口城镇化率达到50%以上。</w:t>
      </w:r>
    </w:p>
    <w:p>
      <w:pPr>
        <w:adjustRightInd w:val="0"/>
        <w:snapToGrid w:val="0"/>
        <w:spacing w:line="600" w:lineRule="exact"/>
        <w:ind w:firstLine="600" w:firstLineChars="200"/>
        <w:rPr>
          <w:rFonts w:eastAsia="方正仿宋简体"/>
          <w:color w:val="000000"/>
          <w:sz w:val="30"/>
          <w:szCs w:val="30"/>
        </w:rPr>
      </w:pPr>
      <w:r>
        <w:rPr>
          <w:rFonts w:eastAsia="方正仿宋简体"/>
          <w:bCs/>
          <w:color w:val="000000"/>
          <w:sz w:val="30"/>
          <w:szCs w:val="30"/>
        </w:rPr>
        <w:t>2、公共服务同城同待遇。</w:t>
      </w:r>
      <w:r>
        <w:rPr>
          <w:rFonts w:eastAsia="方正仿宋简体"/>
          <w:color w:val="000000"/>
          <w:sz w:val="30"/>
          <w:szCs w:val="30"/>
        </w:rPr>
        <w:t>根据城镇常住人口增长趋势和空间分</w:t>
      </w:r>
      <w:r>
        <w:rPr>
          <w:rFonts w:eastAsia="方正仿宋简体"/>
          <w:color w:val="000000"/>
          <w:spacing w:val="4"/>
          <w:sz w:val="30"/>
          <w:szCs w:val="30"/>
        </w:rPr>
        <w:t>布，统筹布局建设学校、医疗卫生机构、文化设施、体育场所等</w:t>
      </w:r>
      <w:r>
        <w:rPr>
          <w:rFonts w:eastAsia="方正仿宋简体"/>
          <w:color w:val="000000"/>
          <w:sz w:val="30"/>
          <w:szCs w:val="30"/>
        </w:rPr>
        <w:t>公共服务设施，实现城镇基本公共服务常住人口全覆盖。推进教育资源和教育机会公平，确保符合条件的外来务工人员子女在流入地接受公办义务教育，并同等享受教育免补政策。将农业转移人口纳入社区卫生服务体系，免费提供健康教育、妇幼保健、预防接种、传染病防控、计划生育等公共卫生服务。</w:t>
      </w:r>
    </w:p>
    <w:p>
      <w:pPr>
        <w:adjustRightInd w:val="0"/>
        <w:snapToGrid w:val="0"/>
        <w:spacing w:line="600" w:lineRule="exact"/>
        <w:ind w:firstLine="600" w:firstLineChars="200"/>
        <w:rPr>
          <w:rFonts w:eastAsia="方正仿宋简体"/>
          <w:color w:val="000000"/>
          <w:sz w:val="30"/>
          <w:szCs w:val="30"/>
        </w:rPr>
      </w:pPr>
      <w:r>
        <w:rPr>
          <w:rFonts w:eastAsia="方正仿宋简体"/>
          <w:bCs/>
          <w:color w:val="000000"/>
          <w:sz w:val="30"/>
          <w:szCs w:val="30"/>
        </w:rPr>
        <w:t>3、社会保障同城同体系。</w:t>
      </w:r>
      <w:r>
        <w:rPr>
          <w:rFonts w:eastAsia="方正仿宋简体"/>
          <w:color w:val="000000"/>
          <w:sz w:val="30"/>
          <w:szCs w:val="30"/>
        </w:rPr>
        <w:t>完善农业转移人口住房保障政策，将符合条件的农民工纳入城镇保障性住房政策范围。实行社会保险关系异地转移接续，取消全市行政区域内人员参加基本养老保险和基本医疗保险的户籍限制，鼓励外来务工人员参加当地城镇职工养老保险和医疗保险。逐步提高统筹层次，督促企业落实外来务工人员与城镇职工同工同酬制度，依法为外来务工人员缴纳“五险一金”及相关费用。</w:t>
      </w:r>
    </w:p>
    <w:p>
      <w:pPr>
        <w:adjustRightInd w:val="0"/>
        <w:snapToGrid w:val="0"/>
        <w:spacing w:before="312" w:beforeLines="100" w:after="312" w:afterLines="100" w:line="600" w:lineRule="exact"/>
        <w:jc w:val="center"/>
        <w:rPr>
          <w:rFonts w:eastAsia="方正仿宋简体"/>
          <w:color w:val="000000"/>
          <w:sz w:val="30"/>
          <w:szCs w:val="30"/>
        </w:rPr>
      </w:pPr>
      <w:r>
        <w:rPr>
          <w:rFonts w:eastAsia="方正仿宋简体"/>
          <w:color w:val="000000"/>
          <w:sz w:val="30"/>
          <w:szCs w:val="30"/>
        </w:rPr>
        <w:t>第四节  促进新供给与新需求协调联动</w:t>
      </w:r>
    </w:p>
    <w:p>
      <w:pPr>
        <w:adjustRightInd w:val="0"/>
        <w:snapToGrid w:val="0"/>
        <w:spacing w:line="600" w:lineRule="exact"/>
        <w:ind w:firstLine="600" w:firstLineChars="200"/>
        <w:rPr>
          <w:rFonts w:eastAsia="方正仿宋简体"/>
          <w:color w:val="000000"/>
          <w:sz w:val="30"/>
          <w:szCs w:val="30"/>
        </w:rPr>
      </w:pPr>
      <w:r>
        <w:rPr>
          <w:rFonts w:eastAsia="方正仿宋简体"/>
          <w:color w:val="000000"/>
          <w:sz w:val="30"/>
          <w:szCs w:val="30"/>
        </w:rPr>
        <w:t>以供给侧推动供需结构性调整，是打造经济升级版的必由之路，必须更加注重长远着力的供给创造，充分发挥新消费引领作用，全面释放新需求，培育经济发展新动能。</w:t>
      </w:r>
    </w:p>
    <w:p>
      <w:pPr>
        <w:adjustRightInd w:val="0"/>
        <w:snapToGrid w:val="0"/>
        <w:spacing w:line="600" w:lineRule="exact"/>
        <w:ind w:firstLine="600" w:firstLineChars="200"/>
        <w:rPr>
          <w:rFonts w:eastAsia="方正仿宋简体"/>
          <w:bCs/>
          <w:color w:val="000000"/>
          <w:sz w:val="30"/>
          <w:szCs w:val="30"/>
        </w:rPr>
      </w:pPr>
      <w:r>
        <w:rPr>
          <w:rFonts w:eastAsia="方正仿宋简体"/>
          <w:bCs/>
          <w:color w:val="000000"/>
          <w:sz w:val="30"/>
          <w:szCs w:val="30"/>
        </w:rPr>
        <w:t>一、大力创造新供给</w:t>
      </w:r>
    </w:p>
    <w:p>
      <w:pPr>
        <w:adjustRightInd w:val="0"/>
        <w:snapToGrid w:val="0"/>
        <w:spacing w:line="600" w:lineRule="exact"/>
        <w:ind w:firstLine="600" w:firstLineChars="200"/>
        <w:rPr>
          <w:rFonts w:eastAsia="方正仿宋简体"/>
          <w:color w:val="000000"/>
          <w:sz w:val="30"/>
          <w:szCs w:val="30"/>
        </w:rPr>
      </w:pPr>
      <w:r>
        <w:rPr>
          <w:rFonts w:eastAsia="方正仿宋简体"/>
          <w:color w:val="000000"/>
          <w:sz w:val="30"/>
          <w:szCs w:val="30"/>
        </w:rPr>
        <w:t>着力提高供给体系质量和效率，加快形成有利于创新供给的体制机制，鼓励和推动市场主体提高产品质量、扩大新产品和服务供给。</w:t>
      </w:r>
    </w:p>
    <w:p>
      <w:pPr>
        <w:adjustRightInd w:val="0"/>
        <w:snapToGrid w:val="0"/>
        <w:spacing w:line="600" w:lineRule="exact"/>
        <w:ind w:firstLine="616" w:firstLineChars="200"/>
        <w:rPr>
          <w:rFonts w:eastAsia="方正仿宋简体"/>
          <w:color w:val="000000"/>
          <w:sz w:val="30"/>
          <w:szCs w:val="30"/>
          <w:u w:val="single"/>
        </w:rPr>
      </w:pPr>
      <w:r>
        <w:rPr>
          <w:rFonts w:eastAsia="方正仿宋简体"/>
          <w:bCs/>
          <w:color w:val="000000"/>
          <w:spacing w:val="4"/>
          <w:sz w:val="30"/>
          <w:szCs w:val="30"/>
        </w:rPr>
        <w:t>1、提高供给质量。</w:t>
      </w:r>
      <w:r>
        <w:rPr>
          <w:rFonts w:eastAsia="方正仿宋简体"/>
          <w:color w:val="000000"/>
          <w:spacing w:val="4"/>
          <w:sz w:val="30"/>
          <w:szCs w:val="30"/>
        </w:rPr>
        <w:t>大力推进质量强市建设，突出产品质量和</w:t>
      </w:r>
      <w:r>
        <w:rPr>
          <w:rFonts w:eastAsia="方正仿宋简体"/>
          <w:color w:val="000000"/>
          <w:sz w:val="30"/>
          <w:szCs w:val="30"/>
        </w:rPr>
        <w:t>服务质量“两个提升”。推行企业产品质量承诺标志与管理制度，实施品牌价值提升工程，指导企业建立健全质量管理、质量诚信、标准化和计量检测体系，积极培育发展一批具有较高市场美誉度的地理标志商标和知名品牌。建立和完善服务质量体系，在教育、旅游、文化、网络消费等重点领域开展服务质量提升专项行动，培育一批能够展示“长沙服务”优质形象的企业。加快构建具有长沙特色的产品、工程、服务、环境质量标准体系，积极与国际标准和国外先进标准接轨，提升长沙产品和服务的国际国内市场竞争力。</w:t>
      </w:r>
    </w:p>
    <w:p>
      <w:pPr>
        <w:adjustRightInd w:val="0"/>
        <w:snapToGrid w:val="0"/>
        <w:spacing w:line="600" w:lineRule="exact"/>
        <w:ind w:firstLine="600" w:firstLineChars="200"/>
        <w:rPr>
          <w:rFonts w:eastAsia="方正仿宋简体"/>
          <w:color w:val="000000"/>
          <w:spacing w:val="4"/>
          <w:sz w:val="30"/>
          <w:szCs w:val="30"/>
        </w:rPr>
      </w:pPr>
      <w:r>
        <w:rPr>
          <w:rFonts w:eastAsia="方正仿宋简体"/>
          <w:bCs/>
          <w:color w:val="000000"/>
          <w:sz w:val="30"/>
          <w:szCs w:val="30"/>
        </w:rPr>
        <w:t>2、</w:t>
      </w:r>
      <w:r>
        <w:rPr>
          <w:rFonts w:eastAsia="方正仿宋简体"/>
          <w:bCs/>
          <w:color w:val="000000"/>
          <w:spacing w:val="4"/>
          <w:sz w:val="30"/>
          <w:szCs w:val="30"/>
        </w:rPr>
        <w:t>提升供给效率。</w:t>
      </w:r>
      <w:r>
        <w:rPr>
          <w:rFonts w:eastAsia="方正仿宋简体"/>
          <w:color w:val="000000"/>
          <w:spacing w:val="4"/>
          <w:sz w:val="30"/>
          <w:szCs w:val="30"/>
        </w:rPr>
        <w:t>着眼于发挥制度优势，弥补市场失灵，引导市场行为，系统调整财税、金融、投资、土地、人才和环境政策，加强政策协调配合，形成有利于消费升级和产业升级协同发展的政策环境。大力优化市场经营和投资环境，激发企业活力和消费潜能，营造商品自由流动、平等交换的市场环境。创新公共服务供给方式，鼓励社会力量参与提供公共服务，构建多层次、多方式、多元化的公共服务供给体系。加强适应新消费和新产业、新业态、新模式发展需要的基础设施和公共平台建设，提升资源要素的配置效率。</w:t>
      </w:r>
    </w:p>
    <w:p>
      <w:pPr>
        <w:adjustRightInd w:val="0"/>
        <w:snapToGrid w:val="0"/>
        <w:spacing w:line="600" w:lineRule="exact"/>
        <w:ind w:firstLine="600" w:firstLineChars="200"/>
        <w:rPr>
          <w:rFonts w:eastAsia="方正仿宋简体"/>
          <w:bCs/>
          <w:color w:val="000000"/>
          <w:sz w:val="30"/>
          <w:szCs w:val="30"/>
        </w:rPr>
      </w:pPr>
      <w:r>
        <w:rPr>
          <w:rFonts w:eastAsia="方正仿宋简体"/>
          <w:bCs/>
          <w:color w:val="000000"/>
          <w:sz w:val="30"/>
          <w:szCs w:val="30"/>
        </w:rPr>
        <w:t>二、释放消费新需求</w:t>
      </w:r>
    </w:p>
    <w:p>
      <w:pPr>
        <w:adjustRightInd w:val="0"/>
        <w:snapToGrid w:val="0"/>
        <w:spacing w:line="600" w:lineRule="exact"/>
        <w:ind w:firstLine="600" w:firstLineChars="200"/>
        <w:rPr>
          <w:rFonts w:eastAsia="方正仿宋简体"/>
          <w:color w:val="000000"/>
          <w:sz w:val="30"/>
          <w:szCs w:val="30"/>
        </w:rPr>
      </w:pPr>
      <w:r>
        <w:rPr>
          <w:rFonts w:eastAsia="方正仿宋简体"/>
          <w:color w:val="000000"/>
          <w:sz w:val="30"/>
          <w:szCs w:val="30"/>
        </w:rPr>
        <w:t>消费是最终需求。必须紧紧围绕消费升级需求，以体制机制创新激发新活力，以消费环境改善和市场秩序规范释放新空间，以扩大有效供给和品质提升满足新需求，更好发挥消费的引领作用。“十三五”期间，社会消费品零售总额年均增长10.5%。</w:t>
      </w:r>
    </w:p>
    <w:p>
      <w:pPr>
        <w:adjustRightInd w:val="0"/>
        <w:snapToGrid w:val="0"/>
        <w:spacing w:line="600" w:lineRule="exact"/>
        <w:ind w:firstLine="600" w:firstLineChars="200"/>
        <w:rPr>
          <w:rFonts w:hint="eastAsia" w:eastAsia="方正仿宋简体"/>
          <w:color w:val="000000"/>
          <w:sz w:val="30"/>
          <w:szCs w:val="30"/>
        </w:rPr>
      </w:pPr>
      <w:r>
        <w:rPr>
          <w:rFonts w:eastAsia="方正仿宋简体"/>
          <w:bCs/>
          <w:color w:val="000000"/>
          <w:sz w:val="30"/>
          <w:szCs w:val="30"/>
        </w:rPr>
        <w:t>1、挖掘新的消费热点。</w:t>
      </w:r>
      <w:r>
        <w:rPr>
          <w:rFonts w:eastAsia="方正仿宋简体"/>
          <w:color w:val="000000"/>
          <w:sz w:val="30"/>
          <w:szCs w:val="30"/>
        </w:rPr>
        <w:t>顺应和把握以消费新热点、消费新模式为主要内容的消费升级大趋势，重点培育和发展信息消费、健康养老服务消费、旅游消费、绿色消费、教育文化体育消费、新能源汽车消费、智能家电消费等新兴消费，以花色品种多样、服务品质提升为导向，增加优质新型产品的有效供给，满足不断升级的多样化消费需求。促进传统消费推陈出新，着力调整商贸、餐饮、娱乐等传统消费领域的产品结构，大力开发精品化、个性化消费产品，打造在国际国内具有影响力的旅游目的地、休闲娱乐之城、时尚购物之都，形成“快乐长沙快乐游”、“美食长沙快乐吃”、“消费长沙快乐购”的品牌效应。着力扩大农村消费需求，加强农村流通体系、消费配套服务体系建设，积极发展农村电子商务，推动“快递进村”，增强农村市场有效供给，挖掘农村居民消费潜力。</w:t>
      </w:r>
    </w:p>
    <w:p>
      <w:pPr>
        <w:adjustRightInd w:val="0"/>
        <w:snapToGrid w:val="0"/>
        <w:spacing w:line="600" w:lineRule="exact"/>
        <w:jc w:val="center"/>
        <w:rPr>
          <w:rFonts w:hint="eastAsia" w:eastAsia="方正仿宋简体"/>
          <w:bCs/>
          <w:color w:val="000000"/>
          <w:sz w:val="30"/>
          <w:szCs w:val="30"/>
        </w:rPr>
      </w:pPr>
      <w:r>
        <w:rPr>
          <w:rFonts w:hint="eastAsia" w:ascii="黑体" w:eastAsia="黑体"/>
          <w:color w:val="000000"/>
          <w:sz w:val="28"/>
          <w:szCs w:val="28"/>
        </w:rPr>
        <w:t>专栏15：新兴消费热点培育工程</w:t>
      </w:r>
    </w:p>
    <w:tbl>
      <w:tblPr>
        <w:tblStyle w:val="15"/>
        <w:tblW w:w="0" w:type="auto"/>
        <w:jc w:val="center"/>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Layout w:type="fixed"/>
        <w:tblCellMar>
          <w:top w:w="0" w:type="dxa"/>
          <w:left w:w="108" w:type="dxa"/>
          <w:bottom w:w="0" w:type="dxa"/>
          <w:right w:w="108" w:type="dxa"/>
        </w:tblCellMar>
      </w:tblPr>
      <w:tblGrid>
        <w:gridCol w:w="8522"/>
      </w:tblGrid>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PrEx>
        <w:trPr>
          <w:trHeight w:val="5432" w:hRule="atLeast"/>
          <w:jc w:val="center"/>
        </w:trPr>
        <w:tc>
          <w:tcPr>
            <w:tcW w:w="8522" w:type="dxa"/>
            <w:noWrap w:val="0"/>
            <w:vAlign w:val="top"/>
          </w:tcPr>
          <w:p>
            <w:pPr>
              <w:adjustRightInd w:val="0"/>
              <w:snapToGrid w:val="0"/>
              <w:spacing w:line="400" w:lineRule="exact"/>
              <w:ind w:firstLine="560" w:firstLineChars="200"/>
              <w:rPr>
                <w:rFonts w:eastAsia="方正仿宋简体"/>
                <w:bCs/>
                <w:color w:val="000000"/>
                <w:sz w:val="28"/>
                <w:szCs w:val="28"/>
              </w:rPr>
            </w:pPr>
            <w:r>
              <w:rPr>
                <w:rFonts w:eastAsia="方正仿宋简体"/>
                <w:bCs/>
                <w:color w:val="000000"/>
                <w:sz w:val="28"/>
                <w:szCs w:val="28"/>
              </w:rPr>
              <w:t>信息消费。加大信息化基础设施建设，发展移动互联网、云计算、物联网等新技术、新业态、新模式，实施“柳枝行动”，促进移动互联网经济发展，大力发展乡村电子商务，打造数字文化消费品牌。</w:t>
            </w:r>
          </w:p>
          <w:p>
            <w:pPr>
              <w:adjustRightInd w:val="0"/>
              <w:snapToGrid w:val="0"/>
              <w:spacing w:line="400" w:lineRule="exact"/>
              <w:ind w:firstLine="560" w:firstLineChars="200"/>
              <w:rPr>
                <w:rFonts w:eastAsia="方正仿宋简体"/>
                <w:bCs/>
                <w:color w:val="000000"/>
                <w:sz w:val="28"/>
                <w:szCs w:val="28"/>
              </w:rPr>
            </w:pPr>
            <w:r>
              <w:rPr>
                <w:rFonts w:eastAsia="方正仿宋简体"/>
                <w:bCs/>
                <w:color w:val="000000"/>
                <w:sz w:val="28"/>
                <w:szCs w:val="28"/>
              </w:rPr>
              <w:t xml:space="preserve">旅游消费。强化旅游营销、旅游品牌、旅游产品、旅游线路建设，发展高品质旅游节庆，推进旅游行业标准化、旅游人才专业化、旅游服务人性化。 </w:t>
            </w:r>
          </w:p>
          <w:p>
            <w:pPr>
              <w:adjustRightInd w:val="0"/>
              <w:snapToGrid w:val="0"/>
              <w:spacing w:line="400" w:lineRule="exact"/>
              <w:ind w:firstLine="560" w:firstLineChars="200"/>
              <w:rPr>
                <w:rFonts w:eastAsia="方正仿宋简体"/>
                <w:bCs/>
                <w:color w:val="000000"/>
                <w:sz w:val="28"/>
                <w:szCs w:val="28"/>
              </w:rPr>
            </w:pPr>
            <w:r>
              <w:rPr>
                <w:rFonts w:eastAsia="方正仿宋简体"/>
                <w:bCs/>
                <w:color w:val="000000"/>
                <w:sz w:val="28"/>
                <w:szCs w:val="28"/>
              </w:rPr>
              <w:t>健康养老服务消费。实施医疗康复、保健休闲、健康教育、营养保健等健康服务体系建设，培育发展健康服务产业集群，建设一批满足不同层级需求的养老基地。</w:t>
            </w:r>
          </w:p>
          <w:p>
            <w:pPr>
              <w:adjustRightInd w:val="0"/>
              <w:snapToGrid w:val="0"/>
              <w:spacing w:line="400" w:lineRule="exact"/>
              <w:ind w:firstLine="544" w:firstLineChars="200"/>
              <w:rPr>
                <w:rFonts w:eastAsia="方正仿宋简体"/>
                <w:color w:val="000000"/>
                <w:kern w:val="0"/>
                <w:sz w:val="28"/>
                <w:szCs w:val="28"/>
              </w:rPr>
            </w:pPr>
            <w:r>
              <w:rPr>
                <w:rFonts w:eastAsia="方正仿宋简体"/>
                <w:bCs/>
                <w:color w:val="000000"/>
                <w:spacing w:val="-4"/>
                <w:sz w:val="28"/>
                <w:szCs w:val="28"/>
              </w:rPr>
              <w:t>教育文化体育消费。支持职业院校、社会培训教育机构开发培训项目、开展社会服务，满足各类职业技能的多样化教育消费需求。加快基本公共文化服务体系建设、国家文化和自然遗产保护设施建设、文化创意和设计服务与相关产业融合发展。完善公共体育服务体系，培育体育</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PrEx>
        <w:trPr>
          <w:trHeight w:val="3558" w:hRule="atLeast"/>
          <w:jc w:val="center"/>
        </w:trPr>
        <w:tc>
          <w:tcPr>
            <w:tcW w:w="8522" w:type="dxa"/>
            <w:noWrap w:val="0"/>
            <w:vAlign w:val="top"/>
          </w:tcPr>
          <w:p>
            <w:pPr>
              <w:adjustRightInd w:val="0"/>
              <w:snapToGrid w:val="0"/>
              <w:spacing w:line="440" w:lineRule="exact"/>
              <w:rPr>
                <w:rFonts w:eastAsia="方正仿宋简体"/>
                <w:bCs/>
                <w:color w:val="000000"/>
                <w:sz w:val="28"/>
                <w:szCs w:val="28"/>
              </w:rPr>
            </w:pPr>
            <w:r>
              <w:rPr>
                <w:rFonts w:eastAsia="方正仿宋简体"/>
                <w:bCs/>
                <w:color w:val="000000"/>
                <w:sz w:val="28"/>
                <w:szCs w:val="28"/>
              </w:rPr>
              <w:t>消费意识，推动健身休闲、竞赛表演、场馆服务、中介培训、体育用品制造与销售等体育产业快速发展，促进体育消费。</w:t>
            </w:r>
          </w:p>
          <w:p>
            <w:pPr>
              <w:adjustRightInd w:val="0"/>
              <w:snapToGrid w:val="0"/>
              <w:spacing w:line="440" w:lineRule="exact"/>
              <w:ind w:firstLine="560" w:firstLineChars="200"/>
              <w:rPr>
                <w:rFonts w:eastAsia="方正仿宋简体"/>
                <w:bCs/>
                <w:color w:val="000000"/>
                <w:sz w:val="28"/>
                <w:szCs w:val="28"/>
              </w:rPr>
            </w:pPr>
            <w:r>
              <w:rPr>
                <w:rFonts w:eastAsia="方正仿宋简体"/>
                <w:bCs/>
                <w:color w:val="000000"/>
                <w:sz w:val="28"/>
                <w:szCs w:val="28"/>
              </w:rPr>
              <w:t>新能源汽车消费。落实国家促进新能源汽车消费政策，实施城市停车设施及新能源汽车充电设施建设工程，推动公共服务领域率先推广新能源汽车应用。</w:t>
            </w:r>
          </w:p>
          <w:p>
            <w:pPr>
              <w:adjustRightInd w:val="0"/>
              <w:snapToGrid w:val="0"/>
              <w:spacing w:line="440" w:lineRule="exact"/>
              <w:ind w:firstLine="560" w:firstLineChars="200"/>
              <w:rPr>
                <w:rFonts w:eastAsia="方正仿宋简体"/>
                <w:bCs/>
                <w:color w:val="000000"/>
                <w:sz w:val="28"/>
                <w:szCs w:val="28"/>
              </w:rPr>
            </w:pPr>
            <w:r>
              <w:rPr>
                <w:rFonts w:eastAsia="方正仿宋简体"/>
                <w:bCs/>
                <w:color w:val="000000"/>
                <w:sz w:val="28"/>
                <w:szCs w:val="28"/>
              </w:rPr>
              <w:t>绿色消费。</w:t>
            </w:r>
            <w:r>
              <w:rPr>
                <w:rFonts w:eastAsia="方正仿宋简体"/>
                <w:color w:val="000000"/>
                <w:kern w:val="0"/>
                <w:sz w:val="28"/>
                <w:szCs w:val="28"/>
              </w:rPr>
              <w:t>重点推动绿色消费从生态有机食品向空气净化器、净水器、节能节水器具、绿色家电、绿色建材等有利于节约资源、改善环境的商品和服务拓展。</w:t>
            </w:r>
          </w:p>
        </w:tc>
      </w:tr>
    </w:tbl>
    <w:p>
      <w:pPr>
        <w:adjustRightInd w:val="0"/>
        <w:snapToGrid w:val="0"/>
        <w:spacing w:line="600" w:lineRule="exact"/>
        <w:ind w:firstLine="600" w:firstLineChars="200"/>
        <w:rPr>
          <w:rFonts w:eastAsia="方正仿宋简体"/>
          <w:bCs/>
          <w:color w:val="000000"/>
          <w:sz w:val="30"/>
          <w:szCs w:val="30"/>
        </w:rPr>
      </w:pPr>
      <w:r>
        <w:rPr>
          <w:rFonts w:eastAsia="方正仿宋简体"/>
          <w:bCs/>
          <w:color w:val="000000"/>
          <w:sz w:val="30"/>
          <w:szCs w:val="30"/>
        </w:rPr>
        <w:t>2、建立完善消费网络。适应消费结构、消费模式和消费形态变化，系统构建和完善消费基础设施体系。着力构建以中央商务区、大型城市综合体、特色商业街、专业市场等为支撑和辐射的商圈网络，重点提质五一商圈、溁湾镇商圈、东塘商圈等传统商业中心，打造德思勤城市广场、长沙国金中心、北辰三角洲、泊富国际广场、万家丽国际MALL等大型城市综合体，推进梅溪湖旅游商业特色街、中山路商业街、三和路风情休闲街等特色商业街建设，抓好湾田国际物流城、金桥国际商贸城、高岭国际商贸城等专业市场建设，打造一批地标性商业载体，设立一批免税商品购物区（店），培育一批国际品牌，形成具有区域辐射效应的特色化、品牌化、国际化商贸网络。着力建设城乡统一的物流体系，推进电子商务物流园区、农产品冷链物流等现代物流工程建设，在村镇和社区布局建设共同配送末端网点，提高“最后一公里”的物流配送效率，让城乡居民消费更加便捷。</w:t>
      </w:r>
    </w:p>
    <w:p>
      <w:pPr>
        <w:adjustRightInd w:val="0"/>
        <w:snapToGrid w:val="0"/>
        <w:spacing w:line="600" w:lineRule="exact"/>
        <w:ind w:firstLine="600" w:firstLineChars="200"/>
        <w:rPr>
          <w:rFonts w:eastAsia="方正仿宋简体"/>
          <w:color w:val="000000"/>
          <w:kern w:val="0"/>
          <w:sz w:val="30"/>
          <w:szCs w:val="30"/>
        </w:rPr>
      </w:pPr>
      <w:r>
        <w:rPr>
          <w:rFonts w:eastAsia="方正仿宋简体"/>
          <w:bCs/>
          <w:color w:val="000000"/>
          <w:sz w:val="30"/>
          <w:szCs w:val="30"/>
        </w:rPr>
        <w:t>3、营造优质消费环境。突出完善质量监管体系，在食品药品、儿童用品、日用品等领域建立全过程质量安全追溯体系，健全质量安全事故强制报告、缺陷产品强制召回、严重失信企业强制退出机制，全面提升监管能力、效率和精准度。突出改善市场信用环境，实施企业经营异常名录、失信企业“黑名单”、强制退出等制度，依法打击价格欺诈、质价不符等价格失信行为。突出健全消费者权益保护机制，完善和强化消费领域惩罚性赔偿制度，充分发挥消费者协会等社会组织在维护消费者权益方面的作用，严惩“黑心”商品、旅游“宰客”、虚假宣传、侵害消费者个人信息安全等不法行为，让群众放心消费。</w:t>
      </w:r>
    </w:p>
    <w:p>
      <w:pPr>
        <w:adjustRightInd w:val="0"/>
        <w:snapToGrid w:val="0"/>
        <w:spacing w:line="600" w:lineRule="exact"/>
        <w:ind w:firstLine="600" w:firstLineChars="200"/>
        <w:rPr>
          <w:rFonts w:eastAsia="方正仿宋简体"/>
          <w:bCs/>
          <w:color w:val="000000"/>
          <w:sz w:val="30"/>
          <w:szCs w:val="30"/>
        </w:rPr>
      </w:pPr>
      <w:r>
        <w:rPr>
          <w:rFonts w:eastAsia="方正仿宋简体"/>
          <w:bCs/>
          <w:color w:val="000000"/>
          <w:sz w:val="30"/>
          <w:szCs w:val="30"/>
        </w:rPr>
        <w:t>三、拓展投资新空间</w:t>
      </w:r>
    </w:p>
    <w:p>
      <w:pPr>
        <w:adjustRightInd w:val="0"/>
        <w:snapToGrid w:val="0"/>
        <w:spacing w:line="600" w:lineRule="exact"/>
        <w:ind w:firstLine="600" w:firstLineChars="200"/>
        <w:rPr>
          <w:rFonts w:eastAsia="方正仿宋简体"/>
          <w:color w:val="000000"/>
          <w:sz w:val="30"/>
          <w:szCs w:val="30"/>
        </w:rPr>
      </w:pPr>
      <w:r>
        <w:rPr>
          <w:rFonts w:eastAsia="方正仿宋简体"/>
          <w:bCs/>
          <w:color w:val="000000"/>
          <w:sz w:val="30"/>
          <w:szCs w:val="30"/>
        </w:rPr>
        <w:t>发挥投资对增长的关键作用，优化投资结构，创新融资方式，发挥财政资金撬动功能，带动更多社会资本参与投资。</w:t>
      </w:r>
      <w:r>
        <w:rPr>
          <w:rFonts w:eastAsia="方正仿宋简体"/>
          <w:color w:val="000000"/>
          <w:kern w:val="0"/>
          <w:sz w:val="30"/>
          <w:szCs w:val="30"/>
        </w:rPr>
        <w:t>“十三五”期间，</w:t>
      </w:r>
      <w:r>
        <w:rPr>
          <w:rFonts w:eastAsia="方正仿宋简体"/>
          <w:color w:val="000000"/>
          <w:sz w:val="30"/>
          <w:szCs w:val="30"/>
        </w:rPr>
        <w:t>固定资产投资总额累计4.5万亿元，年均增长12%。</w:t>
      </w:r>
    </w:p>
    <w:p>
      <w:pPr>
        <w:adjustRightInd w:val="0"/>
        <w:snapToGrid w:val="0"/>
        <w:spacing w:line="600" w:lineRule="exact"/>
        <w:ind w:firstLine="600" w:firstLineChars="200"/>
        <w:rPr>
          <w:rFonts w:eastAsia="方正仿宋简体"/>
          <w:color w:val="000000"/>
          <w:sz w:val="30"/>
          <w:szCs w:val="30"/>
        </w:rPr>
      </w:pPr>
      <w:r>
        <w:rPr>
          <w:rFonts w:eastAsia="方正仿宋简体"/>
          <w:bCs/>
          <w:color w:val="000000"/>
          <w:sz w:val="30"/>
          <w:szCs w:val="30"/>
        </w:rPr>
        <w:t>1、持续扩大有效投资。突出战略性投资，精准对接国家战略布局和政策导向，大力推进新型城镇化、综合交通、信息网络、地下综合管廊、开放平台建设等方面的重大基础投资；突出产业类投资，扩大服务新产业、新业态、新模式发展的基础设施和公共平台投资，加大对龙头</w:t>
      </w:r>
      <w:r>
        <w:rPr>
          <w:rFonts w:eastAsia="方正仿宋简体"/>
          <w:bCs/>
          <w:color w:val="000000"/>
          <w:spacing w:val="4"/>
          <w:sz w:val="30"/>
          <w:szCs w:val="30"/>
        </w:rPr>
        <w:t>企业、总部经济、补链强链式企业等的招引和培育力度，推进全市主导产业和战略性新兴产业集群式发展；突出民生类投资，加大对完善城市功能、建设美丽乡村、改善社会民生等兜底线、促公平的保障性领域投入。到2020年，</w:t>
      </w:r>
      <w:r>
        <w:rPr>
          <w:rFonts w:eastAsia="方正仿宋简体"/>
          <w:color w:val="000000"/>
          <w:spacing w:val="4"/>
          <w:sz w:val="30"/>
          <w:szCs w:val="30"/>
        </w:rPr>
        <w:t>工业投资占固定资产投资比重达35%以上，民生领域投资占固定资产投资比重达10%以上。</w:t>
      </w:r>
    </w:p>
    <w:p>
      <w:pPr>
        <w:adjustRightInd w:val="0"/>
        <w:snapToGrid w:val="0"/>
        <w:spacing w:line="600" w:lineRule="exact"/>
        <w:ind w:firstLine="600" w:firstLineChars="200"/>
        <w:rPr>
          <w:rFonts w:eastAsia="方正仿宋简体"/>
          <w:bCs/>
          <w:color w:val="000000"/>
          <w:sz w:val="30"/>
          <w:szCs w:val="30"/>
        </w:rPr>
      </w:pPr>
      <w:r>
        <w:rPr>
          <w:rFonts w:eastAsia="方正仿宋简体"/>
          <w:bCs/>
          <w:color w:val="000000"/>
          <w:sz w:val="30"/>
          <w:szCs w:val="30"/>
        </w:rPr>
        <w:t>2、大力激活社会投资。按照放低准入、放开领域、放宽政策“三放”要求，加快在放宽市场准入机制、创新重点领域投融资机制、公共领域价格形成机制等方面完善配套制度，分类推进社会资本以特许经营、租赁经营、股权投资等方式参与市政公用、社会事业、金融服务等公共领域，重点投向契合国家产业政策的领域和政府鼓励性项目建设。健全完善有利于社会投资发展的政府采购政策。加大PPP模式推广力度，定期推出和更新PPP项目库。到2020年，民间投资占固定资产投资比重达到70%以上。</w:t>
      </w:r>
    </w:p>
    <w:p>
      <w:pPr>
        <w:adjustRightInd w:val="0"/>
        <w:snapToGrid w:val="0"/>
        <w:spacing w:line="600" w:lineRule="exact"/>
        <w:ind w:firstLine="600" w:firstLineChars="200"/>
        <w:rPr>
          <w:rFonts w:hint="eastAsia" w:eastAsia="方正仿宋简体"/>
          <w:bCs/>
          <w:color w:val="000000"/>
          <w:sz w:val="30"/>
          <w:szCs w:val="30"/>
        </w:rPr>
      </w:pPr>
      <w:r>
        <w:rPr>
          <w:rFonts w:eastAsia="方正仿宋简体"/>
          <w:bCs/>
          <w:color w:val="000000"/>
          <w:sz w:val="30"/>
          <w:szCs w:val="30"/>
        </w:rPr>
        <w:t>3、全面盘活政府投资。盘活财政存量资金，加大对部门预算资金结余闲置、财政专户资金结余闲置、上级专项转移支付资金闲置、重复性建设和闲置项目的清理力度。优化财政增量资金，加强政府投资评估监管和稽察审计力度，提高政府性投资的质量和效益。加快政府性融资平台公司的市场化转型。创新政府投资安排模式，整合多部门财政扶持资金，以市场化手段投向重点领域和重点产业，探索设立支持“双创”、城乡融合发展等重点领域的专项基金，放大政府投资综合效应。</w:t>
      </w:r>
    </w:p>
    <w:p>
      <w:pPr>
        <w:adjustRightInd w:val="0"/>
        <w:snapToGrid w:val="0"/>
        <w:spacing w:line="600" w:lineRule="exact"/>
        <w:jc w:val="center"/>
        <w:rPr>
          <w:rFonts w:hint="eastAsia" w:eastAsia="方正仿宋简体"/>
          <w:bCs/>
          <w:color w:val="000000"/>
          <w:sz w:val="30"/>
          <w:szCs w:val="30"/>
        </w:rPr>
      </w:pPr>
      <w:r>
        <w:rPr>
          <w:rFonts w:hint="eastAsia" w:ascii="黑体" w:eastAsia="黑体"/>
          <w:color w:val="000000"/>
          <w:sz w:val="28"/>
          <w:szCs w:val="28"/>
        </w:rPr>
        <w:t>专栏16：重大项目“4523”工程</w:t>
      </w:r>
    </w:p>
    <w:tbl>
      <w:tblPr>
        <w:tblStyle w:val="15"/>
        <w:tblW w:w="0" w:type="auto"/>
        <w:jc w:val="center"/>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Layout w:type="fixed"/>
        <w:tblCellMar>
          <w:top w:w="0" w:type="dxa"/>
          <w:left w:w="108" w:type="dxa"/>
          <w:bottom w:w="0" w:type="dxa"/>
          <w:right w:w="108" w:type="dxa"/>
        </w:tblCellMar>
      </w:tblPr>
      <w:tblGrid>
        <w:gridCol w:w="8415"/>
      </w:tblGrid>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PrEx>
        <w:trPr>
          <w:trHeight w:val="3028" w:hRule="atLeast"/>
          <w:jc w:val="center"/>
        </w:trPr>
        <w:tc>
          <w:tcPr>
            <w:tcW w:w="8415" w:type="dxa"/>
            <w:noWrap w:val="0"/>
            <w:vAlign w:val="center"/>
          </w:tcPr>
          <w:p>
            <w:pPr>
              <w:adjustRightInd w:val="0"/>
              <w:snapToGrid w:val="0"/>
              <w:spacing w:line="440" w:lineRule="exact"/>
              <w:ind w:firstLine="560" w:firstLineChars="200"/>
              <w:rPr>
                <w:rFonts w:eastAsia="方正仿宋简体"/>
                <w:color w:val="000000"/>
                <w:sz w:val="28"/>
                <w:szCs w:val="28"/>
              </w:rPr>
            </w:pPr>
            <w:r>
              <w:rPr>
                <w:rFonts w:eastAsia="方正仿宋简体"/>
                <w:bCs/>
                <w:color w:val="000000"/>
                <w:sz w:val="28"/>
                <w:szCs w:val="28"/>
              </w:rPr>
              <w:t>“十三五”期间全市重大项目包括4大类、53大工程、约2000个项目、2.8万亿投资，涉及产业发展、基础设施、社会民生、平台建设4大类，其中：产业发展类共21大工程，550个子项目，计划投资11350亿元；基础设施类共14大工程，600个子项目，计划投资6815亿元；社会民生类共13大工程，560个子项目，计划投资6191亿元；平台建设类共5大工程，260个子项目，计划投资3650亿元。</w:t>
            </w:r>
          </w:p>
        </w:tc>
      </w:tr>
    </w:tbl>
    <w:p>
      <w:pPr>
        <w:adjustRightInd w:val="0"/>
        <w:snapToGrid w:val="0"/>
        <w:spacing w:line="600" w:lineRule="exact"/>
        <w:jc w:val="center"/>
        <w:rPr>
          <w:rFonts w:hint="eastAsia" w:ascii="方正小标宋简体" w:eastAsia="方正小标宋简体"/>
          <w:color w:val="000000"/>
          <w:w w:val="90"/>
          <w:sz w:val="44"/>
          <w:szCs w:val="44"/>
        </w:rPr>
      </w:pPr>
      <w:r>
        <w:rPr>
          <w:rFonts w:hint="eastAsia" w:ascii="方正小标宋简体" w:eastAsia="方正小标宋简体"/>
          <w:color w:val="000000"/>
          <w:w w:val="90"/>
          <w:sz w:val="44"/>
          <w:szCs w:val="44"/>
        </w:rPr>
        <w:t>第四章  绿色发展  打造彰显两型魅力的美丽长沙</w:t>
      </w:r>
    </w:p>
    <w:p>
      <w:pPr>
        <w:adjustRightInd w:val="0"/>
        <w:snapToGrid w:val="0"/>
        <w:spacing w:line="600" w:lineRule="exact"/>
        <w:ind w:firstLine="594" w:firstLineChars="198"/>
        <w:rPr>
          <w:rFonts w:eastAsia="方正仿宋简体"/>
          <w:bCs/>
          <w:color w:val="000000"/>
          <w:sz w:val="30"/>
          <w:szCs w:val="30"/>
        </w:rPr>
      </w:pPr>
    </w:p>
    <w:p>
      <w:pPr>
        <w:adjustRightInd w:val="0"/>
        <w:snapToGrid w:val="0"/>
        <w:spacing w:line="600" w:lineRule="exact"/>
        <w:ind w:firstLine="594" w:firstLineChars="198"/>
        <w:rPr>
          <w:rFonts w:eastAsia="方正仿宋简体"/>
          <w:bCs/>
          <w:color w:val="000000"/>
          <w:sz w:val="30"/>
          <w:szCs w:val="30"/>
        </w:rPr>
      </w:pPr>
      <w:r>
        <w:rPr>
          <w:rFonts w:eastAsia="方正仿宋简体"/>
          <w:bCs/>
          <w:color w:val="000000"/>
          <w:sz w:val="30"/>
          <w:szCs w:val="30"/>
        </w:rPr>
        <w:t>绿色是永续发展的必要条件和人民对美好生活追求的重要体现。要坚持绿色富市、绿色惠民，深入推进两型社会建设和美丽长沙建设，率先形成人与自然和谐发展的现代化建设新格局。</w:t>
      </w:r>
    </w:p>
    <w:p>
      <w:pPr>
        <w:adjustRightInd w:val="0"/>
        <w:snapToGrid w:val="0"/>
        <w:spacing w:before="312" w:beforeLines="100" w:after="312" w:afterLines="100" w:line="600" w:lineRule="exact"/>
        <w:jc w:val="center"/>
        <w:rPr>
          <w:rFonts w:eastAsia="方正仿宋简体"/>
          <w:color w:val="000000"/>
          <w:sz w:val="30"/>
          <w:szCs w:val="30"/>
        </w:rPr>
      </w:pPr>
      <w:r>
        <w:rPr>
          <w:rFonts w:eastAsia="方正仿宋简体"/>
          <w:color w:val="000000"/>
          <w:sz w:val="30"/>
          <w:szCs w:val="30"/>
        </w:rPr>
        <w:t>第一节  推广低碳节约的绿色发展模式</w:t>
      </w:r>
    </w:p>
    <w:p>
      <w:pPr>
        <w:adjustRightInd w:val="0"/>
        <w:snapToGrid w:val="0"/>
        <w:spacing w:line="600" w:lineRule="exact"/>
        <w:ind w:firstLine="600" w:firstLineChars="200"/>
        <w:rPr>
          <w:rFonts w:eastAsia="方正仿宋简体"/>
          <w:bCs/>
          <w:color w:val="000000"/>
          <w:sz w:val="30"/>
          <w:szCs w:val="30"/>
        </w:rPr>
      </w:pPr>
      <w:r>
        <w:rPr>
          <w:rFonts w:eastAsia="方正仿宋简体"/>
          <w:bCs/>
          <w:color w:val="000000"/>
          <w:sz w:val="30"/>
          <w:szCs w:val="30"/>
        </w:rPr>
        <w:t>牢固树立节约集约循环利用的资源观，大力发展绿色经济和低碳经济，加强生产、流通和消费全过程节约管理，实现资源高效综合利用，促进代际公平和可持续发展。</w:t>
      </w:r>
    </w:p>
    <w:p>
      <w:pPr>
        <w:adjustRightInd w:val="0"/>
        <w:snapToGrid w:val="0"/>
        <w:spacing w:line="600" w:lineRule="exact"/>
        <w:ind w:firstLine="600" w:firstLineChars="200"/>
        <w:rPr>
          <w:rFonts w:eastAsia="方正仿宋简体"/>
          <w:bCs/>
          <w:color w:val="000000"/>
          <w:sz w:val="30"/>
          <w:szCs w:val="30"/>
        </w:rPr>
      </w:pPr>
      <w:r>
        <w:rPr>
          <w:rFonts w:eastAsia="方正仿宋简体"/>
          <w:bCs/>
          <w:color w:val="000000"/>
          <w:sz w:val="30"/>
          <w:szCs w:val="30"/>
        </w:rPr>
        <w:t>一、推进能源消费革命</w:t>
      </w:r>
    </w:p>
    <w:p>
      <w:pPr>
        <w:adjustRightInd w:val="0"/>
        <w:snapToGrid w:val="0"/>
        <w:spacing w:line="600" w:lineRule="exact"/>
        <w:ind w:firstLine="600" w:firstLineChars="200"/>
        <w:rPr>
          <w:rFonts w:eastAsia="方正仿宋简体"/>
          <w:bCs/>
          <w:color w:val="000000"/>
          <w:sz w:val="30"/>
          <w:szCs w:val="30"/>
        </w:rPr>
      </w:pPr>
      <w:r>
        <w:rPr>
          <w:rFonts w:eastAsia="方正仿宋简体"/>
          <w:color w:val="000000"/>
          <w:sz w:val="30"/>
          <w:szCs w:val="30"/>
        </w:rPr>
        <w:t>实施全民节能行动计划，落实能源消费“一挂两控”措施，加强固定资产投资项目节能审查和重点用能单位能源审计，推行能效领跑者制度，推广合同能源管理、节能量交易等市场化节能机制，把节能贯穿于经济社会发展全过程和各领域。</w:t>
      </w:r>
      <w:r>
        <w:rPr>
          <w:rFonts w:eastAsia="方正仿宋简体"/>
          <w:bCs/>
          <w:color w:val="000000"/>
          <w:sz w:val="30"/>
          <w:szCs w:val="30"/>
        </w:rPr>
        <w:t>优化能源结构，探索多源供给，</w:t>
      </w:r>
      <w:r>
        <w:rPr>
          <w:rFonts w:eastAsia="方正仿宋简体"/>
          <w:color w:val="000000"/>
          <w:kern w:val="0"/>
          <w:sz w:val="30"/>
          <w:szCs w:val="30"/>
        </w:rPr>
        <w:t>推动化石能源清洁高效利用</w:t>
      </w:r>
      <w:r>
        <w:rPr>
          <w:rFonts w:eastAsia="方正仿宋简体"/>
          <w:bCs/>
          <w:color w:val="000000"/>
          <w:sz w:val="30"/>
          <w:szCs w:val="30"/>
        </w:rPr>
        <w:t>。推进近零排放区、</w:t>
      </w:r>
      <w:r>
        <w:rPr>
          <w:rFonts w:eastAsia="方正仿宋简体"/>
          <w:color w:val="000000"/>
          <w:kern w:val="0"/>
          <w:sz w:val="30"/>
          <w:szCs w:val="30"/>
        </w:rPr>
        <w:t>低碳园区、低碳社区试点建设，着力</w:t>
      </w:r>
      <w:r>
        <w:rPr>
          <w:rFonts w:eastAsia="方正仿宋简体"/>
          <w:bCs/>
          <w:color w:val="000000"/>
          <w:sz w:val="30"/>
          <w:szCs w:val="30"/>
        </w:rPr>
        <w:t>淘汰落后产能，加快形成能源节约型社会。</w:t>
      </w:r>
      <w:r>
        <w:rPr>
          <w:rFonts w:eastAsia="方正仿宋简体"/>
          <w:color w:val="000000"/>
          <w:sz w:val="30"/>
          <w:szCs w:val="30"/>
        </w:rPr>
        <w:t>到2020年，全市能源消费总量控制在4360万吨标煤以内。</w:t>
      </w:r>
    </w:p>
    <w:p>
      <w:pPr>
        <w:adjustRightInd w:val="0"/>
        <w:snapToGrid w:val="0"/>
        <w:spacing w:line="600" w:lineRule="exact"/>
        <w:ind w:firstLine="600" w:firstLineChars="200"/>
        <w:rPr>
          <w:rFonts w:eastAsia="方正仿宋简体"/>
          <w:bCs/>
          <w:color w:val="000000"/>
          <w:sz w:val="30"/>
          <w:szCs w:val="30"/>
        </w:rPr>
      </w:pPr>
      <w:r>
        <w:rPr>
          <w:rFonts w:eastAsia="方正仿宋简体"/>
          <w:bCs/>
          <w:color w:val="000000"/>
          <w:sz w:val="30"/>
          <w:szCs w:val="30"/>
        </w:rPr>
        <w:t>二、加强资源节约集约利用</w:t>
      </w:r>
    </w:p>
    <w:p>
      <w:pPr>
        <w:adjustRightInd w:val="0"/>
        <w:snapToGrid w:val="0"/>
        <w:spacing w:line="600" w:lineRule="exact"/>
        <w:ind w:firstLine="600"/>
        <w:rPr>
          <w:rFonts w:eastAsia="方正仿宋简体"/>
          <w:color w:val="000000"/>
          <w:kern w:val="0"/>
          <w:sz w:val="30"/>
          <w:szCs w:val="30"/>
        </w:rPr>
      </w:pPr>
      <w:r>
        <w:rPr>
          <w:rFonts w:eastAsia="方正仿宋简体"/>
          <w:bCs/>
          <w:color w:val="000000"/>
          <w:sz w:val="30"/>
          <w:szCs w:val="30"/>
        </w:rPr>
        <w:t>落实最严格的水资源管理制度，</w:t>
      </w:r>
      <w:r>
        <w:rPr>
          <w:rFonts w:eastAsia="方正仿宋简体"/>
          <w:color w:val="000000"/>
          <w:kern w:val="0"/>
          <w:sz w:val="30"/>
          <w:szCs w:val="30"/>
        </w:rPr>
        <w:t>以水定产、以水定城</w:t>
      </w:r>
      <w:r>
        <w:rPr>
          <w:rFonts w:eastAsia="方正仿宋简体"/>
          <w:bCs/>
          <w:color w:val="000000"/>
          <w:sz w:val="30"/>
          <w:szCs w:val="30"/>
        </w:rPr>
        <w:t>，</w:t>
      </w:r>
      <w:r>
        <w:rPr>
          <w:rFonts w:eastAsia="方正仿宋简体"/>
          <w:color w:val="000000"/>
          <w:kern w:val="0"/>
          <w:sz w:val="30"/>
          <w:szCs w:val="30"/>
        </w:rPr>
        <w:t>实施雨洪资源利用、再生水利用工程，</w:t>
      </w:r>
      <w:r>
        <w:rPr>
          <w:rFonts w:eastAsia="方正仿宋简体"/>
          <w:bCs/>
          <w:color w:val="000000"/>
          <w:sz w:val="30"/>
          <w:szCs w:val="30"/>
        </w:rPr>
        <w:t>大力应用和推广节水技术，全面建</w:t>
      </w:r>
      <w:r>
        <w:rPr>
          <w:rFonts w:eastAsia="方正仿宋简体"/>
          <w:bCs/>
          <w:color w:val="000000"/>
          <w:spacing w:val="4"/>
          <w:sz w:val="30"/>
          <w:szCs w:val="30"/>
        </w:rPr>
        <w:t>设节水型城市和水生态文明城市。坚持最严格的耕地保护制度和</w:t>
      </w:r>
      <w:r>
        <w:rPr>
          <w:rFonts w:eastAsia="方正仿宋简体"/>
          <w:bCs/>
          <w:color w:val="000000"/>
          <w:sz w:val="30"/>
          <w:szCs w:val="30"/>
        </w:rPr>
        <w:t>土地管理制度，</w:t>
      </w:r>
      <w:bookmarkStart w:id="11" w:name="_Toc422407688"/>
      <w:r>
        <w:rPr>
          <w:rFonts w:eastAsia="方正仿宋简体"/>
          <w:bCs/>
          <w:color w:val="000000"/>
          <w:sz w:val="30"/>
          <w:szCs w:val="30"/>
        </w:rPr>
        <w:t>严控新增建设用地规模</w:t>
      </w:r>
      <w:bookmarkEnd w:id="11"/>
      <w:r>
        <w:rPr>
          <w:rFonts w:eastAsia="方正仿宋简体"/>
          <w:bCs/>
          <w:color w:val="000000"/>
          <w:sz w:val="30"/>
          <w:szCs w:val="30"/>
        </w:rPr>
        <w:t>，推进城镇低效用地再开发，着力盘活用地存量，在城市地上地下空间立体开发、旧城改造、园区开发、基础设施建设、农民集中居住等方面，积极探索新的节地经验和模式。</w:t>
      </w:r>
      <w:r>
        <w:rPr>
          <w:rFonts w:eastAsia="方正仿宋简体"/>
          <w:color w:val="000000"/>
          <w:kern w:val="0"/>
          <w:sz w:val="30"/>
          <w:szCs w:val="30"/>
        </w:rPr>
        <w:t>加强重点行业原材料消耗管理，鼓励和支持企业采用小型、轻型、再生型材料。</w:t>
      </w:r>
    </w:p>
    <w:p>
      <w:pPr>
        <w:adjustRightInd w:val="0"/>
        <w:snapToGrid w:val="0"/>
        <w:spacing w:line="600" w:lineRule="exact"/>
        <w:ind w:firstLine="600" w:firstLineChars="200"/>
        <w:rPr>
          <w:rFonts w:eastAsia="方正仿宋简体"/>
          <w:bCs/>
          <w:color w:val="000000"/>
          <w:sz w:val="30"/>
          <w:szCs w:val="30"/>
        </w:rPr>
      </w:pPr>
      <w:r>
        <w:rPr>
          <w:rFonts w:eastAsia="方正仿宋简体"/>
          <w:bCs/>
          <w:color w:val="000000"/>
          <w:sz w:val="30"/>
          <w:szCs w:val="30"/>
        </w:rPr>
        <w:t>三、大力发展循环经济</w:t>
      </w:r>
    </w:p>
    <w:p>
      <w:pPr>
        <w:adjustRightInd w:val="0"/>
        <w:snapToGrid w:val="0"/>
        <w:spacing w:line="600" w:lineRule="exact"/>
        <w:ind w:firstLine="600" w:firstLineChars="200"/>
        <w:rPr>
          <w:rFonts w:eastAsia="方正仿宋简体"/>
          <w:bCs/>
          <w:color w:val="000000"/>
          <w:sz w:val="30"/>
          <w:szCs w:val="30"/>
        </w:rPr>
      </w:pPr>
      <w:r>
        <w:rPr>
          <w:rFonts w:eastAsia="方正仿宋简体"/>
          <w:color w:val="000000"/>
          <w:sz w:val="30"/>
          <w:szCs w:val="30"/>
        </w:rPr>
        <w:t>实施循环发展引领计划，按照“减量化、再利用、再循环”的原则，推行企业循环式生产、产业循环式组合、园区循环式改造，提高全社会资源产出率。</w:t>
      </w:r>
      <w:r>
        <w:rPr>
          <w:rFonts w:eastAsia="方正仿宋简体"/>
          <w:bCs/>
          <w:color w:val="000000"/>
          <w:sz w:val="30"/>
          <w:szCs w:val="30"/>
        </w:rPr>
        <w:t>推动建立覆盖城乡的多元化再生资源回收利用体系，支持智能回收、自动回收等新型回收方式发展，实现废旧金属、报废汽车、废弃电器电子产品等的循环利用、规模利用。完善再制造旧件回收政策，构建再制造公共服务平台，以长沙（浏阳、宁乡）国家再制造基地为龙头，培育一批再制造示范企业，推动再制造产业规模化发展。</w:t>
      </w:r>
    </w:p>
    <w:p>
      <w:pPr>
        <w:adjustRightInd w:val="0"/>
        <w:snapToGrid w:val="0"/>
        <w:spacing w:line="600" w:lineRule="exact"/>
        <w:ind w:firstLine="600" w:firstLineChars="200"/>
        <w:rPr>
          <w:rFonts w:eastAsia="方正仿宋简体"/>
          <w:bCs/>
          <w:color w:val="000000"/>
          <w:sz w:val="30"/>
          <w:szCs w:val="30"/>
        </w:rPr>
      </w:pPr>
      <w:r>
        <w:rPr>
          <w:rFonts w:eastAsia="方正仿宋简体"/>
          <w:bCs/>
          <w:color w:val="000000"/>
          <w:sz w:val="30"/>
          <w:szCs w:val="30"/>
        </w:rPr>
        <w:t>四、推广绿色低碳技术和产品</w:t>
      </w:r>
    </w:p>
    <w:p>
      <w:pPr>
        <w:adjustRightInd w:val="0"/>
        <w:snapToGrid w:val="0"/>
        <w:spacing w:line="600" w:lineRule="exact"/>
        <w:ind w:firstLine="600" w:firstLineChars="200"/>
        <w:rPr>
          <w:rFonts w:hint="eastAsia" w:eastAsia="方正仿宋简体"/>
          <w:color w:val="000000"/>
          <w:sz w:val="30"/>
          <w:szCs w:val="30"/>
        </w:rPr>
      </w:pPr>
      <w:r>
        <w:rPr>
          <w:rFonts w:eastAsia="方正仿宋简体"/>
          <w:color w:val="000000"/>
          <w:kern w:val="0"/>
          <w:sz w:val="30"/>
          <w:szCs w:val="30"/>
        </w:rPr>
        <w:t>营造绿色消费政策环境，加快节能、低碳、环保技术开发和产品推广。全域化推广绿色建筑，</w:t>
      </w:r>
      <w:r>
        <w:rPr>
          <w:rFonts w:eastAsia="方正仿宋简体"/>
          <w:color w:val="000000"/>
          <w:sz w:val="30"/>
          <w:szCs w:val="30"/>
        </w:rPr>
        <w:t>提高建筑标准化、产业化、工厂化水平。全方位构建绿色交通，加大新能源与清洁能源汽车推广力度，完善充电桩等配套设施，</w:t>
      </w:r>
      <w:r>
        <w:rPr>
          <w:rFonts w:eastAsia="方正仿宋简体"/>
          <w:color w:val="000000"/>
          <w:kern w:val="0"/>
          <w:sz w:val="30"/>
          <w:szCs w:val="30"/>
        </w:rPr>
        <w:t>推进交通运输低碳发展。实施节能环保产品</w:t>
      </w:r>
      <w:r>
        <w:rPr>
          <w:rFonts w:eastAsia="方正仿宋简体"/>
          <w:color w:val="000000"/>
          <w:sz w:val="30"/>
          <w:szCs w:val="30"/>
        </w:rPr>
        <w:t>惠民</w:t>
      </w:r>
      <w:r>
        <w:rPr>
          <w:rFonts w:eastAsia="方正仿宋简体"/>
          <w:color w:val="000000"/>
          <w:kern w:val="0"/>
          <w:sz w:val="30"/>
          <w:szCs w:val="30"/>
        </w:rPr>
        <w:t>工程，</w:t>
      </w:r>
      <w:r>
        <w:rPr>
          <w:rFonts w:eastAsia="方正仿宋简体"/>
          <w:bCs/>
          <w:color w:val="000000"/>
          <w:sz w:val="30"/>
          <w:szCs w:val="30"/>
        </w:rPr>
        <w:t>出台绿色低碳产品支持政策，完善落实绿色政府采购制度，鼓励企业开发绿色低碳产品</w:t>
      </w:r>
      <w:r>
        <w:rPr>
          <w:rFonts w:eastAsia="方正仿宋简体"/>
          <w:color w:val="000000"/>
          <w:sz w:val="30"/>
          <w:szCs w:val="30"/>
        </w:rPr>
        <w:t>。</w:t>
      </w:r>
    </w:p>
    <w:p>
      <w:pPr>
        <w:adjustRightInd w:val="0"/>
        <w:snapToGrid w:val="0"/>
        <w:spacing w:line="600" w:lineRule="exact"/>
        <w:ind w:firstLine="600" w:firstLineChars="200"/>
        <w:rPr>
          <w:rFonts w:hint="eastAsia" w:eastAsia="方正仿宋简体"/>
          <w:color w:val="000000"/>
          <w:sz w:val="30"/>
          <w:szCs w:val="30"/>
        </w:rPr>
      </w:pPr>
    </w:p>
    <w:p>
      <w:pPr>
        <w:adjustRightInd w:val="0"/>
        <w:snapToGrid w:val="0"/>
        <w:spacing w:line="600" w:lineRule="exact"/>
        <w:jc w:val="center"/>
        <w:rPr>
          <w:rFonts w:hint="eastAsia" w:eastAsia="方正仿宋简体"/>
          <w:color w:val="000000"/>
          <w:sz w:val="30"/>
          <w:szCs w:val="30"/>
        </w:rPr>
      </w:pPr>
      <w:r>
        <w:rPr>
          <w:rFonts w:hint="eastAsia" w:ascii="黑体" w:eastAsia="黑体"/>
          <w:bCs/>
          <w:color w:val="000000"/>
          <w:kern w:val="0"/>
          <w:sz w:val="28"/>
          <w:szCs w:val="28"/>
        </w:rPr>
        <w:t>专栏17：清洁低碳技术推广十大工程</w:t>
      </w:r>
    </w:p>
    <w:tbl>
      <w:tblPr>
        <w:tblStyle w:val="15"/>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5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2631" w:hRule="atLeast"/>
          <w:jc w:val="center"/>
        </w:trPr>
        <w:tc>
          <w:tcPr>
            <w:tcW w:w="8595" w:type="dxa"/>
            <w:noWrap w:val="0"/>
            <w:vAlign w:val="center"/>
          </w:tcPr>
          <w:p>
            <w:pPr>
              <w:adjustRightInd w:val="0"/>
              <w:snapToGrid w:val="0"/>
              <w:spacing w:line="360" w:lineRule="exact"/>
              <w:ind w:firstLine="560" w:firstLineChars="200"/>
              <w:rPr>
                <w:rFonts w:eastAsia="方正仿宋简体"/>
                <w:color w:val="000000"/>
                <w:kern w:val="0"/>
                <w:sz w:val="28"/>
                <w:szCs w:val="28"/>
              </w:rPr>
            </w:pPr>
            <w:r>
              <w:rPr>
                <w:rFonts w:eastAsia="方正仿宋简体"/>
                <w:color w:val="000000"/>
                <w:kern w:val="0"/>
                <w:sz w:val="28"/>
                <w:szCs w:val="28"/>
              </w:rPr>
              <w:t>新能源发电技术推广工程。利用工业园区、公共机构、公共设施和居民住宅屋顶建设光伏电站，分布式光伏电站装机容量达到200MW以上。</w:t>
            </w:r>
          </w:p>
          <w:p>
            <w:pPr>
              <w:adjustRightInd w:val="0"/>
              <w:snapToGrid w:val="0"/>
              <w:spacing w:line="360" w:lineRule="exact"/>
              <w:ind w:firstLine="560" w:firstLineChars="200"/>
              <w:rPr>
                <w:rFonts w:eastAsia="方正仿宋简体"/>
                <w:color w:val="000000"/>
                <w:kern w:val="0"/>
                <w:sz w:val="28"/>
                <w:szCs w:val="28"/>
              </w:rPr>
            </w:pPr>
            <w:r>
              <w:rPr>
                <w:rFonts w:eastAsia="方正仿宋简体"/>
                <w:color w:val="000000"/>
                <w:kern w:val="0"/>
                <w:sz w:val="28"/>
                <w:szCs w:val="28"/>
              </w:rPr>
              <w:t>重金属污染治理技术推广工程。推广重金属污染耕地治理、土壤修复技术和工业废水治理技术。实现对全市重金属污染耕地的有效治理，完成历史遗留的重金属污染土壤修复，重金属污染工业废水达标排放。</w:t>
            </w:r>
          </w:p>
          <w:p>
            <w:pPr>
              <w:adjustRightInd w:val="0"/>
              <w:snapToGrid w:val="0"/>
              <w:spacing w:line="360" w:lineRule="exact"/>
              <w:ind w:firstLine="560" w:firstLineChars="200"/>
              <w:rPr>
                <w:rFonts w:eastAsia="方正仿宋简体"/>
                <w:color w:val="000000"/>
                <w:kern w:val="0"/>
                <w:sz w:val="28"/>
                <w:szCs w:val="28"/>
              </w:rPr>
            </w:pPr>
            <w:r>
              <w:rPr>
                <w:rFonts w:eastAsia="方正仿宋简体"/>
                <w:color w:val="000000"/>
                <w:kern w:val="0"/>
                <w:sz w:val="28"/>
                <w:szCs w:val="28"/>
              </w:rPr>
              <w:t>绿色建筑技术和两型住宅产业化技术推广工程。推广地（水）源热泵、新风热回收、建筑智能化、雨水收集利用、可再生能源等绿色低碳技术，推动梅溪湖国家绿色生态示范城区建设，实现绿色建筑集中连片推广，新建两型住宅产业化面积占同类房屋新开工面积的40%。</w:t>
            </w:r>
          </w:p>
          <w:p>
            <w:pPr>
              <w:adjustRightInd w:val="0"/>
              <w:snapToGrid w:val="0"/>
              <w:spacing w:line="360" w:lineRule="exact"/>
              <w:ind w:firstLine="560" w:firstLineChars="200"/>
              <w:rPr>
                <w:rFonts w:eastAsia="方正仿宋简体"/>
                <w:color w:val="000000"/>
                <w:kern w:val="0"/>
                <w:sz w:val="28"/>
                <w:szCs w:val="28"/>
              </w:rPr>
            </w:pPr>
            <w:r>
              <w:rPr>
                <w:rFonts w:eastAsia="方正仿宋简体"/>
                <w:color w:val="000000"/>
                <w:kern w:val="0"/>
                <w:sz w:val="28"/>
                <w:szCs w:val="28"/>
              </w:rPr>
              <w:t>生活垃圾资源化利用和无害化处理技术推广工程。在城区推广餐厨垃圾资源化利用和无害化处理、生活垃圾清洁焚烧和发电技术，建立城区生活垃圾分类收集与处理体系，城区餐厨垃圾基本实现资源化利用和无害化处理。</w:t>
            </w:r>
          </w:p>
          <w:p>
            <w:pPr>
              <w:adjustRightInd w:val="0"/>
              <w:snapToGrid w:val="0"/>
              <w:spacing w:line="360" w:lineRule="exact"/>
              <w:ind w:firstLine="560" w:firstLineChars="200"/>
              <w:rPr>
                <w:rFonts w:eastAsia="方正仿宋简体"/>
                <w:color w:val="000000"/>
                <w:kern w:val="0"/>
                <w:sz w:val="28"/>
                <w:szCs w:val="28"/>
              </w:rPr>
            </w:pPr>
            <w:r>
              <w:rPr>
                <w:rFonts w:eastAsia="方正仿宋简体"/>
                <w:color w:val="000000"/>
                <w:kern w:val="0"/>
                <w:sz w:val="28"/>
                <w:szCs w:val="28"/>
              </w:rPr>
              <w:t>新能源汽车推广工程。全市新增或更新的公交车中新能源与清洁能源车的比例达到80%以上；新增或更新的专用车（出租车、环卫车、邮政车、物流车等）、公务车中新能源汽车的比例达到30%以上。</w:t>
            </w:r>
          </w:p>
          <w:p>
            <w:pPr>
              <w:adjustRightInd w:val="0"/>
              <w:snapToGrid w:val="0"/>
              <w:spacing w:line="360" w:lineRule="exact"/>
              <w:ind w:firstLine="560" w:firstLineChars="200"/>
              <w:rPr>
                <w:rFonts w:eastAsia="方正仿宋简体"/>
                <w:color w:val="000000"/>
                <w:kern w:val="0"/>
                <w:sz w:val="28"/>
                <w:szCs w:val="28"/>
              </w:rPr>
            </w:pPr>
            <w:r>
              <w:rPr>
                <w:rFonts w:eastAsia="方正仿宋简体"/>
                <w:color w:val="000000"/>
                <w:kern w:val="0"/>
                <w:sz w:val="28"/>
                <w:szCs w:val="28"/>
              </w:rPr>
              <w:t>畜禽养殖污染治理技术推广工程。在长沙县、浏阳市、宁乡县全面推广畜禽养殖污染治理和资源化利用技术，实现达标排放和粪污资源化利用，利用畜禽粪便制有机肥产量达到50万吨。</w:t>
            </w:r>
          </w:p>
          <w:p>
            <w:pPr>
              <w:adjustRightInd w:val="0"/>
              <w:snapToGrid w:val="0"/>
              <w:spacing w:line="360" w:lineRule="exact"/>
              <w:ind w:firstLine="560" w:firstLineChars="200"/>
              <w:rPr>
                <w:rFonts w:eastAsia="方正仿宋简体"/>
                <w:color w:val="000000"/>
                <w:kern w:val="0"/>
                <w:sz w:val="28"/>
                <w:szCs w:val="28"/>
              </w:rPr>
            </w:pPr>
            <w:r>
              <w:rPr>
                <w:rFonts w:eastAsia="方正仿宋简体"/>
                <w:color w:val="000000"/>
                <w:kern w:val="0"/>
                <w:sz w:val="28"/>
                <w:szCs w:val="28"/>
              </w:rPr>
              <w:t>清洁生产技术推广工程。在规模工业企业全面推广应用清洁生产先进工艺技术和绿色环保原材料（产品），组织开展“两型长沙-千家企业清洁生产绿色行动”，实施清洁生产示范工程，建成一批清洁生产示范园区。</w:t>
            </w:r>
          </w:p>
          <w:p>
            <w:pPr>
              <w:adjustRightInd w:val="0"/>
              <w:snapToGrid w:val="0"/>
              <w:spacing w:line="360" w:lineRule="exact"/>
              <w:ind w:firstLine="560" w:firstLineChars="200"/>
              <w:rPr>
                <w:rFonts w:eastAsia="方正仿宋简体"/>
                <w:color w:val="000000"/>
                <w:kern w:val="0"/>
                <w:sz w:val="28"/>
                <w:szCs w:val="28"/>
              </w:rPr>
            </w:pPr>
            <w:r>
              <w:rPr>
                <w:rFonts w:eastAsia="方正仿宋简体"/>
                <w:color w:val="000000"/>
                <w:kern w:val="0"/>
                <w:sz w:val="28"/>
                <w:szCs w:val="28"/>
              </w:rPr>
              <w:t>节能技术推广工程。在重点能耗单位推广应用节能技术，推进实施合同能源管理，全市重点能耗单位能效达到国内先进水平。</w:t>
            </w:r>
          </w:p>
          <w:p>
            <w:pPr>
              <w:adjustRightInd w:val="0"/>
              <w:snapToGrid w:val="0"/>
              <w:spacing w:line="360" w:lineRule="exact"/>
              <w:ind w:firstLine="560" w:firstLineChars="200"/>
              <w:rPr>
                <w:rFonts w:eastAsia="方正仿宋简体"/>
                <w:color w:val="000000"/>
                <w:kern w:val="0"/>
                <w:sz w:val="28"/>
                <w:szCs w:val="28"/>
              </w:rPr>
            </w:pPr>
            <w:r>
              <w:rPr>
                <w:rFonts w:eastAsia="方正仿宋简体"/>
                <w:color w:val="000000"/>
                <w:kern w:val="0"/>
                <w:sz w:val="28"/>
                <w:szCs w:val="28"/>
              </w:rPr>
              <w:t>农村生活污水治理技术推广工程。在农村地区推广散户生活污水生物湿地处理等技术，基本实现农村集聚区生活污水全覆盖处理。</w:t>
            </w:r>
          </w:p>
          <w:p>
            <w:pPr>
              <w:adjustRightInd w:val="0"/>
              <w:snapToGrid w:val="0"/>
              <w:spacing w:line="360" w:lineRule="exact"/>
              <w:ind w:firstLine="560" w:firstLineChars="200"/>
              <w:rPr>
                <w:rFonts w:eastAsia="方正仿宋简体"/>
                <w:color w:val="000000"/>
                <w:sz w:val="28"/>
                <w:szCs w:val="28"/>
              </w:rPr>
            </w:pPr>
            <w:r>
              <w:rPr>
                <w:rFonts w:eastAsia="方正仿宋简体"/>
                <w:color w:val="000000"/>
                <w:kern w:val="0"/>
                <w:sz w:val="28"/>
                <w:szCs w:val="28"/>
              </w:rPr>
              <w:t>“城市矿产”再利用技术推广工程。</w:t>
            </w:r>
            <w:r>
              <w:rPr>
                <w:rFonts w:eastAsia="方正仿宋简体"/>
                <w:bCs/>
                <w:color w:val="000000"/>
                <w:kern w:val="0"/>
                <w:sz w:val="28"/>
                <w:szCs w:val="28"/>
              </w:rPr>
              <w:t>依托宁乡经济技术开发区、浏阳再制造产业基地</w:t>
            </w:r>
            <w:r>
              <w:rPr>
                <w:rFonts w:eastAsia="方正仿宋简体"/>
                <w:color w:val="000000"/>
                <w:kern w:val="0"/>
                <w:sz w:val="28"/>
                <w:szCs w:val="28"/>
              </w:rPr>
              <w:t>推广再制造技术和“城市矿产”再利用技术，工程机械、汽车、机床、医药设备零部件等再制造产业和废旧物资再利用年产值达到150亿元以上。</w:t>
            </w:r>
          </w:p>
        </w:tc>
      </w:tr>
    </w:tbl>
    <w:p>
      <w:pPr>
        <w:adjustRightInd w:val="0"/>
        <w:snapToGrid w:val="0"/>
        <w:spacing w:before="156" w:beforeLines="50" w:after="312" w:afterLines="100" w:line="580" w:lineRule="exact"/>
        <w:jc w:val="center"/>
        <w:rPr>
          <w:rFonts w:eastAsia="方正仿宋简体"/>
          <w:bCs/>
          <w:color w:val="000000"/>
          <w:sz w:val="30"/>
          <w:szCs w:val="30"/>
        </w:rPr>
      </w:pPr>
      <w:r>
        <w:rPr>
          <w:rFonts w:eastAsia="方正仿宋简体"/>
          <w:color w:val="000000"/>
          <w:sz w:val="30"/>
          <w:szCs w:val="30"/>
        </w:rPr>
        <w:t>第二节  共建天蓝水清的绿色生态家园</w:t>
      </w:r>
    </w:p>
    <w:p>
      <w:pPr>
        <w:adjustRightInd w:val="0"/>
        <w:snapToGrid w:val="0"/>
        <w:spacing w:line="580" w:lineRule="exact"/>
        <w:ind w:firstLine="600" w:firstLineChars="200"/>
        <w:jc w:val="left"/>
        <w:rPr>
          <w:rFonts w:eastAsia="方正仿宋简体"/>
          <w:bCs/>
          <w:color w:val="000000"/>
          <w:sz w:val="30"/>
          <w:szCs w:val="30"/>
        </w:rPr>
      </w:pPr>
      <w:r>
        <w:rPr>
          <w:rFonts w:eastAsia="方正仿宋简体"/>
          <w:bCs/>
          <w:color w:val="000000"/>
          <w:sz w:val="30"/>
          <w:szCs w:val="30"/>
        </w:rPr>
        <w:t>依托“山水洲城”的自然禀赋，加强多层次、网格化、功能复合的生态体系建设，着力整治大气、水体、土壤等污染问题，使长沙山更青、水更碧、天更蓝，加快建成全国生态文明示范城市。</w:t>
      </w:r>
    </w:p>
    <w:p>
      <w:pPr>
        <w:adjustRightInd w:val="0"/>
        <w:snapToGrid w:val="0"/>
        <w:spacing w:line="580" w:lineRule="exact"/>
        <w:ind w:firstLine="600" w:firstLineChars="200"/>
        <w:rPr>
          <w:rFonts w:eastAsia="方正仿宋简体"/>
          <w:bCs/>
          <w:color w:val="000000"/>
          <w:sz w:val="30"/>
          <w:szCs w:val="30"/>
        </w:rPr>
      </w:pPr>
      <w:r>
        <w:rPr>
          <w:rFonts w:eastAsia="方正仿宋简体"/>
          <w:bCs/>
          <w:color w:val="000000"/>
          <w:sz w:val="30"/>
          <w:szCs w:val="30"/>
        </w:rPr>
        <w:t>一、全面加强生态建设</w:t>
      </w:r>
    </w:p>
    <w:p>
      <w:pPr>
        <w:adjustRightInd w:val="0"/>
        <w:snapToGrid w:val="0"/>
        <w:spacing w:line="580" w:lineRule="exact"/>
        <w:ind w:firstLine="594" w:firstLineChars="198"/>
        <w:rPr>
          <w:rFonts w:eastAsia="方正仿宋简体"/>
          <w:bCs/>
          <w:color w:val="000000"/>
          <w:sz w:val="30"/>
          <w:szCs w:val="30"/>
        </w:rPr>
      </w:pPr>
      <w:r>
        <w:rPr>
          <w:rFonts w:eastAsia="方正仿宋简体"/>
          <w:bCs/>
          <w:color w:val="000000"/>
          <w:sz w:val="30"/>
          <w:szCs w:val="30"/>
        </w:rPr>
        <w:t>科学划定耕地、森林、湿地、水体、城市绿地等生态保护红线，加强长株潭城市群生态绿心保护。实施重大生态修复工程，抓好重要生态区、生态脆弱区的保护和修复，全面停止天然林商业性采伐，严禁移植天然大树进城，保护森林生态系统，努力提高森林资源质量。打造湘江风光带、浏阳河风光带，建设城市绿色包围圈、城市林业生态圈，推进城区外围生态绿地与都市区绿地系统有机融合，逐步形成“两带两圈五楔”的绿色生态空间结构。持续实施造绿大行动，建设环城绿带，编制城乡绿网，增加城乡绿量，推广屋顶、桥梁、坡面等立体绿化方式，做到城区开门见绿、农村推窗见景，建设市级综合性公园46个、森林公园14个、江河风光带9条及街头花园、城市绿化广场等开敞绿地，创建国家生态园林城市，打造“千园之城”，到2020年，人均公园绿地面积达14平方米。</w:t>
      </w:r>
    </w:p>
    <w:p>
      <w:pPr>
        <w:adjustRightInd w:val="0"/>
        <w:snapToGrid w:val="0"/>
        <w:spacing w:line="580" w:lineRule="exact"/>
        <w:ind w:firstLine="600" w:firstLineChars="200"/>
        <w:rPr>
          <w:rFonts w:eastAsia="方正仿宋简体"/>
          <w:bCs/>
          <w:color w:val="000000"/>
          <w:sz w:val="30"/>
          <w:szCs w:val="30"/>
        </w:rPr>
      </w:pPr>
      <w:r>
        <w:rPr>
          <w:rFonts w:eastAsia="方正仿宋简体"/>
          <w:bCs/>
          <w:color w:val="000000"/>
          <w:sz w:val="30"/>
          <w:szCs w:val="30"/>
        </w:rPr>
        <w:t>二、着力提升环境品质</w:t>
      </w:r>
    </w:p>
    <w:p>
      <w:pPr>
        <w:adjustRightInd w:val="0"/>
        <w:snapToGrid w:val="0"/>
        <w:spacing w:line="580" w:lineRule="exact"/>
        <w:ind w:firstLine="600" w:firstLineChars="200"/>
        <w:rPr>
          <w:rFonts w:eastAsia="方正仿宋简体"/>
          <w:color w:val="000000"/>
          <w:sz w:val="30"/>
          <w:szCs w:val="30"/>
        </w:rPr>
      </w:pPr>
      <w:r>
        <w:rPr>
          <w:rFonts w:eastAsia="方正仿宋简体"/>
          <w:bCs/>
          <w:color w:val="000000"/>
          <w:sz w:val="30"/>
          <w:szCs w:val="30"/>
        </w:rPr>
        <w:t>实行最严格的环境保护法，实行联防联控和流域共治，深入实施大气、水、土壤、噪声污染防治行动计划，持续开展“清霾”、“碧</w:t>
      </w:r>
      <w:r>
        <w:rPr>
          <w:rFonts w:eastAsia="方正仿宋简体"/>
          <w:bCs/>
          <w:color w:val="000000"/>
          <w:spacing w:val="4"/>
          <w:sz w:val="30"/>
          <w:szCs w:val="30"/>
        </w:rPr>
        <w:t>水”、“静音”、“净土”四大环保行动。持续改善大气环境质量，深入</w:t>
      </w:r>
      <w:r>
        <w:rPr>
          <w:rFonts w:eastAsia="方正仿宋简体"/>
          <w:bCs/>
          <w:color w:val="000000"/>
          <w:spacing w:val="6"/>
          <w:sz w:val="30"/>
          <w:szCs w:val="30"/>
        </w:rPr>
        <w:t>推进雾霾治理，加快重点行业、重点企业废气治理，积极开展</w:t>
      </w:r>
      <w:r>
        <w:rPr>
          <w:rFonts w:eastAsia="方正仿宋简体"/>
          <w:bCs/>
          <w:color w:val="000000"/>
          <w:sz w:val="30"/>
          <w:szCs w:val="30"/>
        </w:rPr>
        <w:t>扬尘污染防控，推进绿色施工全普及，加强垃圾和秸杆露天禁烧管理，有效控制温室气体排放，积极应对气候变化。以全面提升水环境品质为核心，加强湘江长沙段、浏阳河、捞刀河、沩水河、圭塘河等流域综合治理，实施工业污染源全面达标排放计划，实现城区污水全截污、全收集、全处理。根据河流承载能力提高污水尾水排放标准，配套建设人工强化湿地，消除城区段水体黑臭现象</w:t>
      </w:r>
      <w:r>
        <w:rPr>
          <w:rFonts w:eastAsia="方正仿宋简体"/>
          <w:color w:val="000000"/>
          <w:sz w:val="30"/>
          <w:szCs w:val="30"/>
        </w:rPr>
        <w:t>。加强土壤污染防治，优先保护耕地土壤环境，强化工业污染场地治理，实现土壤生态环境有效改善。深化噪声污染防治，提高城市道路降噪标准，加强工业、交通、建筑施工和社会生活噪声综合整治，城市建成区声环境质量达到相应功能区标准。</w:t>
      </w:r>
    </w:p>
    <w:p>
      <w:pPr>
        <w:adjustRightInd w:val="0"/>
        <w:snapToGrid w:val="0"/>
        <w:spacing w:line="600" w:lineRule="exact"/>
        <w:ind w:firstLine="600" w:firstLineChars="200"/>
        <w:rPr>
          <w:rFonts w:eastAsia="方正仿宋简体"/>
          <w:bCs/>
          <w:color w:val="000000"/>
          <w:sz w:val="30"/>
          <w:szCs w:val="30"/>
        </w:rPr>
      </w:pPr>
      <w:r>
        <w:rPr>
          <w:rFonts w:eastAsia="方正仿宋简体"/>
          <w:bCs/>
          <w:color w:val="000000"/>
          <w:sz w:val="30"/>
          <w:szCs w:val="30"/>
        </w:rPr>
        <w:t>三、倡导两型生活方式</w:t>
      </w:r>
    </w:p>
    <w:p>
      <w:pPr>
        <w:adjustRightInd w:val="0"/>
        <w:snapToGrid w:val="0"/>
        <w:spacing w:line="600" w:lineRule="exact"/>
        <w:ind w:firstLine="600"/>
        <w:rPr>
          <w:rFonts w:eastAsia="方正仿宋简体"/>
          <w:bCs/>
          <w:color w:val="000000"/>
          <w:sz w:val="30"/>
          <w:szCs w:val="30"/>
        </w:rPr>
      </w:pPr>
      <w:r>
        <w:rPr>
          <w:rFonts w:eastAsia="方正仿宋简体"/>
          <w:color w:val="000000"/>
          <w:sz w:val="30"/>
          <w:szCs w:val="30"/>
        </w:rPr>
        <w:t>全面开展两型生活行动，引导城乡居民形成勤俭节约、绿色低碳、文明健康的生活方式。</w:t>
      </w:r>
      <w:r>
        <w:rPr>
          <w:rFonts w:eastAsia="方正仿宋简体"/>
          <w:color w:val="000000"/>
          <w:kern w:val="0"/>
          <w:sz w:val="30"/>
          <w:szCs w:val="30"/>
        </w:rPr>
        <w:t>深入开展反过度包装、反食品浪费、反过度消费行动，大力削减一次性用品使用，推动形成勤俭节约的社会风尚。</w:t>
      </w:r>
      <w:r>
        <w:rPr>
          <w:rFonts w:eastAsia="方正仿宋简体"/>
          <w:color w:val="000000"/>
          <w:sz w:val="30"/>
          <w:szCs w:val="30"/>
        </w:rPr>
        <w:t>支持电动汽车、自行车租赁，引导绿色低碳出行。推行生活垃圾分类和可再利用资源回收使用，强力推进垃圾处理场提质改造和技术升级。</w:t>
      </w:r>
      <w:r>
        <w:rPr>
          <w:rFonts w:eastAsia="方正仿宋简体"/>
          <w:bCs/>
          <w:color w:val="000000"/>
          <w:sz w:val="30"/>
          <w:szCs w:val="30"/>
        </w:rPr>
        <w:t>强化对两型示范单位和两型综合示范片区的培育与推介，打造一批两型社区、两型村庄、两型学校、两型机关、两型家庭等典型样板。</w:t>
      </w:r>
    </w:p>
    <w:p>
      <w:pPr>
        <w:adjustRightInd w:val="0"/>
        <w:snapToGrid w:val="0"/>
        <w:spacing w:before="312" w:beforeLines="100" w:after="312" w:afterLines="100" w:line="600" w:lineRule="exact"/>
        <w:jc w:val="center"/>
        <w:rPr>
          <w:rFonts w:eastAsia="方正仿宋简体"/>
          <w:bCs/>
          <w:color w:val="000000"/>
          <w:sz w:val="30"/>
          <w:szCs w:val="30"/>
        </w:rPr>
      </w:pPr>
      <w:r>
        <w:rPr>
          <w:rFonts w:eastAsia="方正仿宋简体"/>
          <w:color w:val="000000"/>
          <w:sz w:val="30"/>
          <w:szCs w:val="30"/>
        </w:rPr>
        <w:t>第三节  构建科学完善的生态文明体制</w:t>
      </w:r>
    </w:p>
    <w:p>
      <w:pPr>
        <w:adjustRightInd w:val="0"/>
        <w:snapToGrid w:val="0"/>
        <w:spacing w:line="600" w:lineRule="exact"/>
        <w:ind w:firstLine="616" w:firstLineChars="200"/>
        <w:rPr>
          <w:rFonts w:eastAsia="方正仿宋简体"/>
          <w:color w:val="000000"/>
          <w:sz w:val="30"/>
          <w:szCs w:val="30"/>
        </w:rPr>
      </w:pPr>
      <w:r>
        <w:rPr>
          <w:rFonts w:eastAsia="方正仿宋简体"/>
          <w:bCs/>
          <w:color w:val="000000"/>
          <w:spacing w:val="4"/>
          <w:sz w:val="30"/>
          <w:szCs w:val="30"/>
        </w:rPr>
        <w:t>不断深化制度改革和体制机制创新，建立健全生态文明建设</w:t>
      </w:r>
      <w:r>
        <w:rPr>
          <w:rFonts w:eastAsia="方正仿宋简体"/>
          <w:bCs/>
          <w:color w:val="000000"/>
          <w:sz w:val="30"/>
          <w:szCs w:val="30"/>
        </w:rPr>
        <w:t>地方法规体系和政策体系，率先形成有利于资源节约和环境友好的经验模式，为全国提供示范借鉴。</w:t>
      </w:r>
    </w:p>
    <w:p>
      <w:pPr>
        <w:adjustRightInd w:val="0"/>
        <w:snapToGrid w:val="0"/>
        <w:spacing w:line="600" w:lineRule="exact"/>
        <w:ind w:firstLine="600" w:firstLineChars="200"/>
        <w:rPr>
          <w:rFonts w:eastAsia="方正仿宋简体"/>
          <w:bCs/>
          <w:color w:val="000000"/>
          <w:sz w:val="30"/>
          <w:szCs w:val="30"/>
        </w:rPr>
      </w:pPr>
      <w:r>
        <w:rPr>
          <w:rFonts w:eastAsia="方正仿宋简体"/>
          <w:bCs/>
          <w:color w:val="000000"/>
          <w:sz w:val="30"/>
          <w:szCs w:val="30"/>
        </w:rPr>
        <w:t>一、健全源头严防的制度体系</w:t>
      </w:r>
    </w:p>
    <w:p>
      <w:pPr>
        <w:adjustRightInd w:val="0"/>
        <w:snapToGrid w:val="0"/>
        <w:spacing w:line="600" w:lineRule="exact"/>
        <w:ind w:firstLine="600" w:firstLineChars="200"/>
        <w:rPr>
          <w:rFonts w:eastAsia="方正仿宋简体"/>
          <w:bCs/>
          <w:color w:val="000000"/>
          <w:sz w:val="30"/>
          <w:szCs w:val="30"/>
        </w:rPr>
      </w:pPr>
      <w:r>
        <w:rPr>
          <w:rFonts w:eastAsia="方正仿宋简体"/>
          <w:bCs/>
          <w:color w:val="000000"/>
          <w:sz w:val="30"/>
          <w:szCs w:val="30"/>
        </w:rPr>
        <w:t>健全自然资源资产产权制度。对各类自然生态空间实行统一确权登记，明确所有权、使用权、承包权及经营权等各种权益主体、范围与边界，形成归属清晰、权责明确、监管有效的自然资源资产产权制度。健全自然资源资产管理和监管体制。统一行使全民所有自然资源资产所有权人职责。建立覆盖全市国土空间的用途管制制度，对各类所有自然资源资产的数量、范围、用途实行统一监管。</w:t>
      </w:r>
      <w:r>
        <w:rPr>
          <w:rFonts w:eastAsia="方正仿宋简体"/>
          <w:color w:val="000000"/>
          <w:sz w:val="30"/>
          <w:szCs w:val="30"/>
        </w:rPr>
        <w:t>建立国土空间开发保护制度，明确生产、生活、生态空间开发管制界限，形成定位清晰、功能互补、统一衔接的空间规划体系。</w:t>
      </w:r>
    </w:p>
    <w:p>
      <w:pPr>
        <w:adjustRightInd w:val="0"/>
        <w:snapToGrid w:val="0"/>
        <w:spacing w:line="600" w:lineRule="exact"/>
        <w:ind w:firstLine="600" w:firstLineChars="200"/>
        <w:rPr>
          <w:rFonts w:eastAsia="方正仿宋简体"/>
          <w:bCs/>
          <w:color w:val="000000"/>
          <w:sz w:val="30"/>
          <w:szCs w:val="30"/>
        </w:rPr>
      </w:pPr>
      <w:r>
        <w:rPr>
          <w:rFonts w:eastAsia="方正仿宋简体"/>
          <w:bCs/>
          <w:color w:val="000000"/>
          <w:sz w:val="30"/>
          <w:szCs w:val="30"/>
        </w:rPr>
        <w:t>二、健全过程严管的制度体系</w:t>
      </w:r>
    </w:p>
    <w:p>
      <w:pPr>
        <w:adjustRightInd w:val="0"/>
        <w:snapToGrid w:val="0"/>
        <w:spacing w:line="600" w:lineRule="exact"/>
        <w:ind w:firstLine="600" w:firstLineChars="200"/>
        <w:rPr>
          <w:rFonts w:eastAsia="方正仿宋简体"/>
          <w:color w:val="000000"/>
          <w:sz w:val="30"/>
          <w:szCs w:val="30"/>
        </w:rPr>
      </w:pPr>
      <w:r>
        <w:rPr>
          <w:rFonts w:eastAsia="方正仿宋简体"/>
          <w:bCs/>
          <w:color w:val="000000"/>
          <w:sz w:val="30"/>
          <w:szCs w:val="30"/>
        </w:rPr>
        <w:t>建立完善能源消费总量管理和用水总量控制制度，完善能源、水、土地节约利用制度。实行资源有偿使用制度，推进自然资源及其产品价格改革。建立健全用能权、用水权、排污权、碳排放权初始分配制度。健全生态补偿制度，完善重点生态功能区、自然保护区、集中饮用水水源地保护区等区域的生态补偿制度。实行企事业单位污染物排放总量控制制度。推进节能减排治污市场化改革</w:t>
      </w:r>
      <w:r>
        <w:rPr>
          <w:rFonts w:eastAsia="方正仿宋简体"/>
          <w:color w:val="000000"/>
          <w:sz w:val="30"/>
          <w:szCs w:val="30"/>
        </w:rPr>
        <w:t>，推行森林碳汇、水权、集体林权等交易制度，探索推行环境污染第三</w:t>
      </w:r>
      <w:r>
        <w:rPr>
          <w:rFonts w:eastAsia="方正仿宋简体"/>
          <w:color w:val="000000"/>
          <w:spacing w:val="2"/>
          <w:sz w:val="30"/>
          <w:szCs w:val="30"/>
        </w:rPr>
        <w:t>方治理。探索发展绿色金融制度，开展金融产品和服务创新，推进</w:t>
      </w:r>
      <w:r>
        <w:rPr>
          <w:rFonts w:eastAsia="方正仿宋简体"/>
          <w:color w:val="000000"/>
          <w:spacing w:val="4"/>
          <w:sz w:val="30"/>
          <w:szCs w:val="30"/>
        </w:rPr>
        <w:t>绿色资产证券化，完善对节能低碳、生态环保项目的各类担保机</w:t>
      </w:r>
      <w:r>
        <w:rPr>
          <w:rFonts w:eastAsia="方正仿宋简体"/>
          <w:color w:val="000000"/>
          <w:spacing w:val="2"/>
          <w:sz w:val="30"/>
          <w:szCs w:val="30"/>
        </w:rPr>
        <w:t>制，强化信贷规划指引，鼓励金融机构加大对节能环保新产品的信</w:t>
      </w:r>
      <w:r>
        <w:rPr>
          <w:rFonts w:eastAsia="方正仿宋简体"/>
          <w:color w:val="000000"/>
          <w:sz w:val="30"/>
          <w:szCs w:val="30"/>
        </w:rPr>
        <w:t>贷支持。完善政府两型采购制度。</w:t>
      </w:r>
    </w:p>
    <w:p>
      <w:pPr>
        <w:adjustRightInd w:val="0"/>
        <w:snapToGrid w:val="0"/>
        <w:spacing w:line="600" w:lineRule="exact"/>
        <w:ind w:firstLine="600" w:firstLineChars="200"/>
        <w:rPr>
          <w:rFonts w:eastAsia="方正仿宋简体"/>
          <w:bCs/>
          <w:color w:val="000000"/>
          <w:sz w:val="30"/>
          <w:szCs w:val="30"/>
        </w:rPr>
      </w:pPr>
      <w:r>
        <w:rPr>
          <w:rFonts w:eastAsia="方正仿宋简体"/>
          <w:bCs/>
          <w:color w:val="000000"/>
          <w:sz w:val="30"/>
          <w:szCs w:val="30"/>
        </w:rPr>
        <w:t>三、健全后果严惩的制度体系</w:t>
      </w:r>
    </w:p>
    <w:p>
      <w:pPr>
        <w:adjustRightInd w:val="0"/>
        <w:snapToGrid w:val="0"/>
        <w:spacing w:line="600" w:lineRule="exact"/>
        <w:ind w:firstLine="600" w:firstLineChars="200"/>
        <w:rPr>
          <w:rFonts w:hint="eastAsia" w:eastAsia="方正仿宋简体"/>
          <w:bCs/>
          <w:color w:val="000000"/>
          <w:sz w:val="30"/>
          <w:szCs w:val="30"/>
        </w:rPr>
      </w:pPr>
      <w:r>
        <w:rPr>
          <w:rFonts w:eastAsia="方正仿宋简体"/>
          <w:bCs/>
          <w:color w:val="000000"/>
          <w:sz w:val="30"/>
          <w:szCs w:val="30"/>
        </w:rPr>
        <w:t>建立和完善严格监管所有污染物排放的环境保护管理制度，构建政府依法监督、企业主体负责、公众参与监督的环境保护管理体制机制。加强乡镇（街道）、村（社区）环境保护能力建设，推行生态环境保护网格化管理。建立体现生态文明要求的绿色发展评价体系、考核办法和奖惩机制，提高资源消耗、环境损害、生态效益、资源利用率等考核指标权重。健全生态环境保护责任体系，完善和落实生态环境损害赔偿和责任追究制度，加大资源环境审计力度，开展领导干部自然资源资产离任审计。</w:t>
      </w:r>
    </w:p>
    <w:p>
      <w:pPr>
        <w:adjustRightInd w:val="0"/>
        <w:snapToGrid w:val="0"/>
        <w:spacing w:line="600" w:lineRule="exact"/>
        <w:jc w:val="center"/>
        <w:rPr>
          <w:rFonts w:hint="eastAsia" w:eastAsia="方正仿宋简体"/>
          <w:bCs/>
          <w:color w:val="000000"/>
          <w:sz w:val="30"/>
          <w:szCs w:val="30"/>
        </w:rPr>
      </w:pPr>
      <w:r>
        <w:rPr>
          <w:rFonts w:hint="eastAsia" w:ascii="黑体" w:eastAsia="黑体"/>
          <w:bCs/>
          <w:color w:val="000000"/>
          <w:sz w:val="28"/>
          <w:szCs w:val="28"/>
        </w:rPr>
        <w:t>专栏18：两型引领行动</w:t>
      </w:r>
    </w:p>
    <w:tbl>
      <w:tblPr>
        <w:tblStyle w:val="15"/>
        <w:tblW w:w="0" w:type="auto"/>
        <w:jc w:val="center"/>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Layout w:type="fixed"/>
        <w:tblCellMar>
          <w:top w:w="0" w:type="dxa"/>
          <w:left w:w="108" w:type="dxa"/>
          <w:bottom w:w="0" w:type="dxa"/>
          <w:right w:w="108" w:type="dxa"/>
        </w:tblCellMar>
      </w:tblPr>
      <w:tblGrid>
        <w:gridCol w:w="8522"/>
      </w:tblGrid>
      <w:tr>
        <w:trPr>
          <w:trHeight w:val="6620" w:hRule="atLeast"/>
          <w:jc w:val="center"/>
        </w:trPr>
        <w:tc>
          <w:tcPr>
            <w:tcW w:w="8522" w:type="dxa"/>
            <w:noWrap w:val="0"/>
            <w:vAlign w:val="center"/>
          </w:tcPr>
          <w:p>
            <w:pPr>
              <w:adjustRightInd w:val="0"/>
              <w:snapToGrid w:val="0"/>
              <w:spacing w:line="440" w:lineRule="exact"/>
              <w:ind w:firstLine="520" w:firstLineChars="200"/>
              <w:rPr>
                <w:rFonts w:eastAsia="方正仿宋简体"/>
                <w:color w:val="000000"/>
                <w:spacing w:val="-10"/>
                <w:sz w:val="28"/>
                <w:szCs w:val="28"/>
              </w:rPr>
            </w:pPr>
            <w:r>
              <w:rPr>
                <w:rFonts w:eastAsia="方正仿宋简体"/>
                <w:color w:val="000000"/>
                <w:spacing w:val="-10"/>
                <w:sz w:val="28"/>
                <w:szCs w:val="28"/>
              </w:rPr>
              <w:t>城市绿色空间拓展工程。</w:t>
            </w:r>
            <w:r>
              <w:rPr>
                <w:rFonts w:eastAsia="方正仿宋简体"/>
                <w:bCs/>
                <w:color w:val="000000"/>
                <w:spacing w:val="-10"/>
                <w:sz w:val="28"/>
                <w:szCs w:val="28"/>
              </w:rPr>
              <w:t>规划建设9条江河风光带（湘江、浏阳河、靳江河、捞刀河、沩水河、龙王港、圭塘河、八曲河、马桥河）；14个森林公园（黑糜峰、书堂山、谷山、洪山庙、石燕湖、青竹湖、大王山、泉水冲、象鼻窝、乌山、天际岭、安沙、</w:t>
            </w:r>
            <w:r>
              <w:rPr>
                <w:rFonts w:eastAsia="方正仿宋简体"/>
                <w:color w:val="000000"/>
                <w:spacing w:val="-10"/>
                <w:kern w:val="0"/>
                <w:sz w:val="28"/>
                <w:szCs w:val="28"/>
                <w:lang w:bidi="ar"/>
              </w:rPr>
              <w:drawing>
                <wp:inline distT="0" distB="0" distL="114300" distR="114300">
                  <wp:extent cx="321945" cy="139065"/>
                  <wp:effectExtent l="0" t="0" r="1905" b="13335"/>
                  <wp:docPr id="4"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descr="IMG_256"/>
                          <pic:cNvPicPr>
                            <a:picLocks noChangeAspect="1"/>
                          </pic:cNvPicPr>
                        </pic:nvPicPr>
                        <pic:blipFill>
                          <a:blip r:embed="rId9"/>
                          <a:stretch>
                            <a:fillRect/>
                          </a:stretch>
                        </pic:blipFill>
                        <pic:spPr>
                          <a:xfrm>
                            <a:off x="0" y="0"/>
                            <a:ext cx="321945" cy="139065"/>
                          </a:xfrm>
                          <a:prstGeom prst="rect">
                            <a:avLst/>
                          </a:prstGeom>
                          <a:noFill/>
                          <a:ln>
                            <a:noFill/>
                          </a:ln>
                        </pic:spPr>
                      </pic:pic>
                    </a:graphicData>
                  </a:graphic>
                </wp:inline>
              </w:drawing>
            </w:r>
            <w:r>
              <w:rPr>
                <w:rFonts w:eastAsia="方正仿宋简体"/>
                <w:bCs/>
                <w:color w:val="000000"/>
                <w:spacing w:val="-10"/>
                <w:sz w:val="28"/>
                <w:szCs w:val="28"/>
              </w:rPr>
              <w:t>、浏阳河）；8个湿地公园（洋湖垸、</w:t>
            </w:r>
            <w:r>
              <w:rPr>
                <w:rFonts w:eastAsia="方正仿宋简体"/>
                <w:color w:val="000000"/>
                <w:spacing w:val="-10"/>
                <w:sz w:val="28"/>
                <w:szCs w:val="28"/>
              </w:rPr>
              <w:t>苏</w:t>
            </w:r>
            <w:r>
              <w:rPr>
                <w:color w:val="000000"/>
                <w:spacing w:val="-10"/>
                <w:sz w:val="28"/>
                <w:szCs w:val="28"/>
              </w:rPr>
              <w:t>圫</w:t>
            </w:r>
            <w:r>
              <w:rPr>
                <w:rFonts w:eastAsia="方正仿宋简体"/>
                <w:color w:val="000000"/>
                <w:spacing w:val="-10"/>
                <w:sz w:val="28"/>
                <w:szCs w:val="28"/>
              </w:rPr>
              <w:t>垸</w:t>
            </w:r>
            <w:r>
              <w:rPr>
                <w:rFonts w:eastAsia="方正仿宋简体"/>
                <w:bCs/>
                <w:color w:val="000000"/>
                <w:spacing w:val="-10"/>
                <w:sz w:val="28"/>
                <w:szCs w:val="28"/>
              </w:rPr>
              <w:t>、解放垸、马桥河、松雅湖、大泽湖、苏蓼垸、团头湖）。</w:t>
            </w:r>
          </w:p>
          <w:p>
            <w:pPr>
              <w:adjustRightInd w:val="0"/>
              <w:snapToGrid w:val="0"/>
              <w:spacing w:line="440" w:lineRule="exact"/>
              <w:ind w:firstLine="560" w:firstLineChars="200"/>
              <w:rPr>
                <w:rFonts w:eastAsia="方正仿宋简体"/>
                <w:color w:val="000000"/>
                <w:sz w:val="28"/>
                <w:szCs w:val="28"/>
              </w:rPr>
            </w:pPr>
            <w:r>
              <w:rPr>
                <w:rFonts w:eastAsia="方正仿宋简体"/>
                <w:color w:val="000000"/>
                <w:sz w:val="28"/>
                <w:szCs w:val="28"/>
              </w:rPr>
              <w:t>生态绿心保护工程。以绿心区产业引导、落后产能退出、基础设施建设、民生改善、绿心执法等问题研究为基础，制定实施绿心保护行动纲领。建立长沙市生态绿心保护工作协调机制，统一领导全市生态绿心保护和发展工作。率先在全省探索绿心保护与发展的新模式，实施绿心地区综合性生态补偿。</w:t>
            </w:r>
          </w:p>
          <w:p>
            <w:pPr>
              <w:adjustRightInd w:val="0"/>
              <w:snapToGrid w:val="0"/>
              <w:spacing w:line="440" w:lineRule="exact"/>
              <w:ind w:firstLine="520" w:firstLineChars="200"/>
              <w:rPr>
                <w:rFonts w:eastAsia="方正仿宋简体"/>
                <w:color w:val="000000"/>
                <w:spacing w:val="-10"/>
                <w:sz w:val="28"/>
                <w:szCs w:val="28"/>
              </w:rPr>
            </w:pPr>
            <w:r>
              <w:rPr>
                <w:rFonts w:eastAsia="方正仿宋简体"/>
                <w:color w:val="000000"/>
                <w:spacing w:val="-10"/>
                <w:sz w:val="28"/>
                <w:szCs w:val="28"/>
              </w:rPr>
              <w:t>环城绿带生态圈建设工程。沿三环线和原绕城线，东至长株线两厢，规划总长99.1公里，辐射18条主出入城通道，对接沿线山体、河流、公园等，成立体辐射状，环绕整个长沙城区，建成“一环、九园、十二区、二十八点”的环城绿带生态圈。到2020年，全市增加生态绿地4263.5公顷。</w:t>
            </w:r>
          </w:p>
          <w:p>
            <w:pPr>
              <w:adjustRightInd w:val="0"/>
              <w:snapToGrid w:val="0"/>
              <w:spacing w:line="440" w:lineRule="exact"/>
              <w:ind w:firstLine="520" w:firstLineChars="200"/>
              <w:rPr>
                <w:rFonts w:eastAsia="方正仿宋简体"/>
                <w:color w:val="000000"/>
                <w:sz w:val="28"/>
                <w:szCs w:val="28"/>
              </w:rPr>
            </w:pPr>
            <w:r>
              <w:rPr>
                <w:rFonts w:eastAsia="方正仿宋简体"/>
                <w:color w:val="000000"/>
                <w:spacing w:val="-10"/>
                <w:sz w:val="28"/>
                <w:szCs w:val="28"/>
              </w:rPr>
              <w:t>节能减排综合示范工程。全面完成电力行业、水泥行业提标改造，加</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PrEx>
        <w:trPr>
          <w:trHeight w:val="3558" w:hRule="atLeast"/>
          <w:jc w:val="center"/>
        </w:trPr>
        <w:tc>
          <w:tcPr>
            <w:tcW w:w="8522" w:type="dxa"/>
            <w:noWrap w:val="0"/>
            <w:vAlign w:val="center"/>
          </w:tcPr>
          <w:p>
            <w:pPr>
              <w:adjustRightInd w:val="0"/>
              <w:snapToGrid w:val="0"/>
              <w:spacing w:line="480" w:lineRule="exact"/>
              <w:rPr>
                <w:rFonts w:eastAsia="方正仿宋简体"/>
                <w:color w:val="000000"/>
                <w:sz w:val="28"/>
                <w:szCs w:val="28"/>
              </w:rPr>
            </w:pPr>
            <w:r>
              <w:rPr>
                <w:rFonts w:eastAsia="方正仿宋简体"/>
                <w:color w:val="000000"/>
                <w:sz w:val="28"/>
                <w:szCs w:val="28"/>
              </w:rPr>
              <w:t>快推进城镇污水集中处理及配套管网建设和城镇污水处理厂提标改造工程，完成一批重点污水处理提标扩容项目及湘江库区截污工程。实施工业节能行动计划、绿色建筑行动计划和绿色交通行动计划。</w:t>
            </w:r>
          </w:p>
          <w:p>
            <w:pPr>
              <w:adjustRightInd w:val="0"/>
              <w:snapToGrid w:val="0"/>
              <w:spacing w:line="480" w:lineRule="exact"/>
              <w:ind w:firstLine="560" w:firstLineChars="200"/>
              <w:rPr>
                <w:rFonts w:eastAsia="方正仿宋简体"/>
                <w:color w:val="000000"/>
                <w:sz w:val="28"/>
                <w:szCs w:val="28"/>
              </w:rPr>
            </w:pPr>
            <w:r>
              <w:rPr>
                <w:rFonts w:eastAsia="方正仿宋简体"/>
                <w:bCs/>
                <w:color w:val="000000"/>
                <w:sz w:val="28"/>
                <w:szCs w:val="28"/>
              </w:rPr>
              <w:t>水体污染整治工程。</w:t>
            </w:r>
            <w:r>
              <w:rPr>
                <w:rFonts w:eastAsia="方正仿宋简体"/>
                <w:color w:val="000000"/>
                <w:sz w:val="28"/>
                <w:szCs w:val="28"/>
              </w:rPr>
              <w:t>推进城市、</w:t>
            </w:r>
            <w:r>
              <w:rPr>
                <w:rFonts w:eastAsia="方正仿宋简体"/>
                <w:color w:val="000000"/>
                <w:kern w:val="0"/>
                <w:sz w:val="28"/>
                <w:szCs w:val="28"/>
              </w:rPr>
              <w:t>工</w:t>
            </w:r>
            <w:r>
              <w:rPr>
                <w:rFonts w:eastAsia="方正仿宋简体"/>
                <w:color w:val="000000"/>
                <w:sz w:val="28"/>
                <w:szCs w:val="28"/>
              </w:rPr>
              <w:t>业、农业水污染防治，实现工业企业废水全面达标排放；湘江长沙段实现全截污处理，城市污水处理率达98%；测土配方施肥技术推广覆盖率达到90%以上，化肥利用率提高到50%以上。</w:t>
            </w:r>
          </w:p>
        </w:tc>
      </w:tr>
    </w:tbl>
    <w:p>
      <w:pPr>
        <w:adjustRightInd w:val="0"/>
        <w:snapToGrid w:val="0"/>
        <w:spacing w:line="600" w:lineRule="exact"/>
        <w:jc w:val="center"/>
        <w:rPr>
          <w:rFonts w:eastAsia="方正仿宋简体"/>
          <w:color w:val="000000"/>
          <w:sz w:val="30"/>
          <w:szCs w:val="30"/>
        </w:rPr>
      </w:pPr>
    </w:p>
    <w:p>
      <w:pPr>
        <w:adjustRightInd w:val="0"/>
        <w:snapToGrid w:val="0"/>
        <w:spacing w:line="600" w:lineRule="exact"/>
        <w:jc w:val="center"/>
        <w:rPr>
          <w:rFonts w:hint="eastAsia" w:ascii="方正小标宋简体" w:eastAsia="方正小标宋简体"/>
          <w:color w:val="000000"/>
          <w:w w:val="90"/>
          <w:sz w:val="44"/>
          <w:szCs w:val="44"/>
        </w:rPr>
      </w:pPr>
      <w:r>
        <w:rPr>
          <w:rFonts w:hint="eastAsia" w:ascii="方正小标宋简体" w:eastAsia="方正小标宋简体"/>
          <w:color w:val="000000"/>
          <w:w w:val="90"/>
          <w:sz w:val="44"/>
          <w:szCs w:val="44"/>
        </w:rPr>
        <w:t>第五章  开放发展  打造全方位对外开放的新高地</w:t>
      </w:r>
    </w:p>
    <w:p>
      <w:pPr>
        <w:adjustRightInd w:val="0"/>
        <w:snapToGrid w:val="0"/>
        <w:spacing w:line="600" w:lineRule="exact"/>
        <w:jc w:val="center"/>
        <w:rPr>
          <w:rFonts w:eastAsia="方正仿宋简体"/>
          <w:color w:val="000000"/>
          <w:sz w:val="30"/>
          <w:szCs w:val="30"/>
        </w:rPr>
      </w:pPr>
    </w:p>
    <w:p>
      <w:pPr>
        <w:adjustRightInd w:val="0"/>
        <w:snapToGrid w:val="0"/>
        <w:spacing w:line="600" w:lineRule="exact"/>
        <w:ind w:firstLine="600" w:firstLineChars="200"/>
        <w:rPr>
          <w:rFonts w:eastAsia="方正仿宋简体"/>
          <w:color w:val="000000"/>
          <w:kern w:val="0"/>
          <w:sz w:val="30"/>
          <w:szCs w:val="30"/>
        </w:rPr>
      </w:pPr>
      <w:r>
        <w:rPr>
          <w:rFonts w:eastAsia="方正仿宋简体"/>
          <w:color w:val="000000"/>
          <w:kern w:val="0"/>
          <w:sz w:val="30"/>
          <w:szCs w:val="30"/>
        </w:rPr>
        <w:t>开放既是长沙过去发展的“短板”，又是未来蓄势突破的潜力。必须加快适应经济全球化和区域一体化发展趋势，主动对接国家战略“大格局”，积极融入国际国内经济大循环，全方位提升开放型经济水平。</w:t>
      </w:r>
    </w:p>
    <w:p>
      <w:pPr>
        <w:adjustRightInd w:val="0"/>
        <w:snapToGrid w:val="0"/>
        <w:spacing w:before="312" w:beforeLines="100" w:after="312" w:afterLines="100" w:line="600" w:lineRule="exact"/>
        <w:jc w:val="center"/>
        <w:rPr>
          <w:rFonts w:eastAsia="方正仿宋简体"/>
          <w:color w:val="000000"/>
          <w:sz w:val="30"/>
          <w:szCs w:val="30"/>
        </w:rPr>
      </w:pPr>
      <w:r>
        <w:rPr>
          <w:rFonts w:eastAsia="方正仿宋简体"/>
          <w:color w:val="000000"/>
          <w:sz w:val="30"/>
          <w:szCs w:val="30"/>
        </w:rPr>
        <w:t>第一节  建设内外畅达的大通道</w:t>
      </w:r>
    </w:p>
    <w:p>
      <w:pPr>
        <w:adjustRightInd w:val="0"/>
        <w:snapToGrid w:val="0"/>
        <w:spacing w:line="600" w:lineRule="exact"/>
        <w:ind w:firstLine="600" w:firstLineChars="200"/>
        <w:rPr>
          <w:rFonts w:eastAsia="方正仿宋简体"/>
          <w:bCs/>
          <w:color w:val="000000"/>
          <w:sz w:val="30"/>
          <w:szCs w:val="30"/>
        </w:rPr>
      </w:pPr>
      <w:r>
        <w:rPr>
          <w:rFonts w:eastAsia="方正仿宋简体"/>
          <w:bCs/>
          <w:color w:val="000000"/>
          <w:sz w:val="30"/>
          <w:szCs w:val="30"/>
        </w:rPr>
        <w:t>按照“形成大路网、建设大枢纽、构建大交通”的思路，加强航空、铁路、水运、公路的有机衔接，完善与全国性综合交通枢纽定位相匹配的集疏运系统，加快畅通和拓展对外大通道。</w:t>
      </w:r>
    </w:p>
    <w:p>
      <w:pPr>
        <w:adjustRightInd w:val="0"/>
        <w:snapToGrid w:val="0"/>
        <w:spacing w:line="600" w:lineRule="exact"/>
        <w:ind w:firstLine="600" w:firstLineChars="200"/>
        <w:rPr>
          <w:rFonts w:eastAsia="方正仿宋简体"/>
          <w:bCs/>
          <w:color w:val="000000"/>
          <w:sz w:val="30"/>
          <w:szCs w:val="30"/>
        </w:rPr>
      </w:pPr>
      <w:r>
        <w:rPr>
          <w:rFonts w:eastAsia="方正仿宋简体"/>
          <w:bCs/>
          <w:color w:val="000000"/>
          <w:sz w:val="30"/>
          <w:szCs w:val="30"/>
        </w:rPr>
        <w:t>一、打造国际化航空枢纽</w:t>
      </w:r>
    </w:p>
    <w:p>
      <w:pPr>
        <w:adjustRightInd w:val="0"/>
        <w:snapToGrid w:val="0"/>
        <w:spacing w:line="600" w:lineRule="exact"/>
        <w:ind w:firstLine="600" w:firstLineChars="200"/>
        <w:rPr>
          <w:rFonts w:eastAsia="方正仿宋简体"/>
          <w:color w:val="000000"/>
          <w:sz w:val="30"/>
          <w:szCs w:val="30"/>
        </w:rPr>
      </w:pPr>
      <w:r>
        <w:rPr>
          <w:rFonts w:eastAsia="方正仿宋简体"/>
          <w:color w:val="000000"/>
          <w:sz w:val="30"/>
          <w:szCs w:val="30"/>
        </w:rPr>
        <w:t>抢抓国家大力促进民航业发展的重要机遇，加快建设高标准的国际化航空枢纽。实施长沙黄花国际机场飞行区扩建工程，加快第</w:t>
      </w:r>
      <w:r>
        <w:rPr>
          <w:rFonts w:eastAsia="方正仿宋简体"/>
          <w:color w:val="000000"/>
          <w:spacing w:val="6"/>
          <w:sz w:val="30"/>
          <w:szCs w:val="30"/>
        </w:rPr>
        <w:t>二跑道建设，适时启动T3航站楼建设，增加直飞欧美澳等新的</w:t>
      </w:r>
      <w:r>
        <w:rPr>
          <w:rFonts w:eastAsia="方正仿宋简体"/>
          <w:color w:val="000000"/>
          <w:sz w:val="30"/>
          <w:szCs w:val="30"/>
        </w:rPr>
        <w:t>国际航线，提高长沙飞往国内主要城市间的航班密度，建立覆盖国内所有省会城市、通达国际五大洲的客运航线网络。推动长沙至欧洲、北美、香港、新加坡等地货运包机稳步发展。</w:t>
      </w:r>
      <w:r>
        <w:rPr>
          <w:rFonts w:eastAsia="方正仿宋简体"/>
          <w:color w:val="000000"/>
          <w:kern w:val="0"/>
          <w:sz w:val="30"/>
          <w:szCs w:val="30"/>
        </w:rPr>
        <w:t>到2020年，力争旅客吞吐量达到2900万人次，货邮吞吐量约20万吨。协调推进1121工程建设，促进军民合用。大力</w:t>
      </w:r>
      <w:r>
        <w:rPr>
          <w:rFonts w:eastAsia="方正仿宋简体"/>
          <w:color w:val="000000"/>
          <w:sz w:val="30"/>
          <w:szCs w:val="30"/>
        </w:rPr>
        <w:t>发展通用航空，加快开慧通用机场建设，适时启动宁乡、浏阳通用机场建设。以国家低空空域管理改革为契机，开发商用航空功能，培育航空新兴产业，积极推进航空业态进入城市公共服务领域。</w:t>
      </w:r>
    </w:p>
    <w:p>
      <w:pPr>
        <w:adjustRightInd w:val="0"/>
        <w:snapToGrid w:val="0"/>
        <w:spacing w:line="600" w:lineRule="exact"/>
        <w:ind w:firstLine="600" w:firstLineChars="200"/>
        <w:rPr>
          <w:rFonts w:eastAsia="方正仿宋简体"/>
          <w:bCs/>
          <w:color w:val="000000"/>
          <w:sz w:val="30"/>
          <w:szCs w:val="30"/>
        </w:rPr>
      </w:pPr>
      <w:r>
        <w:rPr>
          <w:rFonts w:eastAsia="方正仿宋简体"/>
          <w:bCs/>
          <w:color w:val="000000"/>
          <w:sz w:val="30"/>
          <w:szCs w:val="30"/>
        </w:rPr>
        <w:t>二、建设全国性铁路枢纽</w:t>
      </w:r>
    </w:p>
    <w:p>
      <w:pPr>
        <w:adjustRightInd w:val="0"/>
        <w:snapToGrid w:val="0"/>
        <w:spacing w:line="600" w:lineRule="exact"/>
        <w:ind w:firstLine="600" w:firstLineChars="200"/>
        <w:rPr>
          <w:rFonts w:eastAsia="方正仿宋简体"/>
          <w:color w:val="000000"/>
          <w:sz w:val="30"/>
          <w:szCs w:val="30"/>
        </w:rPr>
      </w:pPr>
      <w:r>
        <w:rPr>
          <w:rFonts w:eastAsia="方正仿宋简体"/>
          <w:bCs/>
          <w:color w:val="000000"/>
          <w:sz w:val="30"/>
          <w:szCs w:val="30"/>
        </w:rPr>
        <w:t>在全省“五纵五横”铁路干线网规划格局基础上，协调推动渝长厦高铁启动建设，推动建设</w:t>
      </w:r>
      <w:r>
        <w:rPr>
          <w:rFonts w:eastAsia="方正仿宋简体"/>
          <w:color w:val="000000"/>
          <w:kern w:val="0"/>
          <w:sz w:val="30"/>
          <w:szCs w:val="30"/>
        </w:rPr>
        <w:t>京</w:t>
      </w:r>
      <w:r>
        <w:rPr>
          <w:rFonts w:eastAsia="方正仿宋简体"/>
          <w:bCs/>
          <w:color w:val="000000"/>
          <w:sz w:val="30"/>
          <w:szCs w:val="30"/>
        </w:rPr>
        <w:t>广高铁复线、长沙至九江高铁，率先全国形成“米字形”高铁网络，进一步巩固提升全国高铁枢纽地位，构建与全国多数省会城市和直辖市之间的“6小时经济圈”。</w:t>
      </w:r>
      <w:r>
        <w:rPr>
          <w:rFonts w:eastAsia="方正仿宋简体"/>
          <w:color w:val="000000"/>
          <w:sz w:val="30"/>
          <w:szCs w:val="30"/>
        </w:rPr>
        <w:t>加快霞凝货场二期工程开工建设，推进建设霞凝铁路一类口岸，</w:t>
      </w:r>
      <w:r>
        <w:rPr>
          <w:rFonts w:eastAsia="方正仿宋简体"/>
          <w:bCs/>
          <w:color w:val="000000"/>
          <w:sz w:val="30"/>
          <w:szCs w:val="30"/>
        </w:rPr>
        <w:t>推进蒙西至华中地区煤运铁路通道和京广铁路货运外移线建设，</w:t>
      </w:r>
      <w:r>
        <w:rPr>
          <w:rFonts w:eastAsia="方正仿宋简体"/>
          <w:color w:val="000000"/>
          <w:sz w:val="30"/>
          <w:szCs w:val="30"/>
        </w:rPr>
        <w:t>探索设立湘欧快线欧洲货物集散中心，积极开拓回程货物的集聚和运输，依托长沙北站、长沙霞凝港区、长沙霞凝口岸等打造</w:t>
      </w:r>
      <w:r>
        <w:rPr>
          <w:rFonts w:eastAsia="方正仿宋简体"/>
          <w:bCs/>
          <w:color w:val="000000"/>
          <w:sz w:val="30"/>
          <w:szCs w:val="30"/>
        </w:rPr>
        <w:t>中部最大的铁水联运货运枢纽中心。加快长株潭、</w:t>
      </w:r>
      <w:r>
        <w:rPr>
          <w:rFonts w:eastAsia="方正仿宋简体"/>
          <w:color w:val="000000"/>
          <w:sz w:val="30"/>
          <w:szCs w:val="30"/>
        </w:rPr>
        <w:t>长益常、长浏</w:t>
      </w:r>
      <w:r>
        <w:rPr>
          <w:rFonts w:eastAsia="方正仿宋简体"/>
          <w:bCs/>
          <w:color w:val="000000"/>
          <w:sz w:val="30"/>
          <w:szCs w:val="30"/>
        </w:rPr>
        <w:t>等城际铁路建设，构建长株潭“45分钟城际交通网”、以长沙为中心的100公里内“1小时都市圈”。</w:t>
      </w:r>
      <w:r>
        <w:rPr>
          <w:rFonts w:eastAsia="方正仿宋简体"/>
          <w:color w:val="000000"/>
          <w:sz w:val="30"/>
          <w:szCs w:val="30"/>
        </w:rPr>
        <w:t>发展对接湖北、江西两省的城际铁路，规划建设长浏城际对接赣西铁路、长沙城际西环线对接岳阳-湖北咸宁-武汉城际铁路，打通形成湘鄂赣区域合作新的大动脉。</w:t>
      </w:r>
    </w:p>
    <w:p>
      <w:pPr>
        <w:adjustRightInd w:val="0"/>
        <w:snapToGrid w:val="0"/>
        <w:spacing w:line="600" w:lineRule="exact"/>
        <w:jc w:val="center"/>
        <w:rPr>
          <w:rFonts w:eastAsia="方正仿宋简体"/>
          <w:bCs/>
          <w:color w:val="000000"/>
          <w:sz w:val="28"/>
          <w:szCs w:val="28"/>
        </w:rPr>
      </w:pPr>
      <w:r>
        <w:rPr>
          <w:rFonts w:eastAsia="方正仿宋简体"/>
          <w:bCs/>
          <w:color w:val="000000"/>
          <w:sz w:val="28"/>
          <w:szCs w:val="28"/>
        </w:rPr>
        <w:t>图4：长沙市“十三五”铁路布局图</w:t>
      </w:r>
    </w:p>
    <w:p>
      <w:pPr>
        <w:adjustRightInd w:val="0"/>
        <w:snapToGrid w:val="0"/>
        <w:jc w:val="center"/>
        <w:rPr>
          <w:rFonts w:eastAsia="方正仿宋简体"/>
          <w:color w:val="000000"/>
          <w:kern w:val="0"/>
          <w:sz w:val="30"/>
          <w:szCs w:val="30"/>
        </w:rPr>
      </w:pPr>
      <w:r>
        <w:rPr>
          <w:rFonts w:eastAsia="方正仿宋简体"/>
          <w:color w:val="000000"/>
          <w:sz w:val="30"/>
          <w:szCs w:val="30"/>
        </w:rPr>
        <w:drawing>
          <wp:inline distT="0" distB="0" distL="114300" distR="114300">
            <wp:extent cx="5081905" cy="2693035"/>
            <wp:effectExtent l="0" t="0" r="4445" b="12065"/>
            <wp:docPr id="5" name="图片 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图片1"/>
                    <pic:cNvPicPr>
                      <a:picLocks noChangeAspect="1"/>
                    </pic:cNvPicPr>
                  </pic:nvPicPr>
                  <pic:blipFill>
                    <a:blip r:embed="rId10">
                      <a:grayscl/>
                    </a:blip>
                    <a:stretch>
                      <a:fillRect/>
                    </a:stretch>
                  </pic:blipFill>
                  <pic:spPr>
                    <a:xfrm>
                      <a:off x="0" y="0"/>
                      <a:ext cx="5081905" cy="2693035"/>
                    </a:xfrm>
                    <a:prstGeom prst="rect">
                      <a:avLst/>
                    </a:prstGeom>
                    <a:noFill/>
                    <a:ln>
                      <a:noFill/>
                    </a:ln>
                  </pic:spPr>
                </pic:pic>
              </a:graphicData>
            </a:graphic>
          </wp:inline>
        </w:drawing>
      </w:r>
    </w:p>
    <w:p>
      <w:pPr>
        <w:adjustRightInd w:val="0"/>
        <w:snapToGrid w:val="0"/>
        <w:spacing w:line="600" w:lineRule="exact"/>
        <w:ind w:firstLine="600" w:firstLineChars="200"/>
        <w:rPr>
          <w:rFonts w:eastAsia="方正仿宋简体"/>
          <w:bCs/>
          <w:color w:val="000000"/>
          <w:sz w:val="30"/>
          <w:szCs w:val="30"/>
        </w:rPr>
      </w:pPr>
      <w:r>
        <w:rPr>
          <w:rFonts w:eastAsia="方正仿宋简体"/>
          <w:bCs/>
          <w:color w:val="000000"/>
          <w:sz w:val="30"/>
          <w:szCs w:val="30"/>
        </w:rPr>
        <w:t>三、积极融入长江黄金水道</w:t>
      </w:r>
    </w:p>
    <w:p>
      <w:pPr>
        <w:pStyle w:val="90"/>
        <w:snapToGrid w:val="0"/>
        <w:spacing w:line="600" w:lineRule="exact"/>
        <w:ind w:firstLine="600" w:firstLineChars="200"/>
        <w:jc w:val="both"/>
        <w:rPr>
          <w:rFonts w:ascii="Times New Roman" w:hAnsi="Times New Roman" w:eastAsia="方正仿宋简体" w:cs="Times New Roman"/>
          <w:kern w:val="2"/>
          <w:sz w:val="30"/>
          <w:szCs w:val="30"/>
        </w:rPr>
      </w:pPr>
      <w:r>
        <w:rPr>
          <w:rFonts w:ascii="Times New Roman" w:hAnsi="Times New Roman" w:eastAsia="方正仿宋简体" w:cs="Times New Roman"/>
          <w:kern w:val="2"/>
          <w:sz w:val="30"/>
          <w:szCs w:val="30"/>
        </w:rPr>
        <w:t>加快推进湘江高等级航道建设及其主要支流的航道治理，确保湘江长沙至岳阳段2000吨级、争取5000吨级通航能力，浏阳河、捞刀河500吨级通航能力，形成与长江干线有机衔接的水运网路。加快推进霞凝港区、铜官港区、新康港区及客运港区建设，谋划将湘阴曹溪港和岳阳城陵矶作为长沙深水外港，将上海崇明港作为深水“飞港”，拓展港口服务功能，推进多式联运发展，将长沙港打造成专业化运输核心港区和全国内河主枢纽港口，构建通江达海的现代化内河水运系统。</w:t>
      </w:r>
    </w:p>
    <w:p>
      <w:pPr>
        <w:adjustRightInd w:val="0"/>
        <w:snapToGrid w:val="0"/>
        <w:spacing w:line="600" w:lineRule="exact"/>
        <w:ind w:firstLine="600" w:firstLineChars="200"/>
        <w:rPr>
          <w:rFonts w:eastAsia="方正仿宋简体"/>
          <w:bCs/>
          <w:color w:val="000000"/>
          <w:sz w:val="30"/>
          <w:szCs w:val="30"/>
        </w:rPr>
      </w:pPr>
      <w:r>
        <w:rPr>
          <w:rFonts w:eastAsia="方正仿宋简体"/>
          <w:bCs/>
          <w:color w:val="000000"/>
          <w:sz w:val="30"/>
          <w:szCs w:val="30"/>
        </w:rPr>
        <w:t>四、推动公路网络互联互通</w:t>
      </w:r>
    </w:p>
    <w:p>
      <w:pPr>
        <w:adjustRightInd w:val="0"/>
        <w:snapToGrid w:val="0"/>
        <w:spacing w:line="600" w:lineRule="exact"/>
        <w:ind w:firstLine="616" w:firstLineChars="200"/>
        <w:rPr>
          <w:rFonts w:eastAsia="方正仿宋简体"/>
          <w:bCs/>
          <w:color w:val="000000"/>
          <w:sz w:val="30"/>
          <w:szCs w:val="30"/>
        </w:rPr>
      </w:pPr>
      <w:r>
        <w:rPr>
          <w:rFonts w:eastAsia="方正仿宋简体"/>
          <w:bCs/>
          <w:color w:val="000000"/>
          <w:spacing w:val="4"/>
          <w:sz w:val="30"/>
          <w:szCs w:val="30"/>
        </w:rPr>
        <w:t>推</w:t>
      </w:r>
      <w:r>
        <w:rPr>
          <w:rFonts w:eastAsia="方正仿宋简体"/>
          <w:bCs/>
          <w:color w:val="000000"/>
          <w:spacing w:val="6"/>
          <w:sz w:val="30"/>
          <w:szCs w:val="30"/>
        </w:rPr>
        <w:t>动高速公路由“初步连通”向“覆盖成网”转变，新建、续建长</w:t>
      </w:r>
      <w:r>
        <w:rPr>
          <w:rFonts w:eastAsia="方正仿宋简体"/>
          <w:bCs/>
          <w:color w:val="000000"/>
          <w:spacing w:val="4"/>
          <w:sz w:val="30"/>
          <w:szCs w:val="30"/>
        </w:rPr>
        <w:t>益高</w:t>
      </w:r>
      <w:r>
        <w:rPr>
          <w:rFonts w:eastAsia="方正仿宋简体"/>
          <w:bCs/>
          <w:color w:val="000000"/>
          <w:spacing w:val="6"/>
          <w:sz w:val="30"/>
          <w:szCs w:val="30"/>
        </w:rPr>
        <w:t>速公路复线、岳望高速复线（望城段）等高速公路5条，新</w:t>
      </w:r>
      <w:r>
        <w:rPr>
          <w:rFonts w:eastAsia="方正仿宋简体"/>
          <w:bCs/>
          <w:color w:val="000000"/>
          <w:spacing w:val="8"/>
          <w:sz w:val="30"/>
          <w:szCs w:val="30"/>
        </w:rPr>
        <w:t>增里程127公里，实现高速公路通车总里程约800公里。推动干线公路由“基本成网”向“能力提升”转变，加快</w:t>
      </w:r>
      <w:r>
        <w:rPr>
          <w:rFonts w:eastAsia="方正仿宋简体"/>
          <w:color w:val="000000"/>
          <w:spacing w:val="8"/>
          <w:kern w:val="0"/>
          <w:sz w:val="30"/>
          <w:szCs w:val="30"/>
        </w:rPr>
        <w:t>对接湖北、江西</w:t>
      </w:r>
      <w:r>
        <w:rPr>
          <w:rFonts w:eastAsia="方正仿宋简体"/>
          <w:color w:val="000000"/>
          <w:kern w:val="0"/>
          <w:sz w:val="30"/>
          <w:szCs w:val="30"/>
        </w:rPr>
        <w:t>等国道线，推进南横线、北横线</w:t>
      </w:r>
      <w:r>
        <w:rPr>
          <w:rFonts w:eastAsia="方正仿宋简体"/>
          <w:bCs/>
          <w:color w:val="000000"/>
          <w:sz w:val="30"/>
          <w:szCs w:val="30"/>
        </w:rPr>
        <w:t>建设</w:t>
      </w:r>
      <w:r>
        <w:rPr>
          <w:rFonts w:eastAsia="方正仿宋简体"/>
          <w:color w:val="000000"/>
          <w:kern w:val="0"/>
          <w:sz w:val="30"/>
          <w:szCs w:val="30"/>
        </w:rPr>
        <w:t>，力争普通国省道二级及以上公路占普通国省道总里程的比例达52%。</w:t>
      </w:r>
      <w:r>
        <w:rPr>
          <w:rFonts w:eastAsia="方正仿宋简体"/>
          <w:bCs/>
          <w:color w:val="000000"/>
          <w:sz w:val="30"/>
          <w:szCs w:val="30"/>
        </w:rPr>
        <w:t>推动客运枢纽由“公路为主”向“多式联运”转变，加快建成汽车南站、开元、金桥、金洲、高岭等综合交通枢纽，规划建设东站综合交通枢纽、宁乡综合交通枢纽，实现多种交通方式的零距离换乘、无缝化衔接。</w:t>
      </w:r>
    </w:p>
    <w:p>
      <w:pPr>
        <w:adjustRightInd w:val="0"/>
        <w:snapToGrid w:val="0"/>
        <w:spacing w:line="600" w:lineRule="exact"/>
        <w:jc w:val="center"/>
        <w:outlineLvl w:val="0"/>
        <w:rPr>
          <w:rFonts w:eastAsia="方正仿宋简体"/>
          <w:bCs/>
          <w:color w:val="000000"/>
          <w:sz w:val="28"/>
          <w:szCs w:val="28"/>
        </w:rPr>
      </w:pPr>
      <w:r>
        <w:rPr>
          <w:rFonts w:eastAsia="方正仿宋简体"/>
          <w:bCs/>
          <w:color w:val="000000"/>
          <w:sz w:val="28"/>
          <w:szCs w:val="28"/>
        </w:rPr>
        <w:t>图5：长沙市“十三五”高速公路及主要干线公路示意图</w:t>
      </w:r>
    </w:p>
    <w:p>
      <w:pPr>
        <w:adjustRightInd w:val="0"/>
        <w:snapToGrid w:val="0"/>
        <w:jc w:val="center"/>
        <w:rPr>
          <w:rFonts w:eastAsia="方正仿宋简体"/>
          <w:color w:val="000000"/>
          <w:kern w:val="0"/>
          <w:sz w:val="30"/>
          <w:szCs w:val="30"/>
        </w:rPr>
      </w:pPr>
      <w:r>
        <w:rPr>
          <w:rFonts w:eastAsia="方正仿宋简体"/>
          <w:color w:val="000000"/>
          <w:sz w:val="30"/>
          <w:szCs w:val="30"/>
        </w:rPr>
        <w:drawing>
          <wp:inline distT="0" distB="0" distL="114300" distR="114300">
            <wp:extent cx="5697220" cy="2661920"/>
            <wp:effectExtent l="0" t="0" r="17780" b="5080"/>
            <wp:docPr id="6" name="图片 22" descr="QQ图片20160113121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2" descr="QQ图片20160113121457"/>
                    <pic:cNvPicPr>
                      <a:picLocks noChangeAspect="1"/>
                    </pic:cNvPicPr>
                  </pic:nvPicPr>
                  <pic:blipFill>
                    <a:blip r:embed="rId11">
                      <a:grayscl/>
                    </a:blip>
                    <a:stretch>
                      <a:fillRect/>
                    </a:stretch>
                  </pic:blipFill>
                  <pic:spPr>
                    <a:xfrm>
                      <a:off x="0" y="0"/>
                      <a:ext cx="5697220" cy="2661920"/>
                    </a:xfrm>
                    <a:prstGeom prst="rect">
                      <a:avLst/>
                    </a:prstGeom>
                    <a:noFill/>
                    <a:ln>
                      <a:noFill/>
                    </a:ln>
                  </pic:spPr>
                </pic:pic>
              </a:graphicData>
            </a:graphic>
          </wp:inline>
        </w:drawing>
      </w:r>
    </w:p>
    <w:p>
      <w:pPr>
        <w:adjustRightInd w:val="0"/>
        <w:snapToGrid w:val="0"/>
        <w:spacing w:line="400" w:lineRule="exact"/>
        <w:rPr>
          <w:rFonts w:eastAsia="方正仿宋简体"/>
          <w:bCs/>
          <w:color w:val="000000"/>
          <w:sz w:val="30"/>
          <w:szCs w:val="30"/>
        </w:rPr>
      </w:pPr>
    </w:p>
    <w:p>
      <w:pPr>
        <w:adjustRightInd w:val="0"/>
        <w:snapToGrid w:val="0"/>
        <w:spacing w:after="312" w:afterLines="100" w:line="600" w:lineRule="exact"/>
        <w:jc w:val="center"/>
        <w:rPr>
          <w:rFonts w:eastAsia="方正仿宋简体"/>
          <w:color w:val="000000"/>
          <w:sz w:val="30"/>
          <w:szCs w:val="30"/>
        </w:rPr>
      </w:pPr>
      <w:r>
        <w:rPr>
          <w:rFonts w:eastAsia="方正仿宋简体"/>
          <w:color w:val="000000"/>
          <w:sz w:val="30"/>
          <w:szCs w:val="30"/>
        </w:rPr>
        <w:t>第二节  构筑东西比翼的大平台</w:t>
      </w:r>
    </w:p>
    <w:p>
      <w:pPr>
        <w:adjustRightInd w:val="0"/>
        <w:snapToGrid w:val="0"/>
        <w:spacing w:line="600" w:lineRule="exact"/>
        <w:ind w:firstLine="600" w:firstLineChars="200"/>
        <w:rPr>
          <w:rFonts w:eastAsia="方正仿宋简体"/>
          <w:color w:val="000000"/>
          <w:sz w:val="30"/>
          <w:szCs w:val="30"/>
        </w:rPr>
      </w:pPr>
      <w:r>
        <w:rPr>
          <w:rFonts w:eastAsia="方正仿宋简体"/>
          <w:color w:val="000000"/>
          <w:sz w:val="30"/>
          <w:szCs w:val="30"/>
        </w:rPr>
        <w:t>以湖南湘江新区、东部开放型经济走廊为“双引擎”，打造开放发展的试验田、主战场和新标杆。</w:t>
      </w:r>
    </w:p>
    <w:p>
      <w:pPr>
        <w:adjustRightInd w:val="0"/>
        <w:snapToGrid w:val="0"/>
        <w:spacing w:line="600" w:lineRule="exact"/>
        <w:ind w:firstLine="600" w:firstLineChars="200"/>
        <w:rPr>
          <w:rFonts w:eastAsia="方正仿宋简体"/>
          <w:bCs/>
          <w:color w:val="000000"/>
          <w:sz w:val="30"/>
          <w:szCs w:val="30"/>
        </w:rPr>
      </w:pPr>
      <w:r>
        <w:rPr>
          <w:rFonts w:eastAsia="方正仿宋简体"/>
          <w:bCs/>
          <w:color w:val="000000"/>
          <w:sz w:val="30"/>
          <w:szCs w:val="30"/>
        </w:rPr>
        <w:t>一、高标准建设湖南湘江新区</w:t>
      </w:r>
    </w:p>
    <w:p>
      <w:pPr>
        <w:adjustRightInd w:val="0"/>
        <w:snapToGrid w:val="0"/>
        <w:spacing w:line="600" w:lineRule="exact"/>
        <w:ind w:firstLine="624" w:firstLineChars="200"/>
        <w:rPr>
          <w:rFonts w:eastAsia="方正仿宋简体"/>
          <w:color w:val="000000"/>
          <w:sz w:val="30"/>
          <w:szCs w:val="30"/>
        </w:rPr>
      </w:pPr>
      <w:r>
        <w:rPr>
          <w:rFonts w:eastAsia="方正仿宋简体"/>
          <w:color w:val="000000"/>
          <w:spacing w:val="6"/>
          <w:sz w:val="30"/>
          <w:szCs w:val="30"/>
        </w:rPr>
        <w:t>按照“三年出形象，五年成规模，十年树标杆”的总体要求，围绕“三区一高地”战略定位，实施一批重大基础设施工程、重大产业项目和重大改革行动。“十三五”期间，新区地区生产总值年</w:t>
      </w:r>
      <w:r>
        <w:rPr>
          <w:rFonts w:eastAsia="方正仿宋简体"/>
          <w:color w:val="000000"/>
          <w:sz w:val="30"/>
          <w:szCs w:val="30"/>
        </w:rPr>
        <w:t>均增长11%、固定资产投资年均增长20%、高新技术产业增加值年均增长18%，形成带动区域开放发展的重要引擎。</w:t>
      </w:r>
    </w:p>
    <w:p>
      <w:pPr>
        <w:adjustRightInd w:val="0"/>
        <w:snapToGrid w:val="0"/>
        <w:spacing w:line="600" w:lineRule="exact"/>
        <w:ind w:firstLine="600" w:firstLineChars="200"/>
        <w:rPr>
          <w:rFonts w:eastAsia="方正仿宋简体"/>
          <w:color w:val="000000"/>
          <w:sz w:val="30"/>
          <w:szCs w:val="30"/>
        </w:rPr>
      </w:pPr>
      <w:r>
        <w:rPr>
          <w:rFonts w:eastAsia="方正仿宋简体"/>
          <w:bCs/>
          <w:color w:val="000000"/>
          <w:sz w:val="30"/>
          <w:szCs w:val="30"/>
        </w:rPr>
        <w:t>1、构建高端产业体系。</w:t>
      </w:r>
      <w:r>
        <w:rPr>
          <w:rFonts w:eastAsia="方正仿宋简体"/>
          <w:color w:val="000000"/>
          <w:sz w:val="30"/>
          <w:szCs w:val="30"/>
        </w:rPr>
        <w:t>围绕产业集群化、高端化、品牌化发展目标，着力构建</w:t>
      </w:r>
      <w:bookmarkStart w:id="12" w:name="_Toc4988"/>
      <w:bookmarkStart w:id="13" w:name="_Toc6563"/>
      <w:bookmarkStart w:id="14" w:name="_Toc22570"/>
      <w:bookmarkStart w:id="15" w:name="_Toc12267"/>
      <w:r>
        <w:rPr>
          <w:rFonts w:eastAsia="方正仿宋简体"/>
          <w:color w:val="000000"/>
          <w:sz w:val="30"/>
          <w:szCs w:val="30"/>
        </w:rPr>
        <w:t>G319战略性新兴产业走廊</w:t>
      </w:r>
      <w:bookmarkEnd w:id="12"/>
      <w:bookmarkEnd w:id="13"/>
      <w:bookmarkEnd w:id="14"/>
      <w:bookmarkEnd w:id="15"/>
      <w:r>
        <w:rPr>
          <w:rFonts w:eastAsia="方正仿宋简体"/>
          <w:color w:val="000000"/>
          <w:sz w:val="30"/>
          <w:szCs w:val="30"/>
        </w:rPr>
        <w:t>和湘江西岸现代服务业发展走廊“两走廊”，建设自主创新引领基地、先进制造业发展基地、总部经济集聚基地、生态旅游休闲基地、现代都市农业示范基地“五基地”，打造智能装备、新材料、节能环保、电子信息、文化创意、移动互联网、现代金融等产业集群，培育一批国际化领军企业，扶持一批创新型中小企业，形成层次更高、结构更优、竞争力更强的现代产业体系。</w:t>
      </w:r>
    </w:p>
    <w:p>
      <w:pPr>
        <w:adjustRightInd w:val="0"/>
        <w:snapToGrid w:val="0"/>
        <w:spacing w:line="600" w:lineRule="exact"/>
        <w:ind w:firstLine="600" w:firstLineChars="200"/>
        <w:rPr>
          <w:rFonts w:eastAsia="方正仿宋简体"/>
          <w:color w:val="000000"/>
          <w:sz w:val="30"/>
          <w:szCs w:val="30"/>
        </w:rPr>
      </w:pPr>
      <w:r>
        <w:rPr>
          <w:rFonts w:eastAsia="方正仿宋简体"/>
          <w:bCs/>
          <w:color w:val="000000"/>
          <w:sz w:val="30"/>
          <w:szCs w:val="30"/>
        </w:rPr>
        <w:t>2、塑造品质新区形象。</w:t>
      </w:r>
      <w:r>
        <w:rPr>
          <w:rFonts w:eastAsia="方正仿宋简体"/>
          <w:color w:val="000000"/>
          <w:sz w:val="30"/>
          <w:szCs w:val="30"/>
        </w:rPr>
        <w:t>贯彻“多规合一”和“精明增长”的要求，构建一个主中心（在核心区域规划建设长沙“西中心”和未来生态科技城）、三个新城组团（北部高星组团、西部金玉组团、南部坪浦组团），五个卫星城镇（白箬铺、雨敞坪、莲花、乌山、夏铎铺）的城镇空间布局，建设集约紧凑、疏密有致、环境优美的现代田园都市。将绿色城市、智慧城市和人文城市建设理念融入新区发展建设的每个细节、每个领域，提升梅溪湖国际新城、洋湖生态新城、滨江商务新城、大王山旅游度假区等重点片区建设品质，加强湘江西岸、岳麓大道、东方红路等重要区域的城市景观设计，</w:t>
      </w:r>
      <w:bookmarkStart w:id="16" w:name="_Toc27255"/>
      <w:r>
        <w:rPr>
          <w:rFonts w:eastAsia="方正仿宋简体"/>
          <w:color w:val="000000"/>
          <w:sz w:val="30"/>
          <w:szCs w:val="30"/>
        </w:rPr>
        <w:t>力争将新区打造为全国新城建设发展样板。</w:t>
      </w:r>
      <w:bookmarkEnd w:id="16"/>
    </w:p>
    <w:p>
      <w:pPr>
        <w:adjustRightInd w:val="0"/>
        <w:snapToGrid w:val="0"/>
        <w:spacing w:line="600" w:lineRule="exact"/>
        <w:ind w:firstLine="600" w:firstLineChars="200"/>
        <w:rPr>
          <w:rFonts w:eastAsia="方正仿宋简体"/>
          <w:color w:val="000000"/>
          <w:sz w:val="30"/>
          <w:szCs w:val="30"/>
        </w:rPr>
      </w:pPr>
      <w:r>
        <w:rPr>
          <w:rFonts w:eastAsia="方正仿宋简体"/>
          <w:bCs/>
          <w:color w:val="000000"/>
          <w:sz w:val="30"/>
          <w:szCs w:val="30"/>
        </w:rPr>
        <w:t>3、树立两型示范标杆。</w:t>
      </w:r>
      <w:r>
        <w:rPr>
          <w:rFonts w:eastAsia="方正仿宋简体"/>
          <w:color w:val="000000"/>
          <w:sz w:val="30"/>
          <w:szCs w:val="30"/>
        </w:rPr>
        <w:t>严守资源消耗上限、环境质量底线、生态保护红线，综合运用价格、财政、税收等手段，全面实施绿色信贷、绿色保险、绿色资本、绿色交易等环境经济政策，建立健全自然资源资产权属登记和用途管制、综合性生态补偿、绿色绩效考核等体制机制，形成市场主导和政府引导相结合的生态文明制度体系。加快推进桃花岭、尖山、洋湖湿地等重要生态景观保护，全面普及绿色交通和绿色建筑，将新区建成全国绿色低碳示范城区和生态文明建设试点区。</w:t>
      </w:r>
    </w:p>
    <w:p>
      <w:pPr>
        <w:adjustRightInd w:val="0"/>
        <w:snapToGrid w:val="0"/>
        <w:spacing w:line="600" w:lineRule="exact"/>
        <w:ind w:firstLine="600" w:firstLineChars="200"/>
        <w:rPr>
          <w:rFonts w:eastAsia="方正仿宋简体"/>
          <w:color w:val="000000"/>
          <w:sz w:val="30"/>
          <w:szCs w:val="30"/>
        </w:rPr>
      </w:pPr>
      <w:r>
        <w:rPr>
          <w:rFonts w:eastAsia="方正仿宋简体"/>
          <w:bCs/>
          <w:color w:val="000000"/>
          <w:sz w:val="30"/>
          <w:szCs w:val="30"/>
        </w:rPr>
        <w:t>4、加快新区改革创新。</w:t>
      </w:r>
      <w:r>
        <w:rPr>
          <w:rFonts w:eastAsia="方正仿宋简体"/>
          <w:color w:val="000000"/>
          <w:sz w:val="30"/>
          <w:szCs w:val="30"/>
        </w:rPr>
        <w:t>充分发挥新区科教资源优势，推进创新型人才、创新型成果、创新型企业、创新型品牌的集聚。争取设立自由贸易试验区，探索推广投资与服务贸易便利化模式，加强国际产能和技术合作，引领带动湖南和长江中游地区加快对外开放步伐。推动新区逐步由经济功能区向行政区转变，支持新区在土地制度改革、金融和投融资改革、行政审批体制改革等方面先行先试，国家和省（市）重大改革试点优先安排在新区开展，建设改革攻坚和体制机制创新的先行区。</w:t>
      </w:r>
    </w:p>
    <w:p>
      <w:pPr>
        <w:adjustRightInd w:val="0"/>
        <w:snapToGrid w:val="0"/>
        <w:spacing w:line="600" w:lineRule="exact"/>
        <w:ind w:firstLine="600" w:firstLineChars="200"/>
        <w:rPr>
          <w:rFonts w:eastAsia="方正仿宋简体"/>
          <w:bCs/>
          <w:color w:val="000000"/>
          <w:sz w:val="30"/>
          <w:szCs w:val="30"/>
        </w:rPr>
      </w:pPr>
      <w:r>
        <w:rPr>
          <w:rFonts w:eastAsia="方正仿宋简体"/>
          <w:bCs/>
          <w:color w:val="000000"/>
          <w:sz w:val="30"/>
          <w:szCs w:val="30"/>
        </w:rPr>
        <w:t>二、高起点建设东部开放型经济走廊</w:t>
      </w:r>
    </w:p>
    <w:p>
      <w:pPr>
        <w:adjustRightInd w:val="0"/>
        <w:snapToGrid w:val="0"/>
        <w:spacing w:line="600" w:lineRule="exact"/>
        <w:ind w:firstLine="600" w:firstLineChars="200"/>
        <w:rPr>
          <w:rFonts w:eastAsia="方正仿宋简体"/>
          <w:color w:val="000000"/>
          <w:sz w:val="30"/>
          <w:szCs w:val="30"/>
        </w:rPr>
      </w:pPr>
      <w:r>
        <w:rPr>
          <w:rFonts w:eastAsia="方正仿宋简体"/>
          <w:color w:val="000000"/>
          <w:sz w:val="30"/>
          <w:szCs w:val="30"/>
        </w:rPr>
        <w:t>以空港新城、高铁新城、霞凝港为支点，大力发展临空、临铁、临港偏好型经济，建立区域内互动促进、利益共享、组织协调机制，打造国家级开放示范区和长沙对外开放的新增长极。</w:t>
      </w:r>
    </w:p>
    <w:p>
      <w:pPr>
        <w:adjustRightInd w:val="0"/>
        <w:snapToGrid w:val="0"/>
        <w:spacing w:line="600" w:lineRule="exact"/>
        <w:ind w:firstLine="600" w:firstLineChars="200"/>
        <w:rPr>
          <w:rFonts w:eastAsia="方正仿宋简体"/>
          <w:bCs/>
          <w:color w:val="000000"/>
          <w:sz w:val="30"/>
          <w:szCs w:val="30"/>
        </w:rPr>
      </w:pPr>
      <w:r>
        <w:rPr>
          <w:rFonts w:eastAsia="方正仿宋简体"/>
          <w:bCs/>
          <w:color w:val="000000"/>
          <w:sz w:val="30"/>
          <w:szCs w:val="30"/>
        </w:rPr>
        <w:t>1、临空片区。</w:t>
      </w:r>
      <w:r>
        <w:rPr>
          <w:rFonts w:eastAsia="方正仿宋简体"/>
          <w:color w:val="000000"/>
          <w:kern w:val="0"/>
          <w:sz w:val="30"/>
          <w:szCs w:val="30"/>
        </w:rPr>
        <w:t>以空港城为发展核心，包括长沙黄花综合保税区、空港物流园和机场配套服务区。</w:t>
      </w:r>
      <w:r>
        <w:rPr>
          <w:rFonts w:eastAsia="方正仿宋简体"/>
          <w:bCs/>
          <w:color w:val="000000"/>
          <w:kern w:val="0"/>
          <w:sz w:val="30"/>
          <w:szCs w:val="30"/>
        </w:rPr>
        <w:t>以长沙黄花国际机场为主要依托，构筑以航空运输保障、航空物流为主，临空高新技术和加工贸易为辅的产业体系，带动高端商贸休闲、通用航空等相关产业发展。</w:t>
      </w:r>
    </w:p>
    <w:p>
      <w:pPr>
        <w:adjustRightInd w:val="0"/>
        <w:snapToGrid w:val="0"/>
        <w:spacing w:line="600" w:lineRule="exact"/>
        <w:ind w:firstLine="594" w:firstLineChars="198"/>
        <w:rPr>
          <w:rFonts w:eastAsia="方正仿宋简体"/>
          <w:bCs/>
          <w:color w:val="000000"/>
          <w:sz w:val="30"/>
          <w:szCs w:val="30"/>
          <w:u w:val="single"/>
        </w:rPr>
      </w:pPr>
      <w:r>
        <w:rPr>
          <w:rFonts w:eastAsia="方正仿宋简体"/>
          <w:bCs/>
          <w:color w:val="000000"/>
          <w:sz w:val="30"/>
          <w:szCs w:val="30"/>
        </w:rPr>
        <w:t>2、临铁片区。</w:t>
      </w:r>
      <w:r>
        <w:rPr>
          <w:rFonts w:eastAsia="方正仿宋简体"/>
          <w:color w:val="000000"/>
          <w:kern w:val="0"/>
          <w:sz w:val="30"/>
          <w:szCs w:val="30"/>
        </w:rPr>
        <w:t>以高铁新城为发展核心，</w:t>
      </w:r>
      <w:r>
        <w:rPr>
          <w:rFonts w:eastAsia="方正仿宋简体"/>
          <w:color w:val="000000"/>
          <w:sz w:val="30"/>
          <w:szCs w:val="30"/>
        </w:rPr>
        <w:t>有效整合高铁枢纽、总部会展、浏阳河文化等核心要素，</w:t>
      </w:r>
      <w:r>
        <w:rPr>
          <w:rFonts w:eastAsia="方正仿宋简体"/>
          <w:bCs/>
          <w:color w:val="000000"/>
          <w:kern w:val="0"/>
          <w:sz w:val="30"/>
          <w:szCs w:val="30"/>
        </w:rPr>
        <w:t>构筑以总部经济、国际会展为主，商务商贸、高铁物流为辅的产业体系，带动旅游休闲、文化创意、物联网、服务外包等相关产业发展。</w:t>
      </w:r>
    </w:p>
    <w:p>
      <w:pPr>
        <w:adjustRightInd w:val="0"/>
        <w:snapToGrid w:val="0"/>
        <w:spacing w:line="600" w:lineRule="exact"/>
        <w:ind w:firstLine="600" w:firstLineChars="200"/>
        <w:rPr>
          <w:rFonts w:hint="eastAsia" w:eastAsia="方正仿宋简体"/>
          <w:color w:val="000000"/>
          <w:sz w:val="30"/>
          <w:szCs w:val="30"/>
        </w:rPr>
      </w:pPr>
      <w:r>
        <w:rPr>
          <w:rFonts w:eastAsia="方正仿宋简体"/>
          <w:bCs/>
          <w:color w:val="000000"/>
          <w:sz w:val="30"/>
          <w:szCs w:val="30"/>
        </w:rPr>
        <w:t>3、临港片区。</w:t>
      </w:r>
      <w:r>
        <w:rPr>
          <w:rFonts w:eastAsia="方正仿宋简体"/>
          <w:color w:val="000000"/>
          <w:sz w:val="30"/>
          <w:szCs w:val="30"/>
        </w:rPr>
        <w:t>充分利用好霞凝港、火车货运北站、传化公路港等核心物流平台优势，进一步培育壮大现代物流、商贸市场、电子商务等主导产业，加速构建大物流、大商贸、大外贸的外向型经济格局，建设辐射中部、影响全国的国家级现代物流园区。</w:t>
      </w:r>
    </w:p>
    <w:p>
      <w:pPr>
        <w:adjustRightInd w:val="0"/>
        <w:snapToGrid w:val="0"/>
        <w:spacing w:line="600" w:lineRule="exact"/>
        <w:jc w:val="center"/>
        <w:rPr>
          <w:rFonts w:hint="eastAsia" w:eastAsia="方正仿宋简体"/>
          <w:color w:val="000000"/>
          <w:sz w:val="30"/>
          <w:szCs w:val="30"/>
        </w:rPr>
      </w:pPr>
      <w:r>
        <w:rPr>
          <w:rFonts w:hint="eastAsia" w:ascii="黑体" w:eastAsia="黑体"/>
          <w:color w:val="000000"/>
          <w:sz w:val="28"/>
          <w:szCs w:val="28"/>
        </w:rPr>
        <w:t>专栏19：东部开放型经济走廊建设</w:t>
      </w:r>
    </w:p>
    <w:tbl>
      <w:tblPr>
        <w:tblStyle w:val="16"/>
        <w:tblW w:w="0" w:type="auto"/>
        <w:jc w:val="center"/>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Layout w:type="fixed"/>
        <w:tblCellMar>
          <w:top w:w="0" w:type="dxa"/>
          <w:left w:w="108" w:type="dxa"/>
          <w:bottom w:w="0" w:type="dxa"/>
          <w:right w:w="108" w:type="dxa"/>
        </w:tblCellMar>
      </w:tblPr>
      <w:tblGrid>
        <w:gridCol w:w="8957"/>
      </w:tblGrid>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PrEx>
        <w:trPr>
          <w:trHeight w:val="8593" w:hRule="atLeast"/>
          <w:jc w:val="center"/>
        </w:trPr>
        <w:tc>
          <w:tcPr>
            <w:tcW w:w="8957" w:type="dxa"/>
            <w:noWrap w:val="0"/>
            <w:vAlign w:val="center"/>
          </w:tcPr>
          <w:p>
            <w:pPr>
              <w:adjustRightInd w:val="0"/>
              <w:snapToGrid w:val="0"/>
              <w:spacing w:line="380" w:lineRule="exact"/>
              <w:ind w:firstLine="560" w:firstLineChars="200"/>
              <w:outlineLvl w:val="1"/>
              <w:rPr>
                <w:rFonts w:ascii="Times New Roman" w:hAnsi="Times New Roman" w:eastAsia="方正仿宋简体"/>
                <w:color w:val="000000"/>
                <w:sz w:val="28"/>
                <w:szCs w:val="28"/>
              </w:rPr>
            </w:pPr>
            <w:r>
              <w:rPr>
                <w:rFonts w:ascii="Times New Roman" w:hAnsi="Times New Roman" w:eastAsia="方正仿宋简体"/>
                <w:color w:val="000000"/>
                <w:sz w:val="28"/>
                <w:szCs w:val="28"/>
              </w:rPr>
              <w:t>空间布局。构筑“三核四带五基地”的空间布局。“三核”，即临铁、临空、临港三个核心片区；“四带”，即依托临铁、临空、临港多式联运的绕城高速现代物流发展经济带，依托浏阳河构建的文化旅游产业带，依托金霞经济技术开发区、长沙经济技术开发区、隆平高科技园、浏阳经济技术开发区打造的智能制造经济带，依托空港城、高铁新城打造的会展、商务休闲、总部经济等高端服务经济产业带；“五基地”，即现代物流基地、智能制造产业基地、文化旅游产业基地、总部经济产业基地、高端服务业基地。</w:t>
            </w:r>
          </w:p>
          <w:p>
            <w:pPr>
              <w:adjustRightInd w:val="0"/>
              <w:snapToGrid w:val="0"/>
              <w:spacing w:line="380" w:lineRule="exact"/>
              <w:ind w:firstLine="5" w:firstLineChars="2"/>
              <w:rPr>
                <w:rFonts w:ascii="Times New Roman" w:hAnsi="Times New Roman" w:eastAsia="方正仿宋简体"/>
                <w:color w:val="000000"/>
                <w:sz w:val="28"/>
                <w:szCs w:val="28"/>
              </w:rPr>
            </w:pPr>
            <w:r>
              <w:rPr>
                <w:rFonts w:ascii="Times New Roman" w:hAnsi="Times New Roman" w:eastAsia="方正仿宋简体"/>
                <w:color w:val="000000"/>
                <w:sz w:val="28"/>
                <w:szCs w:val="28"/>
              </w:rPr>
              <w:t>重点平台。把握我国临空经济快速发展的机遇，大力打造长沙临空经济示范区，将临空临铁优势联动开发，整体形成“一轴两核三组团”的总体空间布局结构（一轴即空铁联动轴，两核即空港服务核心、高铁服务核心，三组团即空港枢纽组团、临铁新城组团、星马创新组团），加快打造长江经济带空铁联运枢纽、中部地区内陆开放高地、高端临空产业聚集区和长江中游城市群重要增长极。到2020年，示范区生产总值达到1000亿元，其中航空运输相关的直接经济增加值200亿元，带动周边产业经济增加值800亿元。</w:t>
            </w:r>
          </w:p>
          <w:p>
            <w:pPr>
              <w:adjustRightInd w:val="0"/>
              <w:snapToGrid w:val="0"/>
              <w:spacing w:line="380" w:lineRule="exact"/>
              <w:ind w:firstLine="560" w:firstLineChars="200"/>
              <w:outlineLvl w:val="1"/>
              <w:rPr>
                <w:rFonts w:ascii="Times New Roman" w:hAnsi="Times New Roman" w:eastAsia="方正仿宋简体"/>
                <w:color w:val="000000"/>
                <w:sz w:val="28"/>
                <w:szCs w:val="28"/>
              </w:rPr>
            </w:pPr>
            <w:r>
              <w:rPr>
                <w:rFonts w:ascii="Times New Roman" w:hAnsi="Times New Roman" w:eastAsia="方正仿宋简体"/>
                <w:color w:val="000000"/>
                <w:sz w:val="28"/>
                <w:szCs w:val="28"/>
              </w:rPr>
              <w:t>机制体制。构建促进国际贸易便利化的制度优势，按照“非禁即入”的原则挖掘市场发展空间，完善大通关体系建设，建设电子口岸平台、出口退税免税平台和跨境电子商务服务平台，加快无水港建设。推进金融改革创新，加快申报和建设航运交易所、文化产权交易所、银行外汇结算中心、大宗商品交易市场。创新产业扶持政策，完善产业准入目录，重点支持核心技术研发、产业成果转化、产业链关键环节培育等。</w:t>
            </w:r>
          </w:p>
        </w:tc>
      </w:tr>
    </w:tbl>
    <w:p>
      <w:pPr>
        <w:adjustRightInd w:val="0"/>
        <w:snapToGrid w:val="0"/>
        <w:spacing w:line="300" w:lineRule="exact"/>
        <w:jc w:val="center"/>
        <w:rPr>
          <w:rFonts w:hint="eastAsia" w:eastAsia="方正仿宋简体"/>
          <w:color w:val="000000"/>
          <w:sz w:val="30"/>
          <w:szCs w:val="30"/>
        </w:rPr>
      </w:pPr>
    </w:p>
    <w:p>
      <w:pPr>
        <w:adjustRightInd w:val="0"/>
        <w:snapToGrid w:val="0"/>
        <w:spacing w:after="312" w:afterLines="100" w:line="600" w:lineRule="exact"/>
        <w:jc w:val="center"/>
        <w:rPr>
          <w:rFonts w:eastAsia="方正仿宋简体"/>
          <w:color w:val="000000"/>
          <w:sz w:val="30"/>
          <w:szCs w:val="30"/>
        </w:rPr>
      </w:pPr>
      <w:r>
        <w:rPr>
          <w:rFonts w:eastAsia="方正仿宋简体"/>
          <w:color w:val="000000"/>
          <w:sz w:val="30"/>
          <w:szCs w:val="30"/>
        </w:rPr>
        <w:t>第三节  融入区域发展大格局</w:t>
      </w:r>
    </w:p>
    <w:p>
      <w:pPr>
        <w:adjustRightInd w:val="0"/>
        <w:snapToGrid w:val="0"/>
        <w:spacing w:line="600" w:lineRule="exact"/>
        <w:ind w:firstLine="600" w:firstLineChars="200"/>
        <w:rPr>
          <w:rFonts w:eastAsia="方正仿宋简体"/>
          <w:color w:val="000000"/>
          <w:sz w:val="30"/>
          <w:szCs w:val="30"/>
        </w:rPr>
      </w:pPr>
      <w:r>
        <w:rPr>
          <w:rFonts w:eastAsia="方正仿宋简体"/>
          <w:color w:val="000000"/>
          <w:kern w:val="0"/>
          <w:sz w:val="30"/>
          <w:szCs w:val="30"/>
        </w:rPr>
        <w:t>充分发挥“一带一部”核心区位优势，主动对接国家重大区域战略，积极参与区域分工合作，</w:t>
      </w:r>
      <w:r>
        <w:rPr>
          <w:rFonts w:eastAsia="方正仿宋简体"/>
          <w:color w:val="000000"/>
          <w:sz w:val="30"/>
          <w:szCs w:val="30"/>
        </w:rPr>
        <w:t>加快形成全方位、宽领域、多层次、高水平的开放型经济格局。</w:t>
      </w:r>
    </w:p>
    <w:p>
      <w:pPr>
        <w:adjustRightInd w:val="0"/>
        <w:snapToGrid w:val="0"/>
        <w:spacing w:line="600" w:lineRule="exact"/>
        <w:ind w:firstLine="600" w:firstLineChars="200"/>
        <w:rPr>
          <w:rFonts w:hint="eastAsia" w:eastAsia="方正仿宋简体"/>
          <w:bCs/>
          <w:color w:val="000000"/>
          <w:sz w:val="30"/>
          <w:szCs w:val="30"/>
          <w:lang w:val="en-US" w:eastAsia="zh-CN"/>
        </w:rPr>
      </w:pPr>
      <w:r>
        <w:rPr>
          <w:rFonts w:eastAsia="方正仿宋简体"/>
          <w:bCs/>
          <w:color w:val="000000"/>
          <w:sz w:val="30"/>
          <w:szCs w:val="30"/>
        </w:rPr>
        <w:t>一、积极对接“一带一路”</w:t>
      </w:r>
      <w:r>
        <w:rPr>
          <w:rFonts w:hint="eastAsia" w:eastAsia="方正仿宋简体"/>
          <w:bCs/>
          <w:color w:val="000000"/>
          <w:sz w:val="30"/>
          <w:szCs w:val="30"/>
          <w:lang w:val="en-US" w:eastAsia="zh-CN"/>
        </w:rPr>
        <w:t>倡议</w:t>
      </w:r>
    </w:p>
    <w:p>
      <w:pPr>
        <w:adjustRightInd w:val="0"/>
        <w:snapToGrid w:val="0"/>
        <w:spacing w:line="600" w:lineRule="exact"/>
        <w:ind w:firstLine="600" w:firstLineChars="200"/>
        <w:rPr>
          <w:rFonts w:eastAsia="方正仿宋简体"/>
          <w:color w:val="000000"/>
          <w:sz w:val="30"/>
          <w:szCs w:val="30"/>
        </w:rPr>
      </w:pPr>
      <w:r>
        <w:rPr>
          <w:rFonts w:eastAsia="方正仿宋简体"/>
          <w:color w:val="000000"/>
          <w:sz w:val="30"/>
          <w:szCs w:val="30"/>
        </w:rPr>
        <w:t>全面加强项目对接、产能输出、技术合作和文化交流，显著提升长沙作为“一带一路”节点城市和重要增长极的战略功能。抢抓“一带一路”沿线国家加快基础设施建设机遇，加密和拓展新的“五定班轮（列）”班次，推动提升湘欧快线国际货运班列运行效率，将其打造成为中部地区具有比较优势的陆上国际货运通道。充分发挥阿治曼中国城、北欧湖南农业产业园、东帝汶农业高新技术开发区等海外平台的带动作用，借助金砖银行、亚洲基础设施投资银行、丝路基金等投融资平台，鼓励长沙企业输出优势产能，支持大型企业开展境外工程承包，参与沿线地区能源资源开发。加强与中亚各国以及西部各省在生态农业、农副产品精深加工方面的对接和合作，加快中马国际清真食品产业园建设。加强与东盟国家的产业对接，着力推动劳动密集型企业“走出去”。探索建立区域合作项目信息平台，加大对企业在融资服务、专项税收优惠、出入境手续简化等方面的精准扶持。加强与“一带一路”沿线国家使领馆、节点城市和商会协会的深度对接，逐步构建常态交流合作机制。</w:t>
      </w:r>
    </w:p>
    <w:p>
      <w:pPr>
        <w:adjustRightInd w:val="0"/>
        <w:snapToGrid w:val="0"/>
        <w:spacing w:line="600" w:lineRule="exact"/>
        <w:ind w:firstLine="600" w:firstLineChars="200"/>
        <w:rPr>
          <w:rFonts w:eastAsia="方正仿宋简体"/>
          <w:bCs/>
          <w:color w:val="000000"/>
          <w:sz w:val="30"/>
          <w:szCs w:val="30"/>
        </w:rPr>
      </w:pPr>
      <w:r>
        <w:rPr>
          <w:rFonts w:eastAsia="方正仿宋简体"/>
          <w:bCs/>
          <w:color w:val="000000"/>
          <w:sz w:val="30"/>
          <w:szCs w:val="30"/>
        </w:rPr>
        <w:t>二、全面融入长江经济带</w:t>
      </w:r>
    </w:p>
    <w:p>
      <w:pPr>
        <w:adjustRightInd w:val="0"/>
        <w:snapToGrid w:val="0"/>
        <w:spacing w:line="600" w:lineRule="exact"/>
        <w:ind w:firstLine="600" w:firstLineChars="200"/>
        <w:rPr>
          <w:rFonts w:eastAsia="方正仿宋简体"/>
          <w:color w:val="000000"/>
          <w:sz w:val="30"/>
          <w:szCs w:val="30"/>
        </w:rPr>
      </w:pPr>
      <w:r>
        <w:rPr>
          <w:rFonts w:eastAsia="方正仿宋简体"/>
          <w:color w:val="000000"/>
          <w:sz w:val="30"/>
          <w:szCs w:val="30"/>
        </w:rPr>
        <w:t>充分发挥长沙作为长江中游中心城市的枢纽地位，增强在中部开放开发中的聚集辐射能力。强化与长三角、长江中游、成渝等城市群的经贸合作，全面落实与上海等城市的合作框架协议。充分利用长江中游省会城市会商会等区域协作机制，做好与长江中游省会城市社会保险、医疗卫生、旅游消费等领域的“一卡通”对接，着力在交通网络、生态环境、产业发展、科教文化等领域加强与长江中游城市群的共建共享，共同推进工商登记、食品药品检验、消防安全、环保标准等领域的互通互认，促进资源要素自由流通和合理配置。加强与长江中游主要</w:t>
      </w:r>
      <w:r>
        <w:rPr>
          <w:rFonts w:eastAsia="方正仿宋简体"/>
          <w:bCs/>
          <w:color w:val="000000"/>
          <w:sz w:val="30"/>
          <w:szCs w:val="30"/>
        </w:rPr>
        <w:t>口岸的信息互换、监管互认和执法互助，共同推动建设长江中游通关一体化体系。</w:t>
      </w:r>
      <w:r>
        <w:rPr>
          <w:rFonts w:eastAsia="方正仿宋简体"/>
          <w:color w:val="000000"/>
          <w:sz w:val="30"/>
          <w:szCs w:val="30"/>
        </w:rPr>
        <w:t>鼓励工商联、商会、社团、学术机构、新闻媒体建设跨区域合作组织，促进经济、社会、文化、生态等各领域的交流融合。</w:t>
      </w:r>
    </w:p>
    <w:p>
      <w:pPr>
        <w:adjustRightInd w:val="0"/>
        <w:snapToGrid w:val="0"/>
        <w:spacing w:line="600" w:lineRule="exact"/>
        <w:ind w:firstLine="600" w:firstLineChars="200"/>
        <w:rPr>
          <w:rFonts w:eastAsia="方正仿宋简体"/>
          <w:bCs/>
          <w:color w:val="000000"/>
          <w:sz w:val="30"/>
          <w:szCs w:val="30"/>
        </w:rPr>
      </w:pPr>
      <w:r>
        <w:rPr>
          <w:rFonts w:eastAsia="方正仿宋简体"/>
          <w:bCs/>
          <w:color w:val="000000"/>
          <w:sz w:val="30"/>
          <w:szCs w:val="30"/>
        </w:rPr>
        <w:t>三、引领长株潭一体化发展</w:t>
      </w:r>
    </w:p>
    <w:p>
      <w:pPr>
        <w:adjustRightInd w:val="0"/>
        <w:snapToGrid w:val="0"/>
        <w:spacing w:line="600" w:lineRule="exact"/>
        <w:ind w:firstLine="600" w:firstLineChars="200"/>
        <w:rPr>
          <w:rFonts w:eastAsia="方正仿宋简体"/>
          <w:color w:val="000000"/>
          <w:sz w:val="30"/>
          <w:szCs w:val="30"/>
        </w:rPr>
      </w:pPr>
      <w:r>
        <w:rPr>
          <w:rFonts w:eastAsia="方正仿宋简体"/>
          <w:color w:val="000000"/>
          <w:sz w:val="30"/>
          <w:szCs w:val="30"/>
        </w:rPr>
        <w:t>切实发挥长株潭首位城市的担当精神和引领作用，加强我市重要规划与长株潭城市群区域规划及株洲、湘潭两市各类规划的全面对接。协调推动道路交通、</w:t>
      </w:r>
      <w:r>
        <w:rPr>
          <w:rFonts w:eastAsia="方正仿宋简体"/>
          <w:color w:val="000000"/>
          <w:sz w:val="30"/>
          <w:szCs w:val="30"/>
          <w:lang w:val="zh-CN"/>
        </w:rPr>
        <w:t>通讯通信、能源供应</w:t>
      </w:r>
      <w:r>
        <w:rPr>
          <w:rFonts w:eastAsia="方正仿宋简体"/>
          <w:color w:val="000000"/>
          <w:sz w:val="30"/>
          <w:szCs w:val="30"/>
        </w:rPr>
        <w:t>等基础设施同城共网</w:t>
      </w:r>
      <w:r>
        <w:rPr>
          <w:rFonts w:eastAsia="方正仿宋简体"/>
          <w:color w:val="000000"/>
          <w:sz w:val="30"/>
          <w:szCs w:val="30"/>
          <w:lang w:val="zh-CN"/>
        </w:rPr>
        <w:t>。</w:t>
      </w:r>
      <w:r>
        <w:rPr>
          <w:rFonts w:eastAsia="方正仿宋简体"/>
          <w:color w:val="000000"/>
          <w:sz w:val="30"/>
          <w:szCs w:val="30"/>
        </w:rPr>
        <w:t>依托长株潭两型社会建设试验区、长株潭国家自主创新示范区和湖南湘江新区等重点平台，主动加强与株洲、湘潭的产业协调和创新协同。积极对接长株潭公交、健康、社保三个“一卡通”和交通、户籍、信息、规划四个“一体化”，推动长沙教育、医疗、文化优势资源的辐射共享。</w:t>
      </w:r>
    </w:p>
    <w:p>
      <w:pPr>
        <w:adjustRightInd w:val="0"/>
        <w:snapToGrid w:val="0"/>
        <w:spacing w:line="600" w:lineRule="exact"/>
        <w:ind w:firstLine="600" w:firstLineChars="200"/>
        <w:rPr>
          <w:rFonts w:eastAsia="方正仿宋简体"/>
          <w:bCs/>
          <w:color w:val="000000"/>
          <w:sz w:val="30"/>
          <w:szCs w:val="30"/>
        </w:rPr>
      </w:pPr>
      <w:r>
        <w:rPr>
          <w:rFonts w:eastAsia="方正仿宋简体"/>
          <w:bCs/>
          <w:color w:val="000000"/>
          <w:sz w:val="30"/>
          <w:szCs w:val="30"/>
        </w:rPr>
        <w:t>四、推进湘赣边开放合作试验区建设</w:t>
      </w:r>
    </w:p>
    <w:p>
      <w:pPr>
        <w:adjustRightInd w:val="0"/>
        <w:snapToGrid w:val="0"/>
        <w:spacing w:line="600" w:lineRule="exact"/>
        <w:ind w:firstLine="600" w:firstLineChars="200"/>
        <w:rPr>
          <w:rFonts w:hint="eastAsia" w:eastAsia="方正仿宋简体"/>
          <w:color w:val="000000"/>
          <w:sz w:val="30"/>
          <w:szCs w:val="30"/>
        </w:rPr>
      </w:pPr>
      <w:r>
        <w:rPr>
          <w:rFonts w:eastAsia="方正仿宋简体"/>
          <w:color w:val="000000"/>
          <w:sz w:val="30"/>
          <w:szCs w:val="30"/>
        </w:rPr>
        <w:t>围绕将浏阳打造成湘赣边界中心城市的目标，促进大围山、文家市、大瑶等省际边界集镇发展，加快打通省际、市际“断头路”，发展汽车及零部件、烟花鞭炮等湘赣边界特色产业集群，共同打造湘赣红色旅游带和全国知名的健康养生基地，建立试验区协同治理、利益协调、人才交流等区域治理机制，将湘赣边开放合作试验区建成长江经济带重要的战略区域和国家省际开放合作典范。</w:t>
      </w:r>
    </w:p>
    <w:p>
      <w:pPr>
        <w:adjustRightInd w:val="0"/>
        <w:snapToGrid w:val="0"/>
        <w:spacing w:line="600" w:lineRule="exact"/>
        <w:jc w:val="center"/>
        <w:rPr>
          <w:rFonts w:hint="eastAsia" w:ascii="黑体" w:eastAsia="黑体"/>
          <w:color w:val="000000"/>
          <w:sz w:val="28"/>
          <w:szCs w:val="28"/>
        </w:rPr>
      </w:pPr>
      <w:r>
        <w:rPr>
          <w:rFonts w:hint="eastAsia" w:ascii="黑体" w:eastAsia="黑体"/>
          <w:color w:val="000000"/>
          <w:sz w:val="28"/>
          <w:szCs w:val="28"/>
        </w:rPr>
        <w:t>专栏20：湘赣边开放合作试验区建设工程</w:t>
      </w:r>
    </w:p>
    <w:tbl>
      <w:tblPr>
        <w:tblStyle w:val="15"/>
        <w:tblW w:w="0" w:type="auto"/>
        <w:jc w:val="center"/>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Layout w:type="fixed"/>
        <w:tblCellMar>
          <w:top w:w="0" w:type="dxa"/>
          <w:left w:w="108" w:type="dxa"/>
          <w:bottom w:w="0" w:type="dxa"/>
          <w:right w:w="108" w:type="dxa"/>
        </w:tblCellMar>
      </w:tblPr>
      <w:tblGrid>
        <w:gridCol w:w="8523"/>
      </w:tblGrid>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PrEx>
        <w:trPr>
          <w:trHeight w:val="3824" w:hRule="atLeast"/>
          <w:jc w:val="center"/>
        </w:trPr>
        <w:tc>
          <w:tcPr>
            <w:tcW w:w="8523" w:type="dxa"/>
            <w:noWrap w:val="0"/>
            <w:vAlign w:val="top"/>
          </w:tcPr>
          <w:p>
            <w:pPr>
              <w:adjustRightInd w:val="0"/>
              <w:snapToGrid w:val="0"/>
              <w:spacing w:line="400" w:lineRule="exact"/>
              <w:ind w:firstLine="560" w:firstLineChars="200"/>
              <w:rPr>
                <w:rFonts w:eastAsia="方正仿宋简体"/>
                <w:color w:val="000000"/>
                <w:sz w:val="28"/>
                <w:szCs w:val="28"/>
              </w:rPr>
            </w:pPr>
            <w:r>
              <w:rPr>
                <w:rFonts w:eastAsia="方正仿宋简体"/>
                <w:bCs/>
                <w:color w:val="000000"/>
                <w:sz w:val="28"/>
                <w:szCs w:val="28"/>
              </w:rPr>
              <w:t>主要目标任务：</w:t>
            </w:r>
            <w:r>
              <w:rPr>
                <w:rFonts w:eastAsia="方正仿宋简体"/>
                <w:color w:val="000000"/>
                <w:sz w:val="28"/>
                <w:szCs w:val="28"/>
              </w:rPr>
              <w:t>推进浏阳与湘赣边县市基础设施的互联互通，加强区域间分工协作，共同培养壮大特色产业集群，逐步深化浏阳与湘赣边县市在交通、商务、金融、人才、科技、教育、文化、环保、医疗卫生、社会治理等领域合作。“十三五”期间，力争湘赣边综合交通网络基本形成，湘赣边旅游经济圈基本建立，湘赣边县域城市协同发展格局初步构建。</w:t>
            </w:r>
          </w:p>
          <w:p>
            <w:pPr>
              <w:adjustRightInd w:val="0"/>
              <w:snapToGrid w:val="0"/>
              <w:spacing w:line="400" w:lineRule="exact"/>
              <w:ind w:firstLine="560" w:firstLineChars="200"/>
              <w:rPr>
                <w:rFonts w:eastAsia="方正仿宋简体"/>
                <w:color w:val="000000"/>
                <w:sz w:val="28"/>
                <w:szCs w:val="28"/>
              </w:rPr>
            </w:pPr>
            <w:r>
              <w:rPr>
                <w:rFonts w:eastAsia="方正仿宋简体"/>
                <w:bCs/>
                <w:color w:val="000000"/>
                <w:sz w:val="28"/>
                <w:szCs w:val="28"/>
              </w:rPr>
              <w:t>重点支撑项目：</w:t>
            </w:r>
            <w:r>
              <w:rPr>
                <w:rFonts w:eastAsia="方正仿宋简体"/>
                <w:color w:val="000000"/>
                <w:sz w:val="28"/>
                <w:szCs w:val="28"/>
              </w:rPr>
              <w:t>湘赣边路网畅通工程、湘赣边绿色通道建设、湘赣边旅游合作项目、湘赣边贸合作项目、大瑶-上栗共建产业园区项目、大围山-沩山共建产业园区项目、湘赣边特色农业产业化项目、湘赣边专业人才培养体系建设项目、湘赣边物流信息公共服务体系建设项目、湘赣边电子商务公共服务体系建设等。</w:t>
            </w:r>
          </w:p>
        </w:tc>
      </w:tr>
    </w:tbl>
    <w:p>
      <w:pPr>
        <w:adjustRightInd w:val="0"/>
        <w:snapToGrid w:val="0"/>
        <w:spacing w:before="312" w:beforeLines="100" w:after="312" w:afterLines="100" w:line="600" w:lineRule="exact"/>
        <w:jc w:val="center"/>
        <w:rPr>
          <w:rFonts w:eastAsia="方正仿宋简体"/>
          <w:color w:val="000000"/>
          <w:sz w:val="30"/>
          <w:szCs w:val="30"/>
        </w:rPr>
      </w:pPr>
      <w:r>
        <w:rPr>
          <w:rFonts w:eastAsia="方正仿宋简体"/>
          <w:color w:val="000000"/>
          <w:sz w:val="30"/>
          <w:szCs w:val="30"/>
        </w:rPr>
        <w:t>第四节  参与国际市场大竞合</w:t>
      </w:r>
    </w:p>
    <w:p>
      <w:pPr>
        <w:adjustRightInd w:val="0"/>
        <w:snapToGrid w:val="0"/>
        <w:spacing w:line="580" w:lineRule="exact"/>
        <w:ind w:firstLine="600" w:firstLineChars="200"/>
        <w:rPr>
          <w:rFonts w:eastAsia="方正仿宋简体"/>
          <w:color w:val="000000"/>
          <w:sz w:val="30"/>
          <w:szCs w:val="30"/>
        </w:rPr>
      </w:pPr>
      <w:r>
        <w:rPr>
          <w:rFonts w:eastAsia="方正仿宋简体"/>
          <w:color w:val="000000"/>
          <w:sz w:val="30"/>
          <w:szCs w:val="30"/>
        </w:rPr>
        <w:t>综合运用国际国内两个市场、两种资源，完善开放发展的制度体系，进一步创新开放模式，拓展开放领域，集成开放优势。“十三五”期间，实现进出口总额年均增长10%。</w:t>
      </w:r>
    </w:p>
    <w:p>
      <w:pPr>
        <w:adjustRightInd w:val="0"/>
        <w:snapToGrid w:val="0"/>
        <w:spacing w:line="580" w:lineRule="exact"/>
        <w:ind w:firstLine="600" w:firstLineChars="200"/>
        <w:rPr>
          <w:rFonts w:eastAsia="方正仿宋简体"/>
          <w:bCs/>
          <w:color w:val="000000"/>
          <w:sz w:val="30"/>
          <w:szCs w:val="30"/>
          <w:u w:val="single"/>
        </w:rPr>
      </w:pPr>
      <w:r>
        <w:rPr>
          <w:rFonts w:eastAsia="方正仿宋简体"/>
          <w:bCs/>
          <w:color w:val="000000"/>
          <w:sz w:val="30"/>
          <w:szCs w:val="30"/>
        </w:rPr>
        <w:t>一、高水平“引进来”</w:t>
      </w:r>
    </w:p>
    <w:p>
      <w:pPr>
        <w:adjustRightInd w:val="0"/>
        <w:snapToGrid w:val="0"/>
        <w:spacing w:line="580" w:lineRule="exact"/>
        <w:ind w:firstLine="600" w:firstLineChars="200"/>
        <w:rPr>
          <w:rFonts w:eastAsia="方正仿宋简体"/>
          <w:bCs/>
          <w:color w:val="000000"/>
          <w:sz w:val="30"/>
          <w:szCs w:val="30"/>
        </w:rPr>
      </w:pPr>
      <w:r>
        <w:rPr>
          <w:rFonts w:eastAsia="方正仿宋简体"/>
          <w:color w:val="000000"/>
          <w:sz w:val="30"/>
          <w:szCs w:val="30"/>
        </w:rPr>
        <w:t>面向重点合作国家和地区，积极吸引国内外企业营运中心、物流中心、分拨中心、销售中心、采购中心入驻，集聚一批国内外贸易组织、贸易促进机构、行业组织、检验检测和认证机构，引进培育一批植根长沙的国际企业</w:t>
      </w:r>
      <w:r>
        <w:rPr>
          <w:rFonts w:eastAsia="方正仿宋简体"/>
          <w:bCs/>
          <w:color w:val="000000"/>
          <w:sz w:val="30"/>
          <w:szCs w:val="30"/>
        </w:rPr>
        <w:t>。鼓励外商转让关键核心技术或采用共同开发的模式，带动本地技术创新主体“引进、消化、吸收、再创新”。开拓新的外资市场，构建与国际惯例相衔接的投资贸易制度体系，促进国际资本及其它高端要素加快集聚。创新招商引资方式，大力推进全价值链“垂直整合”招商引资模式，推动招商引资由政府主导向市场主导转变。</w:t>
      </w:r>
    </w:p>
    <w:p>
      <w:pPr>
        <w:adjustRightInd w:val="0"/>
        <w:snapToGrid w:val="0"/>
        <w:spacing w:line="600" w:lineRule="exact"/>
        <w:ind w:firstLine="600" w:firstLineChars="200"/>
        <w:rPr>
          <w:rFonts w:eastAsia="方正仿宋简体"/>
          <w:bCs/>
          <w:color w:val="000000"/>
          <w:sz w:val="30"/>
          <w:szCs w:val="30"/>
        </w:rPr>
      </w:pPr>
      <w:r>
        <w:rPr>
          <w:rFonts w:eastAsia="方正仿宋简体"/>
          <w:bCs/>
          <w:color w:val="000000"/>
          <w:sz w:val="30"/>
          <w:szCs w:val="30"/>
        </w:rPr>
        <w:t>二、大规模“走出去”</w:t>
      </w:r>
    </w:p>
    <w:p>
      <w:pPr>
        <w:adjustRightInd w:val="0"/>
        <w:snapToGrid w:val="0"/>
        <w:spacing w:line="600" w:lineRule="exact"/>
        <w:ind w:firstLine="600" w:firstLineChars="200"/>
        <w:rPr>
          <w:rFonts w:eastAsia="方正仿宋简体"/>
          <w:bCs/>
          <w:color w:val="000000"/>
          <w:sz w:val="30"/>
          <w:szCs w:val="30"/>
        </w:rPr>
      </w:pPr>
      <w:r>
        <w:rPr>
          <w:rFonts w:eastAsia="方正仿宋简体"/>
          <w:bCs/>
          <w:color w:val="000000"/>
          <w:sz w:val="30"/>
          <w:szCs w:val="30"/>
        </w:rPr>
        <w:t>在巩固与欧美日、港澳台等传统市场合作的基础上，重点加大对“金砖”国家、中亚、东欧、东南亚、南美、非洲等新兴市场的开拓力度。</w:t>
      </w:r>
      <w:r>
        <w:rPr>
          <w:rFonts w:eastAsia="方正仿宋简体"/>
          <w:color w:val="000000"/>
          <w:sz w:val="30"/>
          <w:szCs w:val="30"/>
        </w:rPr>
        <w:t>大力支持长沙优势企业“抱团出海”，鼓励工程机械、文化创意等产业组成“产业联盟”参与全球竞争，鼓励有实力的企业在境外建立经贸合作园区、仓储物流基地和分拔中心，积极搭建各类经贸交流合作渠道，打造长沙参与经济全球化的骨干力量，实现从单一企业“走出去”向产业链“走出去”转变。推动对外投资形式多样化，鼓励长沙企业建立海外生产研发基地，构建全球营销网络、承揽国际工程项目、实施跨国兼并收购，深度融入全球产业链、价值链、物流链。鼓励长沙企业参与国家援外项目，拓展国际工程承包市场，带动设备、技术、服务、劳务等输出。完善我市企业与央企对接合作机制，大力推动“借船出海”。</w:t>
      </w:r>
    </w:p>
    <w:p>
      <w:pPr>
        <w:adjustRightInd w:val="0"/>
        <w:snapToGrid w:val="0"/>
        <w:spacing w:line="600" w:lineRule="exact"/>
        <w:ind w:firstLine="600" w:firstLineChars="200"/>
        <w:rPr>
          <w:rFonts w:eastAsia="方正仿宋简体"/>
          <w:bCs/>
          <w:color w:val="000000"/>
          <w:sz w:val="30"/>
          <w:szCs w:val="30"/>
        </w:rPr>
      </w:pPr>
      <w:r>
        <w:rPr>
          <w:rFonts w:eastAsia="方正仿宋简体"/>
          <w:bCs/>
          <w:color w:val="000000"/>
          <w:sz w:val="30"/>
          <w:szCs w:val="30"/>
        </w:rPr>
        <w:t>三、培育外贸竞争新优势</w:t>
      </w:r>
    </w:p>
    <w:p>
      <w:pPr>
        <w:adjustRightInd w:val="0"/>
        <w:snapToGrid w:val="0"/>
        <w:spacing w:line="600" w:lineRule="exact"/>
        <w:ind w:firstLine="600" w:firstLineChars="200"/>
        <w:jc w:val="left"/>
        <w:rPr>
          <w:rFonts w:eastAsia="方正仿宋简体"/>
          <w:color w:val="000000"/>
          <w:sz w:val="30"/>
          <w:szCs w:val="30"/>
          <w:u w:val="single"/>
        </w:rPr>
      </w:pPr>
      <w:r>
        <w:rPr>
          <w:rFonts w:eastAsia="方正仿宋简体"/>
          <w:color w:val="000000"/>
          <w:sz w:val="30"/>
          <w:szCs w:val="30"/>
        </w:rPr>
        <w:t>优化外贸出口结构，推进服务贸易与实物贸易协调发展。大力发展新型加工贸易，延长加工贸易产业链条，积极承接国内外加工贸易订单和企业转移。加快发展服务贸易，以现代服务业综合试点、服务外包示范城市等为依托，积极承接服务外包，创建一批国家级软件研发与技术服务、工程技术研发服务、动漫游戏、呼叫服务、物流服务等服务外包示范基地（园区），培育和引进一批服务外包知名品牌。支持各类贸易主体发展，推动高桥大市场建设国家市场采购贸易方式试点，鼓励具有自主知识产权、自主品牌的产品出口，大力提升电子信息、新材料、新能源、生物医药、机电等出口产品的技术含量、附加值和品牌竞争力，形成多种外贸业态蓬勃发展的新局面。鼓励适度进口，抓住国家进口政策调整机遇，扩大资源性产品、高端消费品、部分日用消费品进口，支持高端装备及配套产品进口，形成对本地市场和产品结构的有益补充。</w:t>
      </w:r>
    </w:p>
    <w:p>
      <w:pPr>
        <w:adjustRightInd w:val="0"/>
        <w:snapToGrid w:val="0"/>
        <w:spacing w:line="600" w:lineRule="exact"/>
        <w:ind w:firstLine="600" w:firstLineChars="200"/>
        <w:rPr>
          <w:rFonts w:eastAsia="方正仿宋简体"/>
          <w:bCs/>
          <w:color w:val="000000"/>
          <w:sz w:val="30"/>
          <w:szCs w:val="30"/>
        </w:rPr>
      </w:pPr>
      <w:r>
        <w:rPr>
          <w:rFonts w:eastAsia="方正仿宋简体"/>
          <w:bCs/>
          <w:color w:val="000000"/>
          <w:sz w:val="30"/>
          <w:szCs w:val="30"/>
        </w:rPr>
        <w:t>四、搭建外经合作新载体</w:t>
      </w:r>
    </w:p>
    <w:p>
      <w:pPr>
        <w:adjustRightInd w:val="0"/>
        <w:snapToGrid w:val="0"/>
        <w:spacing w:line="600" w:lineRule="exact"/>
        <w:ind w:firstLine="600" w:firstLineChars="200"/>
        <w:rPr>
          <w:rFonts w:eastAsia="方正仿宋简体"/>
          <w:color w:val="000000"/>
          <w:sz w:val="30"/>
          <w:szCs w:val="30"/>
        </w:rPr>
      </w:pPr>
      <w:r>
        <w:rPr>
          <w:rFonts w:eastAsia="方正仿宋简体"/>
          <w:bCs/>
          <w:color w:val="000000"/>
          <w:sz w:val="30"/>
          <w:szCs w:val="30"/>
        </w:rPr>
        <w:t>推进外经平台建设，加快</w:t>
      </w:r>
      <w:r>
        <w:rPr>
          <w:rFonts w:eastAsia="方正仿宋简体"/>
          <w:color w:val="000000"/>
          <w:sz w:val="30"/>
          <w:szCs w:val="30"/>
        </w:rPr>
        <w:t>谋划中国（长沙）跨境电子商务综合试验</w:t>
      </w:r>
      <w:r>
        <w:rPr>
          <w:rFonts w:eastAsia="方正仿宋简体"/>
          <w:color w:val="000000"/>
          <w:spacing w:val="4"/>
          <w:sz w:val="30"/>
          <w:szCs w:val="30"/>
        </w:rPr>
        <w:t>区，</w:t>
      </w:r>
      <w:r>
        <w:rPr>
          <w:rFonts w:eastAsia="方正仿宋简体"/>
          <w:bCs/>
          <w:color w:val="000000"/>
          <w:spacing w:val="4"/>
          <w:sz w:val="30"/>
          <w:szCs w:val="30"/>
        </w:rPr>
        <w:t>推进长沙黄花综合保税区、金霞保税物流中心等配套设</w:t>
      </w:r>
      <w:r>
        <w:rPr>
          <w:rFonts w:eastAsia="方正仿宋简体"/>
          <w:bCs/>
          <w:color w:val="000000"/>
          <w:spacing w:val="2"/>
          <w:sz w:val="30"/>
          <w:szCs w:val="30"/>
        </w:rPr>
        <w:t>施建设，加快芙蓉外贸示范区等外贸平台建设，高水平建设电子信息、新材料、生物医药等一批出口创新基地。</w:t>
      </w:r>
      <w:r>
        <w:rPr>
          <w:rFonts w:eastAsia="方正仿宋简体"/>
          <w:color w:val="000000"/>
          <w:spacing w:val="2"/>
          <w:sz w:val="30"/>
          <w:szCs w:val="30"/>
        </w:rPr>
        <w:t>拓展口岸功能，</w:t>
      </w:r>
      <w:r>
        <w:rPr>
          <w:rFonts w:eastAsia="方正仿宋简体"/>
          <w:color w:val="000000"/>
          <w:spacing w:val="4"/>
          <w:sz w:val="30"/>
          <w:szCs w:val="30"/>
        </w:rPr>
        <w:t>积极申报肉类、水果等进口指定口岸。</w:t>
      </w:r>
      <w:r>
        <w:rPr>
          <w:rFonts w:eastAsia="方正仿宋简体"/>
          <w:bCs/>
          <w:color w:val="000000"/>
          <w:spacing w:val="4"/>
          <w:sz w:val="30"/>
          <w:szCs w:val="30"/>
        </w:rPr>
        <w:t>推进电子口岸及其信息化建设，</w:t>
      </w:r>
      <w:r>
        <w:rPr>
          <w:rFonts w:eastAsia="方正仿宋简体"/>
          <w:color w:val="000000"/>
          <w:spacing w:val="4"/>
          <w:sz w:val="30"/>
          <w:szCs w:val="30"/>
        </w:rPr>
        <w:t>全</w:t>
      </w:r>
      <w:r>
        <w:rPr>
          <w:rFonts w:eastAsia="方正仿宋简体"/>
          <w:color w:val="000000"/>
          <w:spacing w:val="6"/>
          <w:sz w:val="30"/>
          <w:szCs w:val="30"/>
        </w:rPr>
        <w:t>面建成“单一窗口”。</w:t>
      </w:r>
      <w:r>
        <w:rPr>
          <w:rFonts w:eastAsia="方正仿宋简体"/>
          <w:bCs/>
          <w:color w:val="000000"/>
          <w:spacing w:val="6"/>
          <w:sz w:val="30"/>
          <w:szCs w:val="30"/>
        </w:rPr>
        <w:t>搭建综合服务平台，提供外贸“一站式”服务，全面实施“一次申报、一次查验、一次放行”通关模式，逐步推行“5+2”工作制和24小时通关服务，降低企业的进出口成本，提高长沙企业进军国际市场的竞争力。新增一批友好城市或友好</w:t>
      </w:r>
      <w:r>
        <w:rPr>
          <w:rFonts w:eastAsia="方正仿宋简体"/>
          <w:bCs/>
          <w:color w:val="000000"/>
          <w:sz w:val="30"/>
          <w:szCs w:val="30"/>
        </w:rPr>
        <w:t>经贸交往城市，规划建设长沙国际交流区，争取引进更多外国机构和企业落户长沙。</w:t>
      </w:r>
    </w:p>
    <w:p>
      <w:pPr>
        <w:adjustRightInd w:val="0"/>
        <w:snapToGrid w:val="0"/>
        <w:spacing w:line="600" w:lineRule="exact"/>
        <w:jc w:val="center"/>
        <w:rPr>
          <w:rFonts w:eastAsia="方正仿宋简体"/>
          <w:color w:val="000000"/>
          <w:sz w:val="30"/>
          <w:szCs w:val="30"/>
        </w:rPr>
      </w:pPr>
    </w:p>
    <w:p>
      <w:pPr>
        <w:adjustRightInd w:val="0"/>
        <w:snapToGrid w:val="0"/>
        <w:spacing w:line="600" w:lineRule="exact"/>
        <w:jc w:val="center"/>
        <w:rPr>
          <w:rFonts w:hint="eastAsia" w:ascii="方正小标宋简体" w:eastAsia="方正小标宋简体"/>
          <w:color w:val="000000"/>
          <w:w w:val="90"/>
          <w:sz w:val="44"/>
          <w:szCs w:val="44"/>
        </w:rPr>
      </w:pPr>
      <w:r>
        <w:rPr>
          <w:rFonts w:hint="eastAsia" w:ascii="方正小标宋简体" w:eastAsia="方正小标宋简体"/>
          <w:color w:val="000000"/>
          <w:w w:val="90"/>
          <w:sz w:val="44"/>
          <w:szCs w:val="44"/>
        </w:rPr>
        <w:t>第六章  特色发展  打造具有湖湘特质的文化名城</w:t>
      </w:r>
    </w:p>
    <w:p>
      <w:pPr>
        <w:adjustRightInd w:val="0"/>
        <w:snapToGrid w:val="0"/>
        <w:spacing w:line="600" w:lineRule="exact"/>
        <w:ind w:firstLine="600" w:firstLineChars="200"/>
        <w:rPr>
          <w:rFonts w:eastAsia="方正仿宋简体"/>
          <w:bCs/>
          <w:color w:val="000000"/>
          <w:sz w:val="30"/>
          <w:szCs w:val="30"/>
        </w:rPr>
      </w:pPr>
    </w:p>
    <w:p>
      <w:pPr>
        <w:adjustRightInd w:val="0"/>
        <w:snapToGrid w:val="0"/>
        <w:spacing w:line="600" w:lineRule="exact"/>
        <w:ind w:firstLine="600" w:firstLineChars="200"/>
        <w:jc w:val="left"/>
        <w:rPr>
          <w:rFonts w:eastAsia="方正仿宋简体"/>
          <w:color w:val="000000"/>
          <w:sz w:val="30"/>
          <w:szCs w:val="30"/>
        </w:rPr>
      </w:pPr>
      <w:r>
        <w:rPr>
          <w:rFonts w:eastAsia="方正仿宋简体"/>
          <w:color w:val="000000"/>
          <w:sz w:val="30"/>
          <w:szCs w:val="30"/>
        </w:rPr>
        <w:t>文化之于城市，既是灵魂和软实力，更是角逐未来竞争的力量源泉。要坚持以中国特色社会主义文化为引领，以弘扬湖湘文化为重点，以满足市民的精神文化需求为目标，推动文化大发展大繁荣。</w:t>
      </w:r>
    </w:p>
    <w:p>
      <w:pPr>
        <w:adjustRightInd w:val="0"/>
        <w:snapToGrid w:val="0"/>
        <w:spacing w:before="312" w:beforeLines="100" w:after="312" w:afterLines="100" w:line="600" w:lineRule="exact"/>
        <w:jc w:val="center"/>
        <w:rPr>
          <w:rFonts w:eastAsia="方正仿宋简体"/>
          <w:bCs/>
          <w:color w:val="000000"/>
          <w:sz w:val="30"/>
          <w:szCs w:val="30"/>
        </w:rPr>
      </w:pPr>
      <w:r>
        <w:rPr>
          <w:rFonts w:eastAsia="方正仿宋简体"/>
          <w:color w:val="000000"/>
          <w:sz w:val="30"/>
          <w:szCs w:val="30"/>
        </w:rPr>
        <w:t>第一节  推动历史文化与现代文明交相辉映</w:t>
      </w:r>
    </w:p>
    <w:p>
      <w:pPr>
        <w:adjustRightInd w:val="0"/>
        <w:snapToGrid w:val="0"/>
        <w:spacing w:line="600" w:lineRule="exact"/>
        <w:ind w:firstLine="600" w:firstLineChars="200"/>
        <w:rPr>
          <w:rFonts w:eastAsia="方正仿宋简体"/>
          <w:bCs/>
          <w:color w:val="000000"/>
          <w:sz w:val="30"/>
          <w:szCs w:val="30"/>
        </w:rPr>
      </w:pPr>
      <w:r>
        <w:rPr>
          <w:rFonts w:eastAsia="方正仿宋简体"/>
          <w:bCs/>
          <w:color w:val="000000"/>
          <w:sz w:val="30"/>
          <w:szCs w:val="30"/>
        </w:rPr>
        <w:t>加强历史文化名城风貌保护，合理开发历史文化资源，传承千年湖湘历史文脉，充分利用现代理念和现代手段，推进历史文化与现代文明的完美融合。</w:t>
      </w:r>
    </w:p>
    <w:p>
      <w:pPr>
        <w:adjustRightInd w:val="0"/>
        <w:snapToGrid w:val="0"/>
        <w:spacing w:line="600" w:lineRule="exact"/>
        <w:ind w:firstLine="600" w:firstLineChars="200"/>
        <w:rPr>
          <w:rFonts w:eastAsia="方正仿宋简体"/>
          <w:bCs/>
          <w:color w:val="000000"/>
          <w:sz w:val="30"/>
          <w:szCs w:val="30"/>
        </w:rPr>
      </w:pPr>
      <w:r>
        <w:rPr>
          <w:rFonts w:eastAsia="方正仿宋简体"/>
          <w:bCs/>
          <w:color w:val="000000"/>
          <w:sz w:val="30"/>
          <w:szCs w:val="30"/>
        </w:rPr>
        <w:t>一、保护古城整体格局</w:t>
      </w:r>
    </w:p>
    <w:p>
      <w:pPr>
        <w:adjustRightInd w:val="0"/>
        <w:snapToGrid w:val="0"/>
        <w:spacing w:line="600" w:lineRule="exact"/>
        <w:ind w:firstLine="584" w:firstLineChars="200"/>
        <w:rPr>
          <w:rFonts w:hint="eastAsia" w:eastAsia="方正仿宋简体"/>
          <w:color w:val="000000"/>
          <w:sz w:val="30"/>
          <w:szCs w:val="30"/>
        </w:rPr>
      </w:pPr>
      <w:r>
        <w:rPr>
          <w:rFonts w:eastAsia="方正仿宋简体"/>
          <w:bCs/>
          <w:color w:val="000000"/>
          <w:spacing w:val="-4"/>
          <w:sz w:val="30"/>
          <w:szCs w:val="30"/>
        </w:rPr>
        <w:t>积极保护历史文化资源，形成保护层次清晰、文化内涵丰富、城市形象突出的国家历史文化名城。重点加大对古城、古街（区）、古镇（村）、古寺、古遗址和名人故居（墓葬）“五古一故”的保护力度。积极推进文物保护机制创新，探索多种有效保护方式，更好的传承历史文脉。完善历史文化风貌区的城市规划设计，严格控制历史城区范围内整体风貌、街巷格局和建筑高度，大力降低古城区内人口和交通负</w:t>
      </w:r>
      <w:r>
        <w:rPr>
          <w:rFonts w:eastAsia="方正仿宋简体"/>
          <w:bCs/>
          <w:color w:val="000000"/>
          <w:spacing w:val="-2"/>
          <w:sz w:val="30"/>
          <w:szCs w:val="30"/>
        </w:rPr>
        <w:t>荷。以云麓宫、麓山寺、爱晚亭、岳麓书院、橘子洲、朱张渡、天心阁为轴线，规划建设集中展示长沙历史文化精粹的城市景观轴。</w:t>
      </w:r>
      <w:r>
        <w:rPr>
          <w:rFonts w:eastAsia="方正仿宋简体"/>
          <w:bCs/>
          <w:color w:val="000000"/>
          <w:sz w:val="30"/>
          <w:szCs w:val="30"/>
        </w:rPr>
        <w:t>保护好珍贵历史街区，整合修缮太平街、坡子街、潮宗街等历</w:t>
      </w:r>
      <w:r>
        <w:rPr>
          <w:rFonts w:eastAsia="方正仿宋简体"/>
          <w:color w:val="000000"/>
          <w:sz w:val="30"/>
          <w:szCs w:val="30"/>
        </w:rPr>
        <w:t>史文化街区。</w:t>
      </w:r>
      <w:r>
        <w:rPr>
          <w:rFonts w:eastAsia="方正仿宋简体"/>
          <w:bCs/>
          <w:color w:val="000000"/>
          <w:sz w:val="30"/>
          <w:szCs w:val="30"/>
        </w:rPr>
        <w:t>有效保护与利用一批历史古镇、传统村落，</w:t>
      </w:r>
      <w:r>
        <w:rPr>
          <w:rFonts w:eastAsia="方正仿宋简体"/>
          <w:color w:val="000000"/>
          <w:sz w:val="30"/>
          <w:szCs w:val="30"/>
        </w:rPr>
        <w:t>形成以靖港、乔口、铜官等为代表的湘江古镇群。恢复重要历史遗址和文化遗迹，推进长沙国王陵、马王堆汉墓、长沙铜官窑、炭河里等考古遗址公园的建设。加强名人故居保护力度，在城市的重要节点树立一批名人雕塑，兴建一批名人纪念园，弘扬湖湘名人文化。</w:t>
      </w:r>
    </w:p>
    <w:p>
      <w:pPr>
        <w:adjustRightInd w:val="0"/>
        <w:snapToGrid w:val="0"/>
        <w:spacing w:line="600" w:lineRule="exact"/>
        <w:jc w:val="center"/>
        <w:rPr>
          <w:rFonts w:hint="eastAsia" w:eastAsia="方正仿宋简体"/>
          <w:color w:val="000000"/>
          <w:sz w:val="30"/>
          <w:szCs w:val="30"/>
        </w:rPr>
      </w:pPr>
      <w:r>
        <w:rPr>
          <w:rFonts w:hint="eastAsia" w:ascii="黑体" w:eastAsia="黑体"/>
          <w:color w:val="000000"/>
          <w:sz w:val="28"/>
          <w:szCs w:val="28"/>
        </w:rPr>
        <w:t>专栏21： “五古一故”保护工程</w:t>
      </w:r>
    </w:p>
    <w:tbl>
      <w:tblPr>
        <w:tblStyle w:val="15"/>
        <w:tblW w:w="0" w:type="auto"/>
        <w:jc w:val="center"/>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Layout w:type="fixed"/>
        <w:tblCellMar>
          <w:top w:w="0" w:type="dxa"/>
          <w:left w:w="108" w:type="dxa"/>
          <w:bottom w:w="0" w:type="dxa"/>
          <w:right w:w="108" w:type="dxa"/>
        </w:tblCellMar>
      </w:tblPr>
      <w:tblGrid>
        <w:gridCol w:w="8522"/>
      </w:tblGrid>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PrEx>
        <w:trPr>
          <w:trHeight w:val="8128" w:hRule="atLeast"/>
          <w:jc w:val="center"/>
        </w:trPr>
        <w:tc>
          <w:tcPr>
            <w:tcW w:w="8522" w:type="dxa"/>
            <w:noWrap w:val="0"/>
            <w:vAlign w:val="top"/>
          </w:tcPr>
          <w:p>
            <w:pPr>
              <w:adjustRightInd w:val="0"/>
              <w:snapToGrid w:val="0"/>
              <w:spacing w:line="400" w:lineRule="exact"/>
              <w:ind w:firstLine="560" w:firstLineChars="200"/>
              <w:rPr>
                <w:rFonts w:eastAsia="方正仿宋简体"/>
                <w:bCs/>
                <w:color w:val="000000"/>
                <w:sz w:val="28"/>
                <w:szCs w:val="28"/>
              </w:rPr>
            </w:pPr>
            <w:r>
              <w:rPr>
                <w:rFonts w:eastAsia="方正仿宋简体"/>
                <w:color w:val="000000"/>
                <w:sz w:val="28"/>
                <w:szCs w:val="28"/>
              </w:rPr>
              <w:t>古城：</w:t>
            </w:r>
            <w:r>
              <w:rPr>
                <w:rFonts w:eastAsia="方正仿宋简体"/>
                <w:bCs/>
                <w:color w:val="000000"/>
                <w:sz w:val="28"/>
                <w:szCs w:val="28"/>
              </w:rPr>
              <w:t>重点保护好明清古城和岳麓山两大历史文化风貌区，保留明清长沙古城街巷，保护街巷肌理格局，处理好天心阁与岳麓山、橘子洲的空间联系及景观视域控制，形成河西以岳麓山历史文化风貌区为代表的自然景观，与河东以古城历史文化风貌区为代表的人文景观交相呼应的湖湘文化景观格局。</w:t>
            </w:r>
          </w:p>
          <w:p>
            <w:pPr>
              <w:adjustRightInd w:val="0"/>
              <w:snapToGrid w:val="0"/>
              <w:spacing w:line="400" w:lineRule="exact"/>
              <w:ind w:firstLine="560" w:firstLineChars="200"/>
              <w:rPr>
                <w:rFonts w:eastAsia="方正仿宋简体"/>
                <w:bCs/>
                <w:color w:val="000000"/>
                <w:sz w:val="28"/>
                <w:szCs w:val="28"/>
              </w:rPr>
            </w:pPr>
            <w:r>
              <w:rPr>
                <w:rFonts w:eastAsia="方正仿宋简体"/>
                <w:color w:val="000000"/>
                <w:sz w:val="28"/>
                <w:szCs w:val="28"/>
              </w:rPr>
              <w:t>古街（区）：</w:t>
            </w:r>
            <w:r>
              <w:rPr>
                <w:rFonts w:eastAsia="方正仿宋简体"/>
                <w:bCs/>
                <w:color w:val="000000"/>
                <w:sz w:val="28"/>
                <w:szCs w:val="28"/>
              </w:rPr>
              <w:t>重点保护太平街、潮宗街等2处历史文化街区，开福寺、西文庙坪、省立一师范、化龙池等4处历史地段，修缮保护吉祥巷、古潭街、坡子街等12条历史街巷。</w:t>
            </w:r>
          </w:p>
          <w:p>
            <w:pPr>
              <w:adjustRightInd w:val="0"/>
              <w:snapToGrid w:val="0"/>
              <w:spacing w:line="400" w:lineRule="exact"/>
              <w:ind w:firstLine="560" w:firstLineChars="200"/>
              <w:rPr>
                <w:rFonts w:eastAsia="方正仿宋简体"/>
                <w:bCs/>
                <w:color w:val="000000"/>
                <w:sz w:val="28"/>
                <w:szCs w:val="28"/>
              </w:rPr>
            </w:pPr>
            <w:r>
              <w:rPr>
                <w:rFonts w:eastAsia="方正仿宋简体"/>
                <w:color w:val="000000"/>
                <w:sz w:val="28"/>
                <w:szCs w:val="28"/>
              </w:rPr>
              <w:t>古镇（村）：</w:t>
            </w:r>
            <w:r>
              <w:rPr>
                <w:rFonts w:eastAsia="方正仿宋简体"/>
                <w:bCs/>
                <w:color w:val="000000"/>
                <w:sz w:val="28"/>
                <w:szCs w:val="28"/>
              </w:rPr>
              <w:t>整体保护和开发靖港、乔口、铜官、新康、书堂山、丁字等六大古镇为主体的湘江古镇群，</w:t>
            </w:r>
            <w:r>
              <w:rPr>
                <w:rFonts w:eastAsia="方正仿宋简体"/>
                <w:color w:val="000000"/>
                <w:sz w:val="28"/>
                <w:szCs w:val="28"/>
              </w:rPr>
              <w:t>探索具有湖湘文化特征的城镇化发展模式，打造成</w:t>
            </w:r>
            <w:r>
              <w:rPr>
                <w:rFonts w:eastAsia="方正仿宋简体"/>
                <w:bCs/>
                <w:color w:val="000000"/>
                <w:sz w:val="28"/>
                <w:szCs w:val="28"/>
              </w:rPr>
              <w:t>“中国最具魅力的古镇群”。加大对大围山、黄材、沙田、巷子口、文家市等历史文化名镇，彩陶源村、新开村等历史文化名村的保护力度。</w:t>
            </w:r>
          </w:p>
          <w:p>
            <w:pPr>
              <w:adjustRightInd w:val="0"/>
              <w:snapToGrid w:val="0"/>
              <w:spacing w:line="400" w:lineRule="exact"/>
              <w:ind w:firstLine="560" w:firstLineChars="200"/>
              <w:rPr>
                <w:rFonts w:eastAsia="方正仿宋简体"/>
                <w:bCs/>
                <w:color w:val="000000"/>
                <w:sz w:val="28"/>
                <w:szCs w:val="28"/>
              </w:rPr>
            </w:pPr>
            <w:r>
              <w:rPr>
                <w:rFonts w:eastAsia="方正仿宋简体"/>
                <w:color w:val="000000"/>
                <w:sz w:val="28"/>
                <w:szCs w:val="28"/>
              </w:rPr>
              <w:t>古寺：</w:t>
            </w:r>
            <w:r>
              <w:rPr>
                <w:rFonts w:eastAsia="方正仿宋简体"/>
                <w:bCs/>
                <w:color w:val="000000"/>
                <w:sz w:val="28"/>
                <w:szCs w:val="28"/>
              </w:rPr>
              <w:t>保护和修缮开福寺、麓山寺、洪山寺、密印寺、陶公庙、洗心禅寺、浏阳文庙、戴公庙、铁炉寺、东岳宫、宝宁寺、桐溪寺等古寺庙。</w:t>
            </w:r>
          </w:p>
          <w:p>
            <w:pPr>
              <w:adjustRightInd w:val="0"/>
              <w:snapToGrid w:val="0"/>
              <w:spacing w:line="400" w:lineRule="exact"/>
              <w:ind w:firstLine="560" w:firstLineChars="200"/>
              <w:rPr>
                <w:rFonts w:eastAsia="方正仿宋简体"/>
                <w:bCs/>
                <w:color w:val="000000"/>
                <w:sz w:val="28"/>
                <w:szCs w:val="28"/>
              </w:rPr>
            </w:pPr>
            <w:r>
              <w:rPr>
                <w:rFonts w:eastAsia="方正仿宋简体"/>
                <w:color w:val="000000"/>
                <w:sz w:val="28"/>
                <w:szCs w:val="28"/>
              </w:rPr>
              <w:t>古遗址：</w:t>
            </w:r>
            <w:r>
              <w:rPr>
                <w:rFonts w:eastAsia="方正仿宋简体"/>
                <w:bCs/>
                <w:color w:val="000000"/>
                <w:sz w:val="28"/>
                <w:szCs w:val="28"/>
              </w:rPr>
              <w:t>规划建设长沙国王陵考古遗址公园、长沙铜官窑考古遗址公园、炭河里考古遗址公园、马王堆汉墓遗址公园等遗址公园。加大对</w:t>
            </w:r>
            <w:r>
              <w:rPr>
                <w:rFonts w:eastAsia="方正仿宋简体"/>
                <w:bCs/>
                <w:color w:val="000000"/>
                <w:sz w:val="28"/>
                <w:szCs w:val="28"/>
              </w:rPr>
              <w:fldChar w:fldCharType="begin"/>
            </w:r>
            <w:r>
              <w:rPr>
                <w:rFonts w:eastAsia="方正仿宋简体"/>
                <w:bCs/>
                <w:color w:val="000000"/>
                <w:sz w:val="28"/>
                <w:szCs w:val="28"/>
              </w:rPr>
              <w:instrText xml:space="preserve"> HYPERLINK "http://baike.haosou.com/doc/5370311-5606189.html" \t "http://baike.haosou.com/doc/_blank" </w:instrText>
            </w:r>
            <w:r>
              <w:rPr>
                <w:rFonts w:eastAsia="方正仿宋简体"/>
                <w:bCs/>
                <w:color w:val="000000"/>
                <w:sz w:val="28"/>
                <w:szCs w:val="28"/>
              </w:rPr>
              <w:fldChar w:fldCharType="separate"/>
            </w:r>
            <w:r>
              <w:rPr>
                <w:rFonts w:eastAsia="方正仿宋简体"/>
                <w:bCs/>
                <w:color w:val="000000"/>
                <w:sz w:val="28"/>
                <w:szCs w:val="28"/>
              </w:rPr>
              <w:t>白沙古井</w:t>
            </w:r>
            <w:r>
              <w:rPr>
                <w:rFonts w:eastAsia="方正仿宋简体"/>
                <w:bCs/>
                <w:color w:val="000000"/>
                <w:sz w:val="28"/>
                <w:szCs w:val="28"/>
              </w:rPr>
              <w:fldChar w:fldCharType="end"/>
            </w:r>
            <w:r>
              <w:rPr>
                <w:rFonts w:eastAsia="方正仿宋简体"/>
                <w:bCs/>
                <w:color w:val="000000"/>
                <w:sz w:val="28"/>
                <w:szCs w:val="28"/>
              </w:rPr>
              <w:t>、</w:t>
            </w:r>
            <w:r>
              <w:rPr>
                <w:rFonts w:eastAsia="方正仿宋简体"/>
                <w:bCs/>
                <w:color w:val="000000"/>
                <w:sz w:val="28"/>
                <w:szCs w:val="28"/>
              </w:rPr>
              <w:fldChar w:fldCharType="begin"/>
            </w:r>
            <w:r>
              <w:rPr>
                <w:rFonts w:eastAsia="方正仿宋简体"/>
                <w:bCs/>
                <w:color w:val="000000"/>
                <w:sz w:val="28"/>
                <w:szCs w:val="28"/>
              </w:rPr>
              <w:instrText xml:space="preserve"> HYPERLINK "http://baike.haosou.com/doc/8282675-8599664.html" \t "http://baike.haosou.com/doc/_blank" </w:instrText>
            </w:r>
            <w:r>
              <w:rPr>
                <w:rFonts w:eastAsia="方正仿宋简体"/>
                <w:bCs/>
                <w:color w:val="000000"/>
                <w:sz w:val="28"/>
                <w:szCs w:val="28"/>
              </w:rPr>
              <w:fldChar w:fldCharType="separate"/>
            </w:r>
            <w:r>
              <w:rPr>
                <w:rFonts w:eastAsia="方正仿宋简体"/>
                <w:bCs/>
                <w:color w:val="000000"/>
                <w:sz w:val="28"/>
                <w:szCs w:val="28"/>
              </w:rPr>
              <w:t>浏城桥楚墓</w:t>
            </w:r>
            <w:r>
              <w:rPr>
                <w:rFonts w:eastAsia="方正仿宋简体"/>
                <w:bCs/>
                <w:color w:val="000000"/>
                <w:sz w:val="28"/>
                <w:szCs w:val="28"/>
              </w:rPr>
              <w:fldChar w:fldCharType="end"/>
            </w:r>
            <w:r>
              <w:rPr>
                <w:rFonts w:eastAsia="方正仿宋简体"/>
                <w:bCs/>
                <w:color w:val="000000"/>
                <w:sz w:val="28"/>
                <w:szCs w:val="28"/>
              </w:rPr>
              <w:t>等古迹的保护力度。</w:t>
            </w:r>
          </w:p>
          <w:p>
            <w:pPr>
              <w:adjustRightInd w:val="0"/>
              <w:snapToGrid w:val="0"/>
              <w:spacing w:line="400" w:lineRule="exact"/>
              <w:ind w:firstLine="560" w:firstLineChars="200"/>
              <w:rPr>
                <w:rFonts w:eastAsia="方正仿宋简体"/>
                <w:bCs/>
                <w:color w:val="000000"/>
                <w:sz w:val="28"/>
                <w:szCs w:val="28"/>
              </w:rPr>
            </w:pPr>
            <w:r>
              <w:rPr>
                <w:rFonts w:eastAsia="方正仿宋简体"/>
                <w:color w:val="000000"/>
                <w:sz w:val="28"/>
                <w:szCs w:val="28"/>
              </w:rPr>
              <w:t>名人故居（墓葬）：</w:t>
            </w:r>
            <w:r>
              <w:rPr>
                <w:rFonts w:eastAsia="方正仿宋简体"/>
                <w:bCs/>
                <w:color w:val="000000"/>
                <w:sz w:val="28"/>
                <w:szCs w:val="28"/>
              </w:rPr>
              <w:t>保护好贾谊、曾国藩、左宗棠、谭嗣同、黄兴、蔡锷、毛泽东、刘少奇、胡耀邦等一系列湖湘名人的故居和墓地，规划建设“湖湘名人堂”，用众多名人资源传承湖湘文化，在国内外形成“惟楚有才，于斯为盛”的高度认同。</w:t>
            </w:r>
          </w:p>
        </w:tc>
      </w:tr>
    </w:tbl>
    <w:p>
      <w:pPr>
        <w:adjustRightInd w:val="0"/>
        <w:snapToGrid w:val="0"/>
        <w:spacing w:line="600" w:lineRule="exact"/>
        <w:ind w:firstLine="600" w:firstLineChars="200"/>
        <w:rPr>
          <w:rFonts w:eastAsia="方正仿宋简体"/>
          <w:bCs/>
          <w:color w:val="000000"/>
          <w:sz w:val="30"/>
          <w:szCs w:val="30"/>
        </w:rPr>
      </w:pPr>
      <w:r>
        <w:rPr>
          <w:rFonts w:eastAsia="方正仿宋简体"/>
          <w:bCs/>
          <w:color w:val="000000"/>
          <w:sz w:val="30"/>
          <w:szCs w:val="30"/>
        </w:rPr>
        <w:t>二、保护弘扬非物质文化遗产</w:t>
      </w:r>
    </w:p>
    <w:p>
      <w:pPr>
        <w:adjustRightInd w:val="0"/>
        <w:snapToGrid w:val="0"/>
        <w:spacing w:line="600" w:lineRule="exact"/>
        <w:ind w:firstLine="600" w:firstLineChars="200"/>
        <w:rPr>
          <w:rFonts w:eastAsia="方正仿宋简体"/>
          <w:bCs/>
          <w:color w:val="000000"/>
          <w:sz w:val="30"/>
          <w:szCs w:val="30"/>
        </w:rPr>
      </w:pPr>
      <w:r>
        <w:rPr>
          <w:rFonts w:eastAsia="方正仿宋简体"/>
          <w:bCs/>
          <w:color w:val="000000"/>
          <w:sz w:val="30"/>
          <w:szCs w:val="30"/>
        </w:rPr>
        <w:t>加强非物质文化遗产的普查、认定和登记，推进非物质文化遗产保护名录体系建设。完善非物质文化遗产传承人认定保护机制，传承和振兴湘剧、湘绣、皮影戏、长沙弹词、</w:t>
      </w:r>
      <w:r>
        <w:rPr>
          <w:rFonts w:eastAsia="方正仿宋简体"/>
          <w:color w:val="000000"/>
          <w:sz w:val="30"/>
          <w:szCs w:val="30"/>
        </w:rPr>
        <w:t>菊花石雕、陶瓷技艺、望城剪纸、浏阳夏布等</w:t>
      </w:r>
      <w:r>
        <w:rPr>
          <w:rFonts w:eastAsia="方正仿宋简体"/>
          <w:bCs/>
          <w:color w:val="000000"/>
          <w:sz w:val="30"/>
          <w:szCs w:val="30"/>
        </w:rPr>
        <w:t>传统民间民俗文化遗产，规划建设长沙市非物质文化遗产展示馆。启动“长沙记忆”工程，加大对反映长沙历史发展进程、对国家有保存价值的档案资料的征集整理，加强历史古城遗址、民风民俗名人、老街老字号、方言档案信息数据库建设。积极推动岳麓书院与省内外传统书院联合申报世界文化遗产，彰显“惟楚有才”的文化品牌。鼓励社会力量参与非物质文化遗产的保护和开发，把非物质文化遗产的资源优势转化为经济发展优势，使非物质文化遗产在提升经济价值的同时得到保护和弘扬。</w:t>
      </w:r>
    </w:p>
    <w:p>
      <w:pPr>
        <w:adjustRightInd w:val="0"/>
        <w:snapToGrid w:val="0"/>
        <w:spacing w:line="600" w:lineRule="exact"/>
        <w:ind w:firstLine="600" w:firstLineChars="200"/>
        <w:rPr>
          <w:rFonts w:eastAsia="方正仿宋简体"/>
          <w:bCs/>
          <w:color w:val="000000"/>
          <w:sz w:val="30"/>
          <w:szCs w:val="30"/>
        </w:rPr>
      </w:pPr>
      <w:r>
        <w:rPr>
          <w:rFonts w:eastAsia="方正仿宋简体"/>
          <w:bCs/>
          <w:color w:val="000000"/>
          <w:sz w:val="30"/>
          <w:szCs w:val="30"/>
        </w:rPr>
        <w:t>三、让湖湘文化元素融入城镇乡村</w:t>
      </w:r>
    </w:p>
    <w:p>
      <w:pPr>
        <w:adjustRightInd w:val="0"/>
        <w:snapToGrid w:val="0"/>
        <w:spacing w:line="600" w:lineRule="exact"/>
        <w:ind w:firstLine="555"/>
        <w:rPr>
          <w:rFonts w:eastAsia="方正仿宋简体"/>
          <w:color w:val="000000"/>
          <w:sz w:val="30"/>
          <w:szCs w:val="30"/>
        </w:rPr>
      </w:pPr>
      <w:r>
        <w:rPr>
          <w:rFonts w:eastAsia="方正仿宋简体"/>
          <w:bCs/>
          <w:color w:val="000000"/>
          <w:sz w:val="30"/>
          <w:szCs w:val="30"/>
        </w:rPr>
        <w:t>把历史和文化元素融入城市建设的各个环节，力求把城市建设成为历史底蕴深厚、时代特色鲜明的人文魅力空间。倡导旧城改造在原有街区风貌基础上保护性开发，促进湖湘文化和现代时尚元素融合。注重在新城新区建设中融入传统文化特色，促使与原有城市风貌、人文特征相协调，用各种可视、可读、可感、可消费的文化形态打造若干个具有国际影响的标志性名片，充分体现长沙的湘情湘韵。</w:t>
      </w:r>
      <w:r>
        <w:rPr>
          <w:rFonts w:eastAsia="方正仿宋简体"/>
          <w:color w:val="000000"/>
          <w:sz w:val="30"/>
          <w:szCs w:val="30"/>
        </w:rPr>
        <w:t>在乡镇和农村建设中注重自然景观和乡村民居特色保护，积极挖掘整理历史典故、名人、传说、民俗等资源，让纯朴清新的乡村风貌风情、自然人文景观在新型城镇化进程中得以传承和保护。　</w:t>
      </w:r>
    </w:p>
    <w:p>
      <w:pPr>
        <w:adjustRightInd w:val="0"/>
        <w:snapToGrid w:val="0"/>
        <w:spacing w:before="312" w:beforeLines="100" w:after="312" w:afterLines="100" w:line="600" w:lineRule="exact"/>
        <w:jc w:val="center"/>
        <w:rPr>
          <w:rFonts w:eastAsia="方正仿宋简体"/>
          <w:color w:val="000000"/>
          <w:sz w:val="30"/>
          <w:szCs w:val="30"/>
        </w:rPr>
      </w:pPr>
      <w:r>
        <w:rPr>
          <w:rFonts w:eastAsia="方正仿宋简体"/>
          <w:color w:val="000000"/>
          <w:sz w:val="30"/>
          <w:szCs w:val="30"/>
        </w:rPr>
        <w:t>第二节   推动文化创意与产业发展深度融合</w:t>
      </w:r>
    </w:p>
    <w:p>
      <w:pPr>
        <w:adjustRightInd w:val="0"/>
        <w:snapToGrid w:val="0"/>
        <w:spacing w:line="600" w:lineRule="exact"/>
        <w:ind w:firstLine="600" w:firstLineChars="200"/>
        <w:rPr>
          <w:rFonts w:eastAsia="方正仿宋简体"/>
          <w:bCs/>
          <w:color w:val="000000"/>
          <w:sz w:val="30"/>
          <w:szCs w:val="30"/>
        </w:rPr>
      </w:pPr>
      <w:r>
        <w:rPr>
          <w:rFonts w:eastAsia="方正仿宋简体"/>
          <w:bCs/>
          <w:color w:val="000000"/>
          <w:sz w:val="30"/>
          <w:szCs w:val="30"/>
        </w:rPr>
        <w:t>把握文化与经济融合发展的大趋势，把湖湘文化创意拓展到经济社会发展相关领域，着力打造全国文化创意中心、世界媒体艺术之都。</w:t>
      </w:r>
    </w:p>
    <w:p>
      <w:pPr>
        <w:adjustRightInd w:val="0"/>
        <w:snapToGrid w:val="0"/>
        <w:spacing w:line="600" w:lineRule="exact"/>
        <w:ind w:firstLine="600" w:firstLineChars="200"/>
        <w:rPr>
          <w:rFonts w:eastAsia="方正仿宋简体"/>
          <w:bCs/>
          <w:color w:val="000000"/>
          <w:sz w:val="30"/>
          <w:szCs w:val="30"/>
        </w:rPr>
      </w:pPr>
      <w:r>
        <w:rPr>
          <w:rFonts w:eastAsia="方正仿宋简体"/>
          <w:bCs/>
          <w:color w:val="000000"/>
          <w:sz w:val="30"/>
          <w:szCs w:val="30"/>
        </w:rPr>
        <w:t>一、建设全国性文化产业中心</w:t>
      </w:r>
    </w:p>
    <w:p>
      <w:pPr>
        <w:adjustRightInd w:val="0"/>
        <w:snapToGrid w:val="0"/>
        <w:spacing w:line="600" w:lineRule="exact"/>
        <w:ind w:firstLine="600" w:firstLineChars="200"/>
        <w:rPr>
          <w:rFonts w:eastAsia="方正仿宋简体"/>
          <w:color w:val="000000"/>
          <w:sz w:val="30"/>
          <w:szCs w:val="30"/>
        </w:rPr>
      </w:pPr>
      <w:r>
        <w:rPr>
          <w:rFonts w:eastAsia="方正仿宋简体"/>
          <w:bCs/>
          <w:color w:val="000000"/>
          <w:sz w:val="30"/>
          <w:szCs w:val="30"/>
        </w:rPr>
        <w:t>大力促进文化产业升级和文化市场繁荣，推动文化产业发展水平和竞争力进一步提升，把长沙建设成为全国重要的文化创新、运营、交易和体验中心。</w:t>
      </w:r>
      <w:r>
        <w:rPr>
          <w:rFonts w:eastAsia="方正仿宋简体"/>
          <w:color w:val="000000"/>
          <w:sz w:val="30"/>
          <w:szCs w:val="30"/>
        </w:rPr>
        <w:t>到2020年，</w:t>
      </w:r>
      <w:r>
        <w:rPr>
          <w:rFonts w:eastAsia="方正仿宋简体"/>
          <w:bCs/>
          <w:color w:val="000000"/>
          <w:sz w:val="30"/>
          <w:szCs w:val="30"/>
        </w:rPr>
        <w:t>力争</w:t>
      </w:r>
      <w:r>
        <w:rPr>
          <w:rFonts w:eastAsia="方正仿宋简体"/>
          <w:color w:val="000000"/>
          <w:sz w:val="30"/>
          <w:szCs w:val="30"/>
        </w:rPr>
        <w:t>全市文化产业增加值占地区生产总值比重超过10%。</w:t>
      </w:r>
    </w:p>
    <w:p>
      <w:pPr>
        <w:adjustRightInd w:val="0"/>
        <w:snapToGrid w:val="0"/>
        <w:spacing w:line="600" w:lineRule="exact"/>
        <w:ind w:firstLine="600" w:firstLineChars="200"/>
        <w:rPr>
          <w:rFonts w:eastAsia="方正仿宋简体"/>
          <w:color w:val="000000"/>
          <w:sz w:val="30"/>
          <w:szCs w:val="30"/>
        </w:rPr>
      </w:pPr>
      <w:r>
        <w:rPr>
          <w:rFonts w:eastAsia="方正仿宋简体"/>
          <w:color w:val="000000"/>
          <w:sz w:val="30"/>
          <w:szCs w:val="30"/>
        </w:rPr>
        <w:t>1、</w:t>
      </w:r>
      <w:r>
        <w:rPr>
          <w:rFonts w:eastAsia="方正仿宋简体"/>
          <w:bCs/>
          <w:color w:val="000000"/>
          <w:sz w:val="30"/>
          <w:szCs w:val="30"/>
        </w:rPr>
        <w:t>提升文化产业竞争实力。实施文化主导产业高端化发展战略，</w:t>
      </w:r>
      <w:r>
        <w:rPr>
          <w:rFonts w:eastAsia="方正仿宋简体"/>
          <w:color w:val="000000"/>
          <w:sz w:val="30"/>
          <w:szCs w:val="30"/>
        </w:rPr>
        <w:t>以整合优势资源、促进集群发展为重要着力点，巩固和扩大“影视湘军”、“文艺湘军”、“出版湘军”、“动漫湘军”等特色文化产业优势。</w:t>
      </w:r>
      <w:r>
        <w:rPr>
          <w:rFonts w:eastAsia="方正仿宋简体"/>
          <w:bCs/>
          <w:color w:val="000000"/>
          <w:sz w:val="30"/>
          <w:szCs w:val="30"/>
        </w:rPr>
        <w:t>实施休闲文化产业品质化发展战略，大力支持休闲文化产业的品牌推广、产品出新、品质提升和</w:t>
      </w:r>
      <w:r>
        <w:rPr>
          <w:rFonts w:eastAsia="方正仿宋简体"/>
          <w:color w:val="000000"/>
          <w:sz w:val="30"/>
          <w:szCs w:val="30"/>
        </w:rPr>
        <w:t>链条延伸</w:t>
      </w:r>
      <w:r>
        <w:rPr>
          <w:rFonts w:eastAsia="方正仿宋简体"/>
          <w:bCs/>
          <w:color w:val="000000"/>
          <w:sz w:val="30"/>
          <w:szCs w:val="30"/>
        </w:rPr>
        <w:t>，让驰名全国的长沙“酒吧文化”、“歌厅文化”、“养生文化”、“美食文化”、“休闲文化”成为传播湖湘现代文化的重要载体。</w:t>
      </w:r>
      <w:r>
        <w:rPr>
          <w:rFonts w:eastAsia="方正仿宋简体"/>
          <w:color w:val="000000"/>
          <w:sz w:val="30"/>
          <w:szCs w:val="30"/>
        </w:rPr>
        <w:t>实施地方文化产业特色化发展战略，充分挖掘长沙传统工艺等资源优势，推动地方文化产业特色化、差异化发展。</w:t>
      </w:r>
    </w:p>
    <w:p>
      <w:pPr>
        <w:adjustRightInd w:val="0"/>
        <w:snapToGrid w:val="0"/>
        <w:spacing w:line="600" w:lineRule="exact"/>
        <w:ind w:firstLine="600" w:firstLineChars="200"/>
        <w:rPr>
          <w:rFonts w:eastAsia="方正仿宋简体"/>
          <w:color w:val="000000"/>
          <w:sz w:val="30"/>
          <w:szCs w:val="30"/>
        </w:rPr>
      </w:pPr>
      <w:r>
        <w:rPr>
          <w:rFonts w:eastAsia="方正仿宋简体"/>
          <w:bCs/>
          <w:color w:val="000000"/>
          <w:sz w:val="30"/>
          <w:szCs w:val="30"/>
        </w:rPr>
        <w:t>2、培育新型文化市场主体。</w:t>
      </w:r>
      <w:r>
        <w:rPr>
          <w:rFonts w:eastAsia="方正仿宋简体"/>
          <w:color w:val="000000"/>
          <w:sz w:val="30"/>
          <w:szCs w:val="30"/>
        </w:rPr>
        <w:t>按照强文化产业突出强市场主体的思路，着力在广播电视、新闻出版、动漫游戏、服务外包等优势行</w:t>
      </w:r>
      <w:r>
        <w:rPr>
          <w:rFonts w:eastAsia="方正仿宋简体"/>
          <w:color w:val="000000"/>
          <w:spacing w:val="6"/>
          <w:sz w:val="30"/>
          <w:szCs w:val="30"/>
        </w:rPr>
        <w:t>业深度挖掘，围绕地方特色文化资源培育多元化市场主体。加强</w:t>
      </w:r>
      <w:r>
        <w:rPr>
          <w:rFonts w:eastAsia="方正仿宋简体"/>
          <w:color w:val="000000"/>
          <w:sz w:val="30"/>
          <w:szCs w:val="30"/>
        </w:rPr>
        <w:t>与国内外文化产业巨头、战略投资者和国内文化产业100强企业对接，培育大型文化创意集团，支持文化产业龙头企业快速发展，带动“专、精、特、新”中小文化企业发展，打造优势互补、整体作战的湖湘文化产业集团军。大力推进华强美丽中国·长沙文化产业示范园、华谊兄弟电影文化城、长沙新华联铜官窑国际文化旅游度假区、湘台文创园、后湖国际艺术区、金鹰文化创意产业园等重大项目建设，打造形成精美的文化名片。</w:t>
      </w:r>
    </w:p>
    <w:p>
      <w:pPr>
        <w:adjustRightInd w:val="0"/>
        <w:snapToGrid w:val="0"/>
        <w:spacing w:line="600" w:lineRule="exact"/>
        <w:ind w:firstLine="600" w:firstLineChars="200"/>
        <w:rPr>
          <w:rFonts w:hint="eastAsia" w:eastAsia="方正仿宋简体"/>
          <w:color w:val="000000"/>
          <w:sz w:val="30"/>
          <w:szCs w:val="30"/>
        </w:rPr>
      </w:pPr>
      <w:r>
        <w:rPr>
          <w:rFonts w:eastAsia="方正仿宋简体"/>
          <w:bCs/>
          <w:color w:val="000000"/>
          <w:sz w:val="30"/>
          <w:szCs w:val="30"/>
        </w:rPr>
        <w:t>3、优化文化产业发展环境。</w:t>
      </w:r>
      <w:r>
        <w:rPr>
          <w:rFonts w:eastAsia="方正仿宋简体"/>
          <w:color w:val="000000"/>
          <w:sz w:val="30"/>
          <w:szCs w:val="30"/>
        </w:rPr>
        <w:t>优化政策环境。完善和健全市场的准入、交易、竞争、监督、管理、服务等方面的政策法规，完善文化产业政策体系。优化市场环境。着力培育文化要素市场，成立长沙文化产权交易所、版权交易所和设计交易市场，促进文化中介组织的发育，提升文化产品创作、生产、交易的功能。健全文化资产评估机制，构建文化产权保护体系，加大对文化产品和品牌的保护。优化融资环境。完善文化创意产业投融资机制，健全融资服务平台，鼓励金融和保险机构开发面向文化创意产业的金融产品。促进文化与资本深度对接。</w:t>
      </w:r>
    </w:p>
    <w:p>
      <w:pPr>
        <w:adjustRightInd w:val="0"/>
        <w:snapToGrid w:val="0"/>
        <w:spacing w:line="600" w:lineRule="exact"/>
        <w:jc w:val="center"/>
        <w:rPr>
          <w:rFonts w:hint="eastAsia" w:ascii="黑体" w:eastAsia="黑体"/>
          <w:color w:val="000000"/>
          <w:sz w:val="28"/>
          <w:szCs w:val="28"/>
        </w:rPr>
      </w:pPr>
      <w:r>
        <w:rPr>
          <w:rFonts w:hint="eastAsia" w:ascii="黑体" w:eastAsia="黑体"/>
          <w:color w:val="000000"/>
          <w:sz w:val="28"/>
          <w:szCs w:val="28"/>
        </w:rPr>
        <w:t>专栏22：文化产业发展重点</w:t>
      </w:r>
    </w:p>
    <w:tbl>
      <w:tblPr>
        <w:tblStyle w:val="15"/>
        <w:tblW w:w="0" w:type="auto"/>
        <w:jc w:val="center"/>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Layout w:type="fixed"/>
        <w:tblCellMar>
          <w:top w:w="0" w:type="dxa"/>
          <w:left w:w="108" w:type="dxa"/>
          <w:bottom w:w="0" w:type="dxa"/>
          <w:right w:w="108" w:type="dxa"/>
        </w:tblCellMar>
      </w:tblPr>
      <w:tblGrid>
        <w:gridCol w:w="8522"/>
      </w:tblGrid>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PrEx>
        <w:trPr>
          <w:trHeight w:val="3184" w:hRule="atLeast"/>
          <w:jc w:val="center"/>
        </w:trPr>
        <w:tc>
          <w:tcPr>
            <w:tcW w:w="8522" w:type="dxa"/>
            <w:noWrap w:val="0"/>
            <w:vAlign w:val="center"/>
          </w:tcPr>
          <w:p>
            <w:pPr>
              <w:adjustRightInd w:val="0"/>
              <w:snapToGrid w:val="0"/>
              <w:spacing w:line="400" w:lineRule="exact"/>
              <w:ind w:firstLine="560" w:firstLineChars="200"/>
              <w:rPr>
                <w:rFonts w:eastAsia="方正仿宋简体"/>
                <w:color w:val="000000"/>
                <w:sz w:val="28"/>
                <w:szCs w:val="28"/>
              </w:rPr>
            </w:pPr>
            <w:r>
              <w:rPr>
                <w:rFonts w:eastAsia="方正仿宋简体"/>
                <w:bCs/>
                <w:color w:val="000000"/>
                <w:sz w:val="28"/>
                <w:szCs w:val="28"/>
              </w:rPr>
              <w:t>影视传媒。</w:t>
            </w:r>
            <w:r>
              <w:rPr>
                <w:rFonts w:eastAsia="方正仿宋简体"/>
                <w:color w:val="000000"/>
                <w:sz w:val="28"/>
                <w:szCs w:val="28"/>
              </w:rPr>
              <w:t>以湖南广电集团、长沙广电集团为依托，支持互联网技术下的媒体内容开放式制作与个性化推送新模式，推动移动媒体、数字电视、互联网媒体等新媒体发展，建设具有国际影响力的信息传播枢纽城市和影视产品制作中心。</w:t>
            </w:r>
          </w:p>
          <w:p>
            <w:pPr>
              <w:adjustRightInd w:val="0"/>
              <w:snapToGrid w:val="0"/>
              <w:spacing w:line="400" w:lineRule="exact"/>
              <w:ind w:firstLine="560" w:firstLineChars="200"/>
              <w:rPr>
                <w:rFonts w:eastAsia="方正仿宋简体"/>
                <w:color w:val="000000"/>
                <w:sz w:val="28"/>
                <w:szCs w:val="28"/>
              </w:rPr>
            </w:pPr>
            <w:r>
              <w:rPr>
                <w:rFonts w:eastAsia="方正仿宋简体"/>
                <w:bCs/>
                <w:color w:val="000000"/>
                <w:sz w:val="28"/>
                <w:szCs w:val="28"/>
              </w:rPr>
              <w:t>新闻出版。</w:t>
            </w:r>
            <w:r>
              <w:rPr>
                <w:rFonts w:eastAsia="方正仿宋简体"/>
                <w:color w:val="000000"/>
                <w:sz w:val="28"/>
                <w:szCs w:val="28"/>
              </w:rPr>
              <w:t>拓展图书、音像、电子网络、动漫游戏出版和印刷行业，推动传统出版和数字出版产业功能的融合发展，打造中南地区重要的出版物发行配送中心和印刷包装基地。</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PrEx>
        <w:trPr>
          <w:trHeight w:val="4648" w:hRule="atLeast"/>
          <w:jc w:val="center"/>
        </w:trPr>
        <w:tc>
          <w:tcPr>
            <w:tcW w:w="8522" w:type="dxa"/>
            <w:noWrap w:val="0"/>
            <w:vAlign w:val="center"/>
          </w:tcPr>
          <w:p>
            <w:pPr>
              <w:adjustRightInd w:val="0"/>
              <w:snapToGrid w:val="0"/>
              <w:spacing w:line="380" w:lineRule="exact"/>
              <w:ind w:firstLine="560" w:firstLineChars="200"/>
              <w:rPr>
                <w:rFonts w:eastAsia="方正仿宋简体"/>
                <w:color w:val="000000"/>
                <w:sz w:val="28"/>
                <w:szCs w:val="28"/>
              </w:rPr>
            </w:pPr>
            <w:r>
              <w:rPr>
                <w:rFonts w:eastAsia="方正仿宋简体"/>
                <w:bCs/>
                <w:color w:val="000000"/>
                <w:sz w:val="28"/>
                <w:szCs w:val="28"/>
              </w:rPr>
              <w:t>演艺娱乐。</w:t>
            </w:r>
            <w:r>
              <w:rPr>
                <w:rFonts w:eastAsia="方正仿宋简体"/>
                <w:color w:val="000000"/>
                <w:sz w:val="28"/>
                <w:szCs w:val="28"/>
              </w:rPr>
              <w:t>提升发展歌厅、酒吧等雅俗共赏的演艺娱乐业，支持有条件的机构积极承接各类国际一流水平的话剧、舞台剧、音乐会，培育形成若干个核心竞争力强的演艺娱乐产业集团，提升娱乐产业品牌价值。</w:t>
            </w:r>
          </w:p>
          <w:p>
            <w:pPr>
              <w:adjustRightInd w:val="0"/>
              <w:snapToGrid w:val="0"/>
              <w:spacing w:line="380" w:lineRule="exact"/>
              <w:ind w:firstLine="560" w:firstLineChars="200"/>
              <w:rPr>
                <w:rFonts w:eastAsia="方正仿宋简体"/>
                <w:color w:val="000000"/>
                <w:sz w:val="28"/>
                <w:szCs w:val="28"/>
              </w:rPr>
            </w:pPr>
            <w:r>
              <w:rPr>
                <w:rFonts w:eastAsia="方正仿宋简体"/>
                <w:bCs/>
                <w:color w:val="000000"/>
                <w:sz w:val="28"/>
                <w:szCs w:val="28"/>
              </w:rPr>
              <w:t>创意设计。</w:t>
            </w:r>
            <w:r>
              <w:rPr>
                <w:rFonts w:eastAsia="方正仿宋简体"/>
                <w:color w:val="000000"/>
                <w:sz w:val="28"/>
                <w:szCs w:val="28"/>
              </w:rPr>
              <w:t>实施设计产业提升计划，大力发展先进装备制造、汽车、电子通讯产品、包装、模具等工业设计，以及建筑设计、时尚设计、园林设计、广告设计等，建设全国重要的设计创新基地和工业设计创新中心。</w:t>
            </w:r>
          </w:p>
          <w:p>
            <w:pPr>
              <w:adjustRightInd w:val="0"/>
              <w:snapToGrid w:val="0"/>
              <w:spacing w:line="380" w:lineRule="exact"/>
              <w:ind w:firstLine="560" w:firstLineChars="200"/>
              <w:rPr>
                <w:rFonts w:eastAsia="方正仿宋简体"/>
                <w:bCs/>
                <w:color w:val="000000"/>
                <w:sz w:val="28"/>
                <w:szCs w:val="28"/>
              </w:rPr>
            </w:pPr>
            <w:r>
              <w:rPr>
                <w:rFonts w:eastAsia="方正仿宋简体"/>
                <w:bCs/>
                <w:color w:val="000000"/>
                <w:sz w:val="28"/>
                <w:szCs w:val="28"/>
              </w:rPr>
              <w:t>动漫游戏。</w:t>
            </w:r>
            <w:r>
              <w:rPr>
                <w:rFonts w:eastAsia="方正仿宋简体"/>
                <w:color w:val="000000"/>
                <w:sz w:val="28"/>
                <w:szCs w:val="28"/>
              </w:rPr>
              <w:t>大力发展影视动画、漫画、动漫软件制作等产业，支持企业加快研发具有自主知识产权的网络游戏引擎、3D动漫电影等新兴实用技术。支持动漫游戏周边、动漫角色扮演、动漫舞台剧等配套产业发展，推进体感游戏等新模式、新业态发展。</w:t>
            </w:r>
          </w:p>
        </w:tc>
      </w:tr>
    </w:tbl>
    <w:p>
      <w:pPr>
        <w:adjustRightInd w:val="0"/>
        <w:snapToGrid w:val="0"/>
        <w:spacing w:line="580" w:lineRule="exact"/>
        <w:ind w:firstLine="600" w:firstLineChars="200"/>
        <w:rPr>
          <w:rFonts w:eastAsia="方正仿宋简体"/>
          <w:bCs/>
          <w:color w:val="000000"/>
          <w:sz w:val="30"/>
          <w:szCs w:val="30"/>
        </w:rPr>
      </w:pPr>
      <w:r>
        <w:rPr>
          <w:rFonts w:eastAsia="方正仿宋简体"/>
          <w:bCs/>
          <w:color w:val="000000"/>
          <w:sz w:val="30"/>
          <w:szCs w:val="30"/>
        </w:rPr>
        <w:t>二、推动文化跨界融合发展</w:t>
      </w:r>
    </w:p>
    <w:p>
      <w:pPr>
        <w:adjustRightInd w:val="0"/>
        <w:snapToGrid w:val="0"/>
        <w:spacing w:line="580" w:lineRule="exact"/>
        <w:ind w:firstLine="600" w:firstLineChars="200"/>
        <w:rPr>
          <w:rFonts w:eastAsia="方正仿宋简体"/>
          <w:color w:val="000000"/>
          <w:sz w:val="30"/>
          <w:szCs w:val="30"/>
        </w:rPr>
      </w:pPr>
      <w:r>
        <w:rPr>
          <w:rFonts w:eastAsia="方正仿宋简体"/>
          <w:color w:val="000000"/>
          <w:sz w:val="30"/>
          <w:szCs w:val="30"/>
        </w:rPr>
        <w:t>加快文化创意与相关产业的深度融合，推动项目对接、业态对接和资本对接，促进经济结构调整和发展方式转变，释放湖湘文化拉动经济的最大效应。</w:t>
      </w:r>
    </w:p>
    <w:p>
      <w:pPr>
        <w:adjustRightInd w:val="0"/>
        <w:snapToGrid w:val="0"/>
        <w:spacing w:line="580" w:lineRule="exact"/>
        <w:ind w:firstLine="600" w:firstLineChars="200"/>
        <w:rPr>
          <w:rFonts w:eastAsia="方正仿宋简体"/>
          <w:color w:val="000000"/>
          <w:sz w:val="30"/>
          <w:szCs w:val="30"/>
        </w:rPr>
      </w:pPr>
      <w:r>
        <w:rPr>
          <w:rFonts w:eastAsia="方正仿宋简体"/>
          <w:color w:val="000000"/>
          <w:sz w:val="30"/>
          <w:szCs w:val="30"/>
        </w:rPr>
        <w:t>1、</w:t>
      </w:r>
      <w:r>
        <w:rPr>
          <w:rFonts w:eastAsia="方正仿宋简体"/>
          <w:bCs/>
          <w:color w:val="000000"/>
          <w:sz w:val="30"/>
          <w:szCs w:val="30"/>
        </w:rPr>
        <w:t>推动创意设计与制造业深度融合</w:t>
      </w:r>
      <w:r>
        <w:rPr>
          <w:rFonts w:eastAsia="方正仿宋简体"/>
          <w:color w:val="000000"/>
          <w:sz w:val="30"/>
          <w:szCs w:val="30"/>
        </w:rPr>
        <w:t>。整合在长高校及各类设计院所的优势资源，针对先进装备制造、工程机械、轻工与包装等行业，打造一批具有国际竞争力的工业设计品牌，增强工业设计对产品、企业和产业竞争的支撑能力。大力发展高端工艺美术业，加快推进沙坪湘绣产业园、湖南湘绣城、顺龙国际工艺美术品产业基地、铜官陶瓷创意产业基地、隆平高科园红瓷产业基地建设，提升工艺礼品产业研发设计和生产营销能力。</w:t>
      </w:r>
    </w:p>
    <w:p>
      <w:pPr>
        <w:adjustRightInd w:val="0"/>
        <w:snapToGrid w:val="0"/>
        <w:spacing w:line="580" w:lineRule="exact"/>
        <w:ind w:firstLine="600" w:firstLineChars="200"/>
        <w:rPr>
          <w:rFonts w:eastAsia="方正仿宋简体"/>
          <w:color w:val="000000"/>
          <w:sz w:val="30"/>
          <w:szCs w:val="30"/>
        </w:rPr>
      </w:pPr>
      <w:r>
        <w:rPr>
          <w:rFonts w:eastAsia="方正仿宋简体"/>
          <w:bCs/>
          <w:color w:val="000000"/>
          <w:sz w:val="30"/>
          <w:szCs w:val="30"/>
        </w:rPr>
        <w:t>2、</w:t>
      </w:r>
      <w:r>
        <w:rPr>
          <w:rFonts w:eastAsia="方正仿宋简体"/>
          <w:bCs/>
          <w:color w:val="000000"/>
          <w:spacing w:val="4"/>
          <w:sz w:val="30"/>
          <w:szCs w:val="30"/>
        </w:rPr>
        <w:t>强化湖湘文化与旅游业深度融合。</w:t>
      </w:r>
      <w:r>
        <w:rPr>
          <w:rFonts w:eastAsia="方正仿宋简体"/>
          <w:color w:val="000000"/>
          <w:spacing w:val="4"/>
          <w:sz w:val="30"/>
          <w:szCs w:val="30"/>
        </w:rPr>
        <w:t>深度挖掘历史文化、红色文化、影视文化、山水文化、创意文化及民俗文化等独特资源，实施“五色”旅游工程，打造一批具有湖湘特色的人文景观和旅游产品。以“醉美浏阳河、神奇九道湾”为主题，发挥“名河、名歌、</w:t>
      </w:r>
      <w:r>
        <w:rPr>
          <w:rFonts w:eastAsia="方正仿宋简体"/>
          <w:color w:val="000000"/>
          <w:sz w:val="30"/>
          <w:szCs w:val="30"/>
        </w:rPr>
        <w:t>名人、名址、名景”的产业聚集效应，加快推进浏阳河文化旅游产业带建设。推动音乐、影视、绘画、艺术和休闲等领域的娱乐文化旅游发展，打造一批湖湘标识明显、文化品位高、震撼力强的演艺产品。推动特色文博和主题文化旅游发展，多维度展示长沙的“山水洲城”、历史古韵和湖湘文化魅力。</w:t>
      </w:r>
    </w:p>
    <w:p>
      <w:pPr>
        <w:adjustRightInd w:val="0"/>
        <w:snapToGrid w:val="0"/>
        <w:spacing w:line="600" w:lineRule="exact"/>
        <w:ind w:firstLine="600" w:firstLineChars="200"/>
        <w:rPr>
          <w:rFonts w:hint="eastAsia" w:eastAsia="方正仿宋简体"/>
          <w:bCs/>
          <w:color w:val="000000"/>
          <w:sz w:val="30"/>
          <w:szCs w:val="30"/>
        </w:rPr>
      </w:pPr>
      <w:r>
        <w:rPr>
          <w:rFonts w:eastAsia="方正仿宋简体"/>
          <w:color w:val="000000"/>
          <w:sz w:val="30"/>
          <w:szCs w:val="30"/>
        </w:rPr>
        <w:t>3、</w:t>
      </w:r>
      <w:r>
        <w:rPr>
          <w:rFonts w:eastAsia="方正仿宋简体"/>
          <w:bCs/>
          <w:color w:val="000000"/>
          <w:sz w:val="30"/>
          <w:szCs w:val="30"/>
        </w:rPr>
        <w:t>加快文化创意与科技深度融合。</w:t>
      </w:r>
      <w:r>
        <w:rPr>
          <w:rFonts w:eastAsia="方正仿宋简体"/>
          <w:color w:val="000000"/>
          <w:sz w:val="30"/>
          <w:szCs w:val="30"/>
        </w:rPr>
        <w:t>注重以科技改进湖湘文化传播方式、丰富湖湘文化表现形式、创新湖湘文化发展样式，加强湖湘文化创意与科技创新的互动，促进文化产业升级。重点在立体电视内容制播、数字高清电影、网络游戏、演艺产品创作生产、非物质文化遗产保护与古籍保护、“三馆一厅”数字展览展示、公共文化服务网络等领域开展创新示范，推动文化产品和服务的数字化、网络化进程，培育科技和文化双向深度融合的新兴业态。</w:t>
      </w:r>
      <w:r>
        <w:rPr>
          <w:rFonts w:eastAsia="方正仿宋简体"/>
          <w:bCs/>
          <w:color w:val="000000"/>
          <w:sz w:val="30"/>
          <w:szCs w:val="30"/>
        </w:rPr>
        <w:t>运用现代科技手段，推进湖湘文化重要典籍、书籍、文献的数字化，精心打造一批湖湘文化视觉盛宴，谋划推出一批优质影视节目，全面扩大湖湘文化在全国乃至全球的影响力。</w:t>
      </w:r>
    </w:p>
    <w:p>
      <w:pPr>
        <w:adjustRightInd w:val="0"/>
        <w:snapToGrid w:val="0"/>
        <w:spacing w:line="600" w:lineRule="exact"/>
        <w:jc w:val="center"/>
        <w:rPr>
          <w:rFonts w:hint="eastAsia" w:eastAsia="方正仿宋简体"/>
          <w:bCs/>
          <w:color w:val="000000"/>
          <w:sz w:val="30"/>
          <w:szCs w:val="30"/>
        </w:rPr>
      </w:pPr>
      <w:r>
        <w:rPr>
          <w:rFonts w:hint="eastAsia" w:ascii="黑体" w:eastAsia="黑体"/>
          <w:color w:val="000000"/>
          <w:sz w:val="28"/>
          <w:szCs w:val="28"/>
        </w:rPr>
        <w:t>专栏23： “五色”文化旅游建设工程</w:t>
      </w:r>
    </w:p>
    <w:tbl>
      <w:tblPr>
        <w:tblStyle w:val="15"/>
        <w:tblW w:w="0" w:type="auto"/>
        <w:jc w:val="center"/>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Layout w:type="fixed"/>
        <w:tblCellMar>
          <w:top w:w="0" w:type="dxa"/>
          <w:left w:w="108" w:type="dxa"/>
          <w:bottom w:w="0" w:type="dxa"/>
          <w:right w:w="108" w:type="dxa"/>
        </w:tblCellMar>
      </w:tblPr>
      <w:tblGrid>
        <w:gridCol w:w="8522"/>
      </w:tblGrid>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PrEx>
        <w:trPr>
          <w:trHeight w:val="3719" w:hRule="atLeast"/>
          <w:jc w:val="center"/>
        </w:trPr>
        <w:tc>
          <w:tcPr>
            <w:tcW w:w="8522" w:type="dxa"/>
            <w:noWrap w:val="0"/>
            <w:vAlign w:val="top"/>
          </w:tcPr>
          <w:p>
            <w:pPr>
              <w:adjustRightInd w:val="0"/>
              <w:snapToGrid w:val="0"/>
              <w:spacing w:line="400" w:lineRule="exact"/>
              <w:ind w:firstLine="560" w:firstLineChars="200"/>
              <w:rPr>
                <w:rFonts w:eastAsia="方正仿宋简体"/>
                <w:color w:val="000000"/>
                <w:sz w:val="28"/>
                <w:szCs w:val="28"/>
              </w:rPr>
            </w:pPr>
            <w:r>
              <w:rPr>
                <w:rFonts w:eastAsia="方正仿宋简体"/>
                <w:bCs/>
                <w:color w:val="000000"/>
                <w:sz w:val="28"/>
                <w:szCs w:val="28"/>
              </w:rPr>
              <w:t>古色旅游。</w:t>
            </w:r>
            <w:r>
              <w:rPr>
                <w:rFonts w:eastAsia="方正仿宋简体"/>
                <w:color w:val="000000"/>
                <w:sz w:val="28"/>
                <w:szCs w:val="28"/>
              </w:rPr>
              <w:t>坚持保护和开发并重的原则，让古色古香的湖湘文明重新焕发生机。重点打造古街（区）、古镇（村）、古遗址、古寺等古色旅游景区。</w:t>
            </w:r>
          </w:p>
          <w:p>
            <w:pPr>
              <w:adjustRightInd w:val="0"/>
              <w:snapToGrid w:val="0"/>
              <w:spacing w:line="400" w:lineRule="exact"/>
              <w:ind w:firstLine="560" w:firstLineChars="200"/>
              <w:rPr>
                <w:rFonts w:eastAsia="方正仿宋简体"/>
                <w:color w:val="000000"/>
                <w:sz w:val="28"/>
                <w:szCs w:val="28"/>
              </w:rPr>
            </w:pPr>
            <w:r>
              <w:rPr>
                <w:rFonts w:eastAsia="方正仿宋简体"/>
                <w:bCs/>
                <w:color w:val="000000"/>
                <w:sz w:val="28"/>
                <w:szCs w:val="28"/>
              </w:rPr>
              <w:t>红色旅游。</w:t>
            </w:r>
            <w:r>
              <w:rPr>
                <w:rFonts w:eastAsia="方正仿宋简体"/>
                <w:color w:val="000000"/>
                <w:sz w:val="28"/>
                <w:szCs w:val="28"/>
              </w:rPr>
              <w:t>整合第一师范毛泽东纪念馆、清水塘旧址、新民学会旧址、烈士公园以及秋收起义文家市会师旧址等红色旅游资源，开发精品路线，积极发挥长沙红色旅游的爱国主义和革命传统教育作用。规划建设长沙革命历史纪念馆、黄兴纪念馆、抗战遗址公园等革命纪念场所，扩大长沙作为革命圣地和英雄之城的影响力。</w:t>
            </w:r>
          </w:p>
          <w:p>
            <w:pPr>
              <w:adjustRightInd w:val="0"/>
              <w:snapToGrid w:val="0"/>
              <w:spacing w:line="400" w:lineRule="exact"/>
              <w:ind w:firstLine="544" w:firstLineChars="200"/>
              <w:rPr>
                <w:rFonts w:eastAsia="方正仿宋简体"/>
                <w:bCs/>
                <w:color w:val="000000"/>
                <w:sz w:val="24"/>
                <w:szCs w:val="24"/>
              </w:rPr>
            </w:pPr>
            <w:r>
              <w:rPr>
                <w:rFonts w:eastAsia="方正仿宋简体"/>
                <w:bCs/>
                <w:color w:val="000000"/>
                <w:spacing w:val="-4"/>
                <w:sz w:val="28"/>
                <w:szCs w:val="28"/>
              </w:rPr>
              <w:t>绿色旅游。</w:t>
            </w:r>
            <w:r>
              <w:rPr>
                <w:rFonts w:eastAsia="方正仿宋简体"/>
                <w:color w:val="000000"/>
                <w:spacing w:val="-4"/>
                <w:sz w:val="28"/>
                <w:szCs w:val="28"/>
              </w:rPr>
              <w:t>建设湘江百里人文景观，配套城市库区游、生态游和文</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PrEx>
        <w:trPr>
          <w:trHeight w:val="6833" w:hRule="atLeast"/>
          <w:jc w:val="center"/>
        </w:trPr>
        <w:tc>
          <w:tcPr>
            <w:tcW w:w="8522" w:type="dxa"/>
            <w:noWrap w:val="0"/>
            <w:vAlign w:val="top"/>
          </w:tcPr>
          <w:p>
            <w:pPr>
              <w:adjustRightInd w:val="0"/>
              <w:snapToGrid w:val="0"/>
              <w:spacing w:line="400" w:lineRule="exact"/>
              <w:rPr>
                <w:rFonts w:eastAsia="方正仿宋简体"/>
                <w:color w:val="000000"/>
                <w:sz w:val="28"/>
                <w:szCs w:val="28"/>
              </w:rPr>
            </w:pPr>
            <w:r>
              <w:rPr>
                <w:rFonts w:eastAsia="方正仿宋简体"/>
                <w:color w:val="000000"/>
                <w:sz w:val="28"/>
                <w:szCs w:val="28"/>
              </w:rPr>
              <w:t>化游的软硬件设施。依托梅溪湖、西湖、石燕湖、千龙湖等建设文化体验平台和生态休闲平台。保护好岳麓山-橘子洲景区生态环境，提升“山水洲城”旅游品质。依托山水资源，规划建设自行车绿道。继续办好世界休闲农业和乡村旅游城市联盟峰会，促进现代农业、湿地经济、休闲旅游融合发展。依托道吾山、大围山、黑糜峰、沩山、香山、影珠山等地的生态资源，建设国家休闲旅游度假区和房车露营基地。加快长沙县北部乡镇生态旅游开发，打造特色乡村生态旅游度假带。</w:t>
            </w:r>
          </w:p>
          <w:p>
            <w:pPr>
              <w:adjustRightInd w:val="0"/>
              <w:snapToGrid w:val="0"/>
              <w:spacing w:line="400" w:lineRule="exact"/>
              <w:ind w:firstLine="560" w:firstLineChars="200"/>
              <w:rPr>
                <w:rFonts w:eastAsia="方正仿宋简体"/>
                <w:color w:val="000000"/>
                <w:sz w:val="28"/>
                <w:szCs w:val="28"/>
              </w:rPr>
            </w:pPr>
            <w:r>
              <w:rPr>
                <w:rFonts w:eastAsia="方正仿宋简体"/>
                <w:color w:val="000000"/>
                <w:sz w:val="28"/>
                <w:szCs w:val="28"/>
              </w:rPr>
              <w:t>橙色旅游。</w:t>
            </w:r>
            <w:r>
              <w:rPr>
                <w:rFonts w:eastAsia="方正仿宋简体"/>
                <w:color w:val="000000"/>
                <w:kern w:val="0"/>
                <w:sz w:val="28"/>
                <w:szCs w:val="28"/>
              </w:rPr>
              <w:t xml:space="preserve">充分利用湖南广电集团、长沙广电集团、湖南出版集团等“影视出版湘军”的品牌优势，以影视出版产业带动旅游业发展。 积极办好“金鹰电视艺术节”、国际图书展与版权交易会等大型节会，开展观众体验影视拍摄等相关旅游主题活动，催生新的旅游项目。在优秀的影视、出版作品和节目中融入湖湘文化元素，让游客跟着影视出版作品来长游玩成为时尚。 </w:t>
            </w:r>
          </w:p>
          <w:p>
            <w:pPr>
              <w:adjustRightInd w:val="0"/>
              <w:snapToGrid w:val="0"/>
              <w:spacing w:line="400" w:lineRule="exact"/>
              <w:rPr>
                <w:rFonts w:hint="eastAsia" w:eastAsia="方正仿宋简体"/>
                <w:bCs/>
                <w:color w:val="000000"/>
                <w:sz w:val="28"/>
                <w:szCs w:val="28"/>
              </w:rPr>
            </w:pPr>
            <w:r>
              <w:rPr>
                <w:rFonts w:eastAsia="方正仿宋简体"/>
                <w:bCs/>
                <w:color w:val="000000"/>
                <w:sz w:val="28"/>
                <w:szCs w:val="28"/>
              </w:rPr>
              <w:t>彩色旅游。</w:t>
            </w:r>
            <w:r>
              <w:rPr>
                <w:rFonts w:eastAsia="方正仿宋简体"/>
                <w:color w:val="000000"/>
                <w:sz w:val="28"/>
                <w:szCs w:val="28"/>
              </w:rPr>
              <w:t>大力提升烟花产品的科技和文化含量，开发具有高度观赏性、艺术性的多元化产品，结合节庆等举办主题烟花艺术节，将“橘洲焰火”和中国浏阳国际花炮文化节办成精品，打造特色烟花文化旅游品牌。</w:t>
            </w:r>
          </w:p>
        </w:tc>
      </w:tr>
    </w:tbl>
    <w:p>
      <w:pPr>
        <w:adjustRightInd w:val="0"/>
        <w:snapToGrid w:val="0"/>
        <w:spacing w:line="580" w:lineRule="exact"/>
        <w:ind w:firstLine="600" w:firstLineChars="200"/>
        <w:rPr>
          <w:rFonts w:eastAsia="方正仿宋简体"/>
          <w:bCs/>
          <w:color w:val="000000"/>
          <w:sz w:val="30"/>
          <w:szCs w:val="30"/>
        </w:rPr>
      </w:pPr>
      <w:r>
        <w:rPr>
          <w:rFonts w:eastAsia="方正仿宋简体"/>
          <w:bCs/>
          <w:color w:val="000000"/>
          <w:sz w:val="30"/>
          <w:szCs w:val="30"/>
        </w:rPr>
        <w:t>三、扩大文化对外传播交流</w:t>
      </w:r>
    </w:p>
    <w:p>
      <w:pPr>
        <w:adjustRightInd w:val="0"/>
        <w:snapToGrid w:val="0"/>
        <w:spacing w:line="580" w:lineRule="exact"/>
        <w:ind w:firstLine="600" w:firstLineChars="200"/>
        <w:rPr>
          <w:rFonts w:eastAsia="方正仿宋简体"/>
          <w:color w:val="000000"/>
          <w:sz w:val="30"/>
          <w:szCs w:val="30"/>
        </w:rPr>
      </w:pPr>
      <w:r>
        <w:rPr>
          <w:rFonts w:eastAsia="方正仿宋简体"/>
          <w:color w:val="000000"/>
          <w:sz w:val="30"/>
          <w:szCs w:val="30"/>
        </w:rPr>
        <w:t>大力实施文化“走出去”战略，扩大长沙优势文化产品和服务的国际国内市场，不断提升城市知名度和美誉度。</w:t>
      </w:r>
    </w:p>
    <w:p>
      <w:pPr>
        <w:tabs>
          <w:tab w:val="left" w:pos="6510"/>
        </w:tabs>
        <w:adjustRightInd w:val="0"/>
        <w:snapToGrid w:val="0"/>
        <w:spacing w:line="580" w:lineRule="exact"/>
        <w:ind w:firstLine="600" w:firstLineChars="200"/>
        <w:rPr>
          <w:rFonts w:eastAsia="方正仿宋简体"/>
          <w:color w:val="000000"/>
          <w:sz w:val="30"/>
          <w:szCs w:val="30"/>
        </w:rPr>
      </w:pPr>
      <w:r>
        <w:rPr>
          <w:rFonts w:eastAsia="方正仿宋简体"/>
          <w:color w:val="000000"/>
          <w:sz w:val="30"/>
          <w:szCs w:val="30"/>
        </w:rPr>
        <w:t>1、</w:t>
      </w:r>
      <w:r>
        <w:rPr>
          <w:rFonts w:eastAsia="方正仿宋简体"/>
          <w:bCs/>
          <w:color w:val="000000"/>
          <w:sz w:val="30"/>
          <w:szCs w:val="30"/>
        </w:rPr>
        <w:t>提升长沙文化国际影响力。</w:t>
      </w:r>
      <w:r>
        <w:rPr>
          <w:rFonts w:eastAsia="方正仿宋简体"/>
          <w:color w:val="000000"/>
          <w:sz w:val="30"/>
          <w:szCs w:val="30"/>
        </w:rPr>
        <w:t>依托“金鹰电视艺术节”、“橘洲国际音乐节”、“汉语桥”等大型品牌文化平台，凸显长沙城市特质和文化主题，将橘子洲打造成国际音乐之洲和烟花艺术之洲。办好中国（长沙）国际雕塑文化艺术节、长沙国际音乐艺术季、中国浏阳国际花炮节、梅溪湖国际文化艺术周、中国（长沙）手机文化博览会等文化节会，大力推进“世界媒体艺术之都”、“国际雕塑文化之城”建设，提升长沙国际知名度和影响力。</w:t>
      </w:r>
    </w:p>
    <w:p>
      <w:pPr>
        <w:adjustRightInd w:val="0"/>
        <w:snapToGrid w:val="0"/>
        <w:spacing w:line="600" w:lineRule="exact"/>
        <w:ind w:firstLine="600" w:firstLineChars="200"/>
        <w:rPr>
          <w:rFonts w:eastAsia="方正仿宋简体"/>
          <w:color w:val="000000"/>
          <w:sz w:val="30"/>
          <w:szCs w:val="30"/>
        </w:rPr>
      </w:pPr>
      <w:r>
        <w:rPr>
          <w:rFonts w:eastAsia="方正仿宋简体"/>
          <w:bCs/>
          <w:color w:val="000000"/>
          <w:sz w:val="30"/>
          <w:szCs w:val="30"/>
        </w:rPr>
        <w:t>2</w:t>
      </w:r>
      <w:r>
        <w:rPr>
          <w:rFonts w:eastAsia="方正仿宋简体"/>
          <w:bCs/>
          <w:color w:val="000000"/>
          <w:spacing w:val="4"/>
          <w:sz w:val="30"/>
          <w:szCs w:val="30"/>
        </w:rPr>
        <w:t>、加快文化传播和服务输出。</w:t>
      </w:r>
      <w:r>
        <w:rPr>
          <w:rFonts w:eastAsia="方正仿宋简体"/>
          <w:color w:val="000000"/>
          <w:spacing w:val="4"/>
          <w:sz w:val="30"/>
          <w:szCs w:val="30"/>
        </w:rPr>
        <w:t>积极引导文化创意企业根据国</w:t>
      </w:r>
      <w:r>
        <w:rPr>
          <w:rFonts w:eastAsia="方正仿宋简体"/>
          <w:color w:val="000000"/>
          <w:sz w:val="30"/>
          <w:szCs w:val="30"/>
        </w:rPr>
        <w:t>际文化消费市场的特点和需求，定制相关文化产品和服务，推出一批文化精品力作，让湖湘文化以新的形态展示给世界。</w:t>
      </w:r>
      <w:r>
        <w:rPr>
          <w:rFonts w:eastAsia="方正仿宋简体"/>
          <w:bCs/>
          <w:color w:val="000000"/>
          <w:sz w:val="30"/>
          <w:szCs w:val="30"/>
        </w:rPr>
        <w:t>在重要公共场所设立外语服务窗口，提升城市涉外服务水平。继续加强与美国旧金山市、日本鹿儿岛市等“友好城市”的文化交流和合作，积极推介长沙城市文明和湖湘文化，在推动中华文化走向世界上担当更大责任、实现更大作为。</w:t>
      </w:r>
    </w:p>
    <w:p>
      <w:pPr>
        <w:adjustRightInd w:val="0"/>
        <w:snapToGrid w:val="0"/>
        <w:spacing w:before="312" w:beforeLines="100" w:after="312" w:afterLines="100" w:line="600" w:lineRule="exact"/>
        <w:jc w:val="center"/>
        <w:rPr>
          <w:rFonts w:eastAsia="方正仿宋简体"/>
          <w:color w:val="000000"/>
          <w:sz w:val="30"/>
          <w:szCs w:val="30"/>
        </w:rPr>
      </w:pPr>
      <w:r>
        <w:rPr>
          <w:rFonts w:eastAsia="方正仿宋简体"/>
          <w:color w:val="000000"/>
          <w:sz w:val="30"/>
          <w:szCs w:val="30"/>
        </w:rPr>
        <w:t>第三节   推动文化事业与社会文明和谐共进</w:t>
      </w:r>
    </w:p>
    <w:p>
      <w:pPr>
        <w:adjustRightInd w:val="0"/>
        <w:snapToGrid w:val="0"/>
        <w:spacing w:line="600" w:lineRule="exact"/>
        <w:ind w:firstLine="600" w:firstLineChars="200"/>
        <w:rPr>
          <w:rFonts w:eastAsia="方正仿宋简体"/>
          <w:bCs/>
          <w:color w:val="000000"/>
          <w:sz w:val="30"/>
          <w:szCs w:val="30"/>
        </w:rPr>
      </w:pPr>
      <w:r>
        <w:rPr>
          <w:rFonts w:eastAsia="方正仿宋简体"/>
          <w:bCs/>
          <w:color w:val="000000"/>
          <w:kern w:val="0"/>
          <w:sz w:val="30"/>
          <w:szCs w:val="30"/>
        </w:rPr>
        <w:t>以适应互联网时代人民群众多元多样的文化需求为重点，</w:t>
      </w:r>
      <w:r>
        <w:rPr>
          <w:rFonts w:eastAsia="方正仿宋简体"/>
          <w:bCs/>
          <w:color w:val="000000"/>
          <w:sz w:val="30"/>
          <w:szCs w:val="30"/>
        </w:rPr>
        <w:t>加快构建设施网络化、供给多元化、机制长效化、城乡一体化、服务普惠化的现代公共文化服务体系。</w:t>
      </w:r>
    </w:p>
    <w:p>
      <w:pPr>
        <w:adjustRightInd w:val="0"/>
        <w:snapToGrid w:val="0"/>
        <w:spacing w:line="600" w:lineRule="exact"/>
        <w:ind w:firstLine="600" w:firstLineChars="200"/>
        <w:rPr>
          <w:rFonts w:eastAsia="方正仿宋简体"/>
          <w:bCs/>
          <w:color w:val="000000"/>
          <w:sz w:val="30"/>
          <w:szCs w:val="30"/>
        </w:rPr>
      </w:pPr>
      <w:r>
        <w:rPr>
          <w:rFonts w:eastAsia="方正仿宋简体"/>
          <w:bCs/>
          <w:color w:val="000000"/>
          <w:sz w:val="30"/>
          <w:szCs w:val="30"/>
        </w:rPr>
        <w:t>一、形成全国一流的公共文化设施网络</w:t>
      </w:r>
    </w:p>
    <w:p>
      <w:pPr>
        <w:adjustRightInd w:val="0"/>
        <w:snapToGrid w:val="0"/>
        <w:spacing w:line="600" w:lineRule="exact"/>
        <w:ind w:firstLine="596"/>
        <w:rPr>
          <w:rFonts w:eastAsia="方正仿宋简体"/>
          <w:bCs/>
          <w:color w:val="000000"/>
          <w:sz w:val="30"/>
          <w:szCs w:val="30"/>
        </w:rPr>
      </w:pPr>
      <w:r>
        <w:rPr>
          <w:rFonts w:eastAsia="方正仿宋简体"/>
          <w:bCs/>
          <w:color w:val="000000"/>
          <w:sz w:val="30"/>
          <w:szCs w:val="30"/>
        </w:rPr>
        <w:t>以增强城市文化集聚和辐射功能、实现城乡公共文化服务均等化和优质化为目标，到2020年，基本建成设施先进、功能齐备、运行高效、服务优质、覆盖城乡的市、区县（市）、街道（乡镇）、社区（村）的四级公共文化设施网络体系。</w:t>
      </w:r>
    </w:p>
    <w:p>
      <w:pPr>
        <w:adjustRightInd w:val="0"/>
        <w:snapToGrid w:val="0"/>
        <w:spacing w:line="600" w:lineRule="exact"/>
        <w:ind w:firstLine="600" w:firstLineChars="200"/>
        <w:rPr>
          <w:rFonts w:eastAsia="方正仿宋简体"/>
          <w:bCs/>
          <w:color w:val="000000"/>
          <w:sz w:val="30"/>
          <w:szCs w:val="30"/>
        </w:rPr>
      </w:pPr>
      <w:r>
        <w:rPr>
          <w:rFonts w:eastAsia="方正仿宋简体"/>
          <w:bCs/>
          <w:color w:val="000000"/>
          <w:sz w:val="30"/>
          <w:szCs w:val="30"/>
        </w:rPr>
        <w:t>1、加强文化基础设施建设。重点建设一批与长沙城市个性相匹配，体现城市特色和时代精神的重大标志性功能文化设施。进一步发挥“三馆一厅”的城市文化标识功能，加快实施长沙戏剧艺术中心、长沙</w:t>
      </w:r>
      <w:r>
        <w:rPr>
          <w:rFonts w:eastAsia="方正仿宋简体"/>
          <w:bCs/>
          <w:color w:val="000000"/>
          <w:spacing w:val="4"/>
          <w:sz w:val="30"/>
          <w:szCs w:val="30"/>
        </w:rPr>
        <w:t>文化艺术展览中心（长沙美术馆）、长沙蜡像艺术馆等项目建设，推进市青少年宫等项目实施和投入使用。加强博物馆体系建设，加快中国简牍博物馆、影视博物馆、省邮政博物馆、音乐</w:t>
      </w:r>
      <w:r>
        <w:rPr>
          <w:rFonts w:eastAsia="方正仿宋简体"/>
          <w:bCs/>
          <w:color w:val="000000"/>
          <w:sz w:val="30"/>
          <w:szCs w:val="30"/>
        </w:rPr>
        <w:t xml:space="preserve">博物馆、长沙文物考古研究所、湘江博物馆等建设或改造。扶持县（市、区）级博物馆发展，支持发展非国有博物馆事业。加快推进综合性、多功能的长沙方志馆建设。 </w:t>
      </w:r>
    </w:p>
    <w:p>
      <w:pPr>
        <w:adjustRightInd w:val="0"/>
        <w:snapToGrid w:val="0"/>
        <w:spacing w:line="600" w:lineRule="exact"/>
        <w:ind w:firstLine="600" w:firstLineChars="200"/>
        <w:rPr>
          <w:rFonts w:eastAsia="方正仿宋简体"/>
          <w:bCs/>
          <w:color w:val="000000"/>
          <w:sz w:val="30"/>
          <w:szCs w:val="30"/>
        </w:rPr>
      </w:pPr>
      <w:r>
        <w:rPr>
          <w:rFonts w:eastAsia="方正仿宋简体"/>
          <w:bCs/>
          <w:color w:val="000000"/>
          <w:sz w:val="30"/>
          <w:szCs w:val="30"/>
        </w:rPr>
        <w:t>2、完善基本公共文化服务网络。按照城乡人口发展和分布，合理规划建设各类公共文化设施，在主城区和城关镇、中心镇和特色镇、一般乡镇分别建成10分钟、15分钟和30分钟公共文化服务圈。落实乡镇综合文化站、农家书屋、群众文化广场、农村电影放映等重大公共文化惠民工程，完善图书馆、文艺院团、文化中心、综合文化站、文艺社团等公共文化设施建设，保障市民的基本文化权益。</w:t>
      </w:r>
    </w:p>
    <w:p>
      <w:pPr>
        <w:adjustRightInd w:val="0"/>
        <w:snapToGrid w:val="0"/>
        <w:spacing w:line="600" w:lineRule="exact"/>
        <w:ind w:firstLine="600" w:firstLineChars="200"/>
        <w:rPr>
          <w:rFonts w:eastAsia="方正仿宋简体"/>
          <w:bCs/>
          <w:color w:val="000000"/>
          <w:sz w:val="30"/>
          <w:szCs w:val="30"/>
        </w:rPr>
      </w:pPr>
      <w:r>
        <w:rPr>
          <w:rFonts w:eastAsia="方正仿宋简体"/>
          <w:bCs/>
          <w:color w:val="000000"/>
          <w:sz w:val="30"/>
          <w:szCs w:val="30"/>
        </w:rPr>
        <w:t>3、提高文化公共资源配置效率。加快建成领先全国的现代公共文化服务体系，促进公共文化服务标准化、均等化。统筹城乡公共服务设施建设，根据城乡人口流动趋势，推进资源整合和设施共建共享，完善公共文化服务设施免费开放的保障机制，提高公共资源配置效率。</w:t>
      </w:r>
    </w:p>
    <w:p>
      <w:pPr>
        <w:adjustRightInd w:val="0"/>
        <w:snapToGrid w:val="0"/>
        <w:spacing w:line="600" w:lineRule="exact"/>
        <w:ind w:firstLine="600" w:firstLineChars="200"/>
        <w:rPr>
          <w:rFonts w:eastAsia="方正仿宋简体"/>
          <w:bCs/>
          <w:color w:val="000000"/>
          <w:sz w:val="30"/>
          <w:szCs w:val="30"/>
        </w:rPr>
      </w:pPr>
      <w:r>
        <w:rPr>
          <w:rFonts w:eastAsia="方正仿宋简体"/>
          <w:bCs/>
          <w:color w:val="000000"/>
          <w:sz w:val="30"/>
          <w:szCs w:val="30"/>
        </w:rPr>
        <w:t>二、提供丰富多彩的公共文化产品</w:t>
      </w:r>
    </w:p>
    <w:p>
      <w:pPr>
        <w:adjustRightInd w:val="0"/>
        <w:snapToGrid w:val="0"/>
        <w:spacing w:line="600" w:lineRule="exact"/>
        <w:ind w:firstLine="600" w:firstLineChars="200"/>
        <w:rPr>
          <w:rFonts w:eastAsia="方正仿宋简体"/>
          <w:bCs/>
          <w:color w:val="000000"/>
          <w:kern w:val="0"/>
          <w:sz w:val="30"/>
          <w:szCs w:val="30"/>
        </w:rPr>
      </w:pPr>
      <w:r>
        <w:rPr>
          <w:rFonts w:eastAsia="方正仿宋简体"/>
          <w:bCs/>
          <w:color w:val="000000"/>
          <w:kern w:val="0"/>
          <w:sz w:val="30"/>
          <w:szCs w:val="30"/>
        </w:rPr>
        <w:t>加强对文化产品创作的引导，创新文化产品、打造特色品牌、拓展服务领域，形成公共文化产品“超市化”供给、“菜单化”服务、“个性化”定制模式。</w:t>
      </w:r>
    </w:p>
    <w:p>
      <w:pPr>
        <w:adjustRightInd w:val="0"/>
        <w:snapToGrid w:val="0"/>
        <w:spacing w:line="600" w:lineRule="exact"/>
        <w:ind w:firstLine="600" w:firstLineChars="200"/>
        <w:rPr>
          <w:rFonts w:eastAsia="方正仿宋简体"/>
          <w:bCs/>
          <w:color w:val="000000"/>
          <w:sz w:val="30"/>
          <w:szCs w:val="30"/>
        </w:rPr>
      </w:pPr>
      <w:r>
        <w:rPr>
          <w:rFonts w:eastAsia="方正仿宋简体"/>
          <w:bCs/>
          <w:color w:val="000000"/>
          <w:sz w:val="30"/>
          <w:szCs w:val="30"/>
        </w:rPr>
        <w:t>1、落实文化普惠工程。着力以公共文化优秀节目展演为平台，深入实施群文湘军“五百行动”计划。支持各类群众文化团队开展健康文体活动，培养群众文化优秀团队，培育一批富有民族、民俗、民间特色的活动品牌。大力开展送书、送戏、送展览、送电影下乡活动，加强面向外来务工人员、老年人及其他特殊群体提供优质的公共文化服务，满足社会群体多层次、多样化的精神文化需求，统筹推进公共文化服务均衡发展。</w:t>
      </w:r>
    </w:p>
    <w:p>
      <w:pPr>
        <w:adjustRightInd w:val="0"/>
        <w:snapToGrid w:val="0"/>
        <w:spacing w:line="600" w:lineRule="exact"/>
        <w:ind w:firstLine="600" w:firstLineChars="200"/>
        <w:rPr>
          <w:rFonts w:eastAsia="方正仿宋简体"/>
          <w:bCs/>
          <w:color w:val="000000"/>
          <w:sz w:val="30"/>
          <w:szCs w:val="30"/>
        </w:rPr>
      </w:pPr>
      <w:r>
        <w:rPr>
          <w:rFonts w:eastAsia="方正仿宋简体"/>
          <w:bCs/>
          <w:color w:val="000000"/>
          <w:sz w:val="30"/>
          <w:szCs w:val="30"/>
        </w:rPr>
        <w:t>2、推进文化产品创新。深入实施文化精品工程，深入发掘中华传统文化、长沙历史文化和现代文化的深厚底蕴，充分整合各类文化资源和文化元素，开展主题文化建设。研究制定促进文化产品创新的政策措施，鼓励支持原创，激发文艺名家、文化领军人物、企事业单位和社会各界人士的文化创造力，推出一批思想精深、艺术精湛、制作精良，展现湖湘文化精神、百姓喜闻乐见的艺术精品。</w:t>
      </w:r>
    </w:p>
    <w:p>
      <w:pPr>
        <w:adjustRightInd w:val="0"/>
        <w:snapToGrid w:val="0"/>
        <w:spacing w:line="600" w:lineRule="exact"/>
        <w:ind w:firstLine="600" w:firstLineChars="200"/>
        <w:rPr>
          <w:rFonts w:eastAsia="方正仿宋简体"/>
          <w:bCs/>
          <w:color w:val="000000"/>
          <w:sz w:val="30"/>
          <w:szCs w:val="30"/>
        </w:rPr>
      </w:pPr>
      <w:r>
        <w:rPr>
          <w:rFonts w:eastAsia="方正仿宋简体"/>
          <w:bCs/>
          <w:color w:val="000000"/>
          <w:sz w:val="30"/>
          <w:szCs w:val="30"/>
        </w:rPr>
        <w:t>3、推进公共文化服务社会化。充分调动各种市场主体和各种社会力量的积极性，积极培育文化行业协会、理事会等文化非营利组织，加强文化中介机构建设，推动公共文化服务供给主体、供给方式和资金投入多元化，形成以“政府主导、社会参与、多元投入、协力发展”为基本特征的现代公共文化服务治理结构，提高公共文化服务供给能力和总体水平。</w:t>
      </w:r>
    </w:p>
    <w:p>
      <w:pPr>
        <w:adjustRightInd w:val="0"/>
        <w:snapToGrid w:val="0"/>
        <w:spacing w:line="600" w:lineRule="exact"/>
        <w:ind w:firstLine="600" w:firstLineChars="200"/>
        <w:rPr>
          <w:rFonts w:eastAsia="方正仿宋简体"/>
          <w:bCs/>
          <w:color w:val="000000"/>
          <w:sz w:val="30"/>
          <w:szCs w:val="30"/>
        </w:rPr>
      </w:pPr>
      <w:r>
        <w:rPr>
          <w:rFonts w:eastAsia="方正仿宋简体"/>
          <w:bCs/>
          <w:color w:val="000000"/>
          <w:sz w:val="30"/>
          <w:szCs w:val="30"/>
        </w:rPr>
        <w:t>三、建设更高水准的全国文明城市</w:t>
      </w:r>
    </w:p>
    <w:p>
      <w:pPr>
        <w:adjustRightInd w:val="0"/>
        <w:snapToGrid w:val="0"/>
        <w:spacing w:line="600" w:lineRule="exact"/>
        <w:ind w:firstLine="600" w:firstLineChars="200"/>
        <w:rPr>
          <w:rFonts w:eastAsia="方正仿宋简体"/>
          <w:bCs/>
          <w:color w:val="000000"/>
          <w:sz w:val="30"/>
          <w:szCs w:val="30"/>
        </w:rPr>
      </w:pPr>
      <w:r>
        <w:rPr>
          <w:rFonts w:eastAsia="方正仿宋简体"/>
          <w:bCs/>
          <w:color w:val="000000"/>
          <w:sz w:val="30"/>
          <w:szCs w:val="30"/>
        </w:rPr>
        <w:t>围绕打造“文明高地”、“爱心城市”、“书香城市”，以推动公共环境优美、公共秩序优化、公共服务优质、公共关系优良为重点，倡导公共文明行为规范。</w:t>
      </w:r>
    </w:p>
    <w:p>
      <w:pPr>
        <w:adjustRightInd w:val="0"/>
        <w:snapToGrid w:val="0"/>
        <w:spacing w:line="600" w:lineRule="exact"/>
        <w:ind w:firstLine="600" w:firstLineChars="200"/>
        <w:rPr>
          <w:rFonts w:eastAsia="方正仿宋简体"/>
          <w:bCs/>
          <w:color w:val="000000"/>
          <w:sz w:val="30"/>
          <w:szCs w:val="30"/>
        </w:rPr>
      </w:pPr>
      <w:r>
        <w:rPr>
          <w:rFonts w:eastAsia="方正仿宋简体"/>
          <w:bCs/>
          <w:color w:val="000000"/>
          <w:sz w:val="30"/>
          <w:szCs w:val="30"/>
        </w:rPr>
        <w:t>1、</w:t>
      </w:r>
      <w:r>
        <w:rPr>
          <w:rFonts w:eastAsia="方正仿宋简体"/>
          <w:bCs/>
          <w:color w:val="000000"/>
          <w:spacing w:val="2"/>
          <w:sz w:val="30"/>
          <w:szCs w:val="30"/>
        </w:rPr>
        <w:t>塑造城市文明形象。大力培育以社会主义核心价值体系为根本、以湖湘文化为底蕴、以“心忧天下、敢为人先”的城市精</w:t>
      </w:r>
      <w:r>
        <w:rPr>
          <w:rFonts w:eastAsia="方正仿宋简体"/>
          <w:bCs/>
          <w:color w:val="000000"/>
          <w:spacing w:val="4"/>
          <w:sz w:val="30"/>
          <w:szCs w:val="30"/>
        </w:rPr>
        <w:t>神为特征的新时期长沙人文精神，使之融入市民的思想观念、行为规</w:t>
      </w:r>
      <w:r>
        <w:rPr>
          <w:rFonts w:eastAsia="方正仿宋简体"/>
          <w:bCs/>
          <w:color w:val="000000"/>
          <w:sz w:val="30"/>
          <w:szCs w:val="30"/>
        </w:rPr>
        <w:t>范，构建具有高度认同感和强大凝聚力的精神家园。大力营造“雷锋家乡学雷锋”的氛围，加强志愿者队伍建设，完善志愿者服务制度，打造“志愿者之城”。</w:t>
      </w:r>
      <w:r>
        <w:rPr>
          <w:rFonts w:eastAsia="方正仿宋简体"/>
          <w:color w:val="000000"/>
          <w:kern w:val="0"/>
          <w:sz w:val="30"/>
          <w:szCs w:val="30"/>
        </w:rPr>
        <w:t>牢牢把握正确舆论导向，加强网上思想文化阵地建设，健全社会舆情引导机制，传播正能量。</w:t>
      </w:r>
      <w:r>
        <w:rPr>
          <w:rFonts w:eastAsia="方正仿宋简体"/>
          <w:bCs/>
          <w:color w:val="000000"/>
          <w:sz w:val="30"/>
          <w:szCs w:val="30"/>
        </w:rPr>
        <w:t>发展和繁荣哲学社会科学，加强特色新型智库建设，充分发挥特色新型智库在咨政建言、理论创新、舆论引导、文明创建、社会服务等方面的重要功能，为改革开放和现代化建设提供精神动力和智力支持。</w:t>
      </w:r>
    </w:p>
    <w:p>
      <w:pPr>
        <w:adjustRightInd w:val="0"/>
        <w:snapToGrid w:val="0"/>
        <w:spacing w:line="600" w:lineRule="exact"/>
        <w:ind w:firstLine="600" w:firstLineChars="200"/>
        <w:rPr>
          <w:rFonts w:eastAsia="方正仿宋简体"/>
          <w:bCs/>
          <w:color w:val="000000"/>
          <w:sz w:val="30"/>
          <w:szCs w:val="30"/>
        </w:rPr>
      </w:pPr>
      <w:r>
        <w:rPr>
          <w:rFonts w:eastAsia="方正仿宋简体"/>
          <w:bCs/>
          <w:color w:val="000000"/>
          <w:sz w:val="30"/>
          <w:szCs w:val="30"/>
        </w:rPr>
        <w:t>2、提高市民文明素质。深入开展以“道德守礼、谦虚有礼”为主要内容的城市文明行动，广泛组织《长沙市市民文明公约》宣传实践活动，加强社会公德、职业道德、家庭美德、个人品德建设。高度重视青少年思想道德教育，净化社会文化环境，保护青少年身心健康。大力建设学习型社会和学习型城市，培育良好的文化素质和浓厚的文化氛围，提高城乡居民的思想道德素质、科学文化素质，形成与国际文化名城相适应的精神风貌和行为特征。</w:t>
      </w:r>
    </w:p>
    <w:p>
      <w:pPr>
        <w:adjustRightInd w:val="0"/>
        <w:snapToGrid w:val="0"/>
        <w:spacing w:line="600" w:lineRule="exact"/>
        <w:ind w:firstLine="600" w:firstLineChars="200"/>
        <w:rPr>
          <w:rFonts w:eastAsia="方正仿宋简体"/>
          <w:bCs/>
          <w:color w:val="000000"/>
          <w:sz w:val="30"/>
          <w:szCs w:val="30"/>
        </w:rPr>
      </w:pPr>
      <w:r>
        <w:rPr>
          <w:rFonts w:eastAsia="方正仿宋简体"/>
          <w:bCs/>
          <w:color w:val="000000"/>
          <w:sz w:val="30"/>
          <w:szCs w:val="30"/>
        </w:rPr>
        <w:t>3、积极开展文明创建。大力推进市容环境美化、公共服务优化、公共秩序强化、人文环境净化四大行动。健全完善城市公共文明指数测算评价体系，着力推进文明区县、文明街道、文明村镇、文明单位、文明社区、文明家庭、文明校园等多形式的创建活动，广泛动员社会各方面力量参与文明城市创建，全面提高城乡整体文明程度，加快建成全国文明城市群。</w:t>
      </w:r>
    </w:p>
    <w:p>
      <w:pPr>
        <w:adjustRightInd w:val="0"/>
        <w:snapToGrid w:val="0"/>
        <w:spacing w:line="600" w:lineRule="exact"/>
        <w:jc w:val="center"/>
        <w:rPr>
          <w:rFonts w:hint="eastAsia" w:ascii="方正小标宋简体" w:eastAsia="方正小标宋简体"/>
          <w:color w:val="000000"/>
          <w:w w:val="90"/>
          <w:sz w:val="44"/>
          <w:szCs w:val="44"/>
        </w:rPr>
      </w:pPr>
      <w:r>
        <w:rPr>
          <w:rFonts w:eastAsia="方正仿宋简体"/>
          <w:color w:val="000000"/>
          <w:sz w:val="30"/>
          <w:szCs w:val="30"/>
        </w:rPr>
        <w:br w:type="page"/>
      </w:r>
      <w:r>
        <w:rPr>
          <w:rFonts w:hint="eastAsia" w:ascii="方正小标宋简体" w:eastAsia="方正小标宋简体"/>
          <w:color w:val="000000"/>
          <w:w w:val="90"/>
          <w:sz w:val="44"/>
          <w:szCs w:val="44"/>
        </w:rPr>
        <w:t>第七章  共享发展  建设更具获得感的幸福家园</w:t>
      </w:r>
    </w:p>
    <w:p>
      <w:pPr>
        <w:adjustRightInd w:val="0"/>
        <w:snapToGrid w:val="0"/>
        <w:spacing w:line="600" w:lineRule="exact"/>
        <w:ind w:firstLine="880" w:firstLineChars="200"/>
        <w:rPr>
          <w:rFonts w:hint="eastAsia" w:ascii="方正小标宋简体" w:eastAsia="方正小标宋简体"/>
          <w:color w:val="000000"/>
          <w:sz w:val="44"/>
          <w:szCs w:val="44"/>
        </w:rPr>
      </w:pPr>
    </w:p>
    <w:p>
      <w:pPr>
        <w:adjustRightInd w:val="0"/>
        <w:snapToGrid w:val="0"/>
        <w:spacing w:line="600" w:lineRule="exact"/>
        <w:ind w:firstLine="600" w:firstLineChars="200"/>
        <w:rPr>
          <w:rFonts w:eastAsia="方正仿宋简体"/>
          <w:color w:val="000000"/>
          <w:sz w:val="30"/>
          <w:szCs w:val="30"/>
        </w:rPr>
      </w:pPr>
      <w:r>
        <w:rPr>
          <w:rFonts w:eastAsia="方正仿宋简体"/>
          <w:color w:val="000000"/>
          <w:sz w:val="30"/>
          <w:szCs w:val="30"/>
        </w:rPr>
        <w:t>人民对美好生活的向往，就是我们的奋斗目标。要更加注重群众内心的幸福感受，建设更加公平正义的社会环境，让城乡居民学有优教、病有良医、劳有丰酬、老有颐养、住有宜居，共建共享幸福家园。</w:t>
      </w:r>
    </w:p>
    <w:p>
      <w:pPr>
        <w:adjustRightInd w:val="0"/>
        <w:snapToGrid w:val="0"/>
        <w:spacing w:before="312" w:beforeLines="100" w:after="312" w:afterLines="100" w:line="600" w:lineRule="exact"/>
        <w:jc w:val="center"/>
        <w:rPr>
          <w:rFonts w:eastAsia="方正仿宋简体"/>
          <w:color w:val="000000"/>
          <w:sz w:val="30"/>
          <w:szCs w:val="30"/>
        </w:rPr>
      </w:pPr>
      <w:r>
        <w:rPr>
          <w:rFonts w:eastAsia="方正仿宋简体"/>
          <w:color w:val="000000"/>
          <w:sz w:val="30"/>
          <w:szCs w:val="30"/>
        </w:rPr>
        <w:t>第一节  发展成果更好地惠及人民</w:t>
      </w:r>
    </w:p>
    <w:p>
      <w:pPr>
        <w:adjustRightInd w:val="0"/>
        <w:snapToGrid w:val="0"/>
        <w:spacing w:line="600" w:lineRule="exact"/>
        <w:ind w:firstLine="600" w:firstLineChars="200"/>
        <w:rPr>
          <w:rFonts w:eastAsia="方正仿宋简体"/>
          <w:color w:val="000000"/>
          <w:sz w:val="30"/>
          <w:szCs w:val="30"/>
        </w:rPr>
      </w:pPr>
      <w:r>
        <w:rPr>
          <w:rFonts w:eastAsia="方正仿宋简体"/>
          <w:color w:val="000000"/>
          <w:sz w:val="30"/>
          <w:szCs w:val="30"/>
        </w:rPr>
        <w:t>坚持以人为本，着力解决群众最直接、最关心、最现实的利益问题，让发展成果更多更公平惠及全市人民，切实增强人民群众的获得感。</w:t>
      </w:r>
    </w:p>
    <w:p>
      <w:pPr>
        <w:adjustRightInd w:val="0"/>
        <w:snapToGrid w:val="0"/>
        <w:spacing w:line="600" w:lineRule="exact"/>
        <w:ind w:firstLine="600" w:firstLineChars="200"/>
        <w:rPr>
          <w:rFonts w:eastAsia="方正仿宋简体"/>
          <w:bCs/>
          <w:color w:val="000000"/>
          <w:sz w:val="30"/>
          <w:szCs w:val="30"/>
        </w:rPr>
      </w:pPr>
      <w:r>
        <w:rPr>
          <w:rFonts w:eastAsia="方正仿宋简体"/>
          <w:bCs/>
          <w:color w:val="000000"/>
          <w:sz w:val="30"/>
          <w:szCs w:val="30"/>
        </w:rPr>
        <w:t>一、促进充分就业和完善收入分配制度</w:t>
      </w:r>
    </w:p>
    <w:p>
      <w:pPr>
        <w:adjustRightInd w:val="0"/>
        <w:snapToGrid w:val="0"/>
        <w:spacing w:line="600" w:lineRule="exact"/>
        <w:ind w:firstLine="600" w:firstLineChars="200"/>
        <w:rPr>
          <w:rFonts w:eastAsia="方正仿宋简体"/>
          <w:color w:val="000000"/>
          <w:kern w:val="0"/>
          <w:sz w:val="30"/>
          <w:szCs w:val="30"/>
        </w:rPr>
      </w:pPr>
      <w:r>
        <w:rPr>
          <w:rFonts w:eastAsia="方正仿宋简体"/>
          <w:color w:val="000000"/>
          <w:sz w:val="30"/>
          <w:szCs w:val="30"/>
        </w:rPr>
        <w:t>坚持促进充分就业、公平就业、稳定就业，规范收入分配秩序，增加低收入者收入，扩大中等收入者比重，努力缩小城乡、区域、行业收入分配差距，逐步形成橄榄型收入分配结构</w:t>
      </w:r>
      <w:r>
        <w:rPr>
          <w:rFonts w:eastAsia="方正仿宋简体"/>
          <w:color w:val="000000"/>
          <w:kern w:val="0"/>
          <w:sz w:val="30"/>
          <w:szCs w:val="30"/>
        </w:rPr>
        <w:t>。</w:t>
      </w:r>
    </w:p>
    <w:p>
      <w:pPr>
        <w:adjustRightInd w:val="0"/>
        <w:snapToGrid w:val="0"/>
        <w:spacing w:line="600" w:lineRule="exact"/>
        <w:ind w:firstLine="600" w:firstLineChars="200"/>
        <w:rPr>
          <w:rFonts w:eastAsia="方正仿宋简体"/>
          <w:color w:val="000000"/>
          <w:sz w:val="30"/>
          <w:szCs w:val="30"/>
        </w:rPr>
      </w:pPr>
      <w:r>
        <w:rPr>
          <w:rFonts w:eastAsia="方正仿宋简体"/>
          <w:bCs/>
          <w:color w:val="000000"/>
          <w:sz w:val="30"/>
          <w:szCs w:val="30"/>
        </w:rPr>
        <w:t>1、坚持就业优先战略。</w:t>
      </w:r>
      <w:r>
        <w:rPr>
          <w:rFonts w:eastAsia="方正仿宋简体"/>
          <w:color w:val="000000"/>
          <w:sz w:val="30"/>
          <w:szCs w:val="30"/>
        </w:rPr>
        <w:t>健全劳动者自主择业、市场调节就业、政府促进就业和鼓励创业相结合的机制，着力解决结构性就业矛盾，实现社会就业更加充分。</w:t>
      </w:r>
      <w:r>
        <w:rPr>
          <w:rFonts w:eastAsia="方正仿宋简体"/>
          <w:bCs/>
          <w:color w:val="000000"/>
          <w:sz w:val="30"/>
          <w:szCs w:val="30"/>
        </w:rPr>
        <w:t>以发展拉动就业。完善产业、财税、投资等经</w:t>
      </w:r>
      <w:r>
        <w:rPr>
          <w:rFonts w:eastAsia="方正仿宋简体"/>
          <w:bCs/>
          <w:color w:val="000000"/>
          <w:spacing w:val="4"/>
          <w:sz w:val="30"/>
          <w:szCs w:val="30"/>
        </w:rPr>
        <w:t>济政策与促进就业政策的配套衔接，发挥小微企业和非公有制经济在促进就业</w:t>
      </w:r>
      <w:r>
        <w:rPr>
          <w:rFonts w:eastAsia="方正仿宋简体"/>
          <w:color w:val="000000"/>
          <w:spacing w:val="4"/>
          <w:sz w:val="30"/>
          <w:szCs w:val="30"/>
        </w:rPr>
        <w:t>中的主渠道作用，创造更多就业岗位和机会。以创业带</w:t>
      </w:r>
      <w:r>
        <w:rPr>
          <w:rFonts w:eastAsia="方正仿宋简体"/>
          <w:color w:val="000000"/>
          <w:spacing w:val="2"/>
          <w:sz w:val="30"/>
          <w:szCs w:val="30"/>
        </w:rPr>
        <w:t>动就业</w:t>
      </w:r>
      <w:r>
        <w:rPr>
          <w:rFonts w:eastAsia="方正仿宋简体"/>
          <w:bCs/>
          <w:color w:val="000000"/>
          <w:spacing w:val="2"/>
          <w:sz w:val="30"/>
          <w:szCs w:val="30"/>
        </w:rPr>
        <w:t>。</w:t>
      </w:r>
      <w:r>
        <w:rPr>
          <w:rFonts w:eastAsia="方正仿宋简体"/>
          <w:color w:val="000000"/>
          <w:spacing w:val="2"/>
          <w:sz w:val="30"/>
          <w:szCs w:val="30"/>
        </w:rPr>
        <w:t>落实和完善鼓励劳动者创业扶持政策，建立健全</w:t>
      </w:r>
      <w:r>
        <w:rPr>
          <w:rFonts w:eastAsia="方正仿宋简体"/>
          <w:color w:val="000000"/>
          <w:spacing w:val="4"/>
          <w:sz w:val="30"/>
          <w:szCs w:val="30"/>
        </w:rPr>
        <w:t>市级、区县（市）、街道（乡镇）、社区（村）四级联动的就业</w:t>
      </w:r>
      <w:r>
        <w:rPr>
          <w:rFonts w:eastAsia="方正仿宋简体"/>
          <w:color w:val="000000"/>
          <w:sz w:val="30"/>
          <w:szCs w:val="30"/>
        </w:rPr>
        <w:t>创业服务工作机制，打造“15分钟就业创业服务圈”，不断改善创业环境和营商环境，实现创业促进就业倍增效应。以帮扶援助就业。进一步加强基层公共就业服务平台和网络建设，统筹做好高校毕业生、退役军人、失地农民、城镇就业困难人群就业帮扶工作，关注边缘就业群体，积极化解隐性失业风险，支持灵活就业和新就业形态。构建劳动者终身职业培训体系，实施新生代农民工职业技能提升计划，逐步消除就业城乡差别和性别歧视，维护劳动者合法权益，构建和谐劳动关系。“十三五”期间，新增城镇就业60万人，新增农村劳动力转移就业19万人，城镇登记失业率控制在4%以内。</w:t>
      </w:r>
    </w:p>
    <w:p>
      <w:pPr>
        <w:adjustRightInd w:val="0"/>
        <w:snapToGrid w:val="0"/>
        <w:spacing w:line="600" w:lineRule="exact"/>
        <w:ind w:firstLine="600" w:firstLineChars="200"/>
        <w:rPr>
          <w:rFonts w:eastAsia="方正仿宋简体"/>
          <w:color w:val="000000"/>
          <w:spacing w:val="4"/>
          <w:sz w:val="30"/>
          <w:szCs w:val="30"/>
        </w:rPr>
      </w:pPr>
      <w:r>
        <w:rPr>
          <w:rFonts w:eastAsia="方正仿宋简体"/>
          <w:bCs/>
          <w:color w:val="000000"/>
          <w:sz w:val="30"/>
          <w:szCs w:val="30"/>
        </w:rPr>
        <w:t>2、完善收入分配制度。</w:t>
      </w:r>
      <w:r>
        <w:rPr>
          <w:rFonts w:eastAsia="方正仿宋简体"/>
          <w:color w:val="000000"/>
          <w:sz w:val="30"/>
          <w:szCs w:val="30"/>
        </w:rPr>
        <w:t>建立健全工资正常增长机制、工资支付保障机制、工资集体协商机制，推动最低工资标准动态调整，努力实现</w:t>
      </w:r>
      <w:r>
        <w:rPr>
          <w:rFonts w:eastAsia="方正仿宋简体"/>
          <w:bCs/>
          <w:color w:val="000000"/>
          <w:sz w:val="30"/>
          <w:szCs w:val="30"/>
        </w:rPr>
        <w:t>居民收入增长和经济增长同步、劳动报酬提高和劳动生产率提高同步</w:t>
      </w:r>
      <w:r>
        <w:rPr>
          <w:rFonts w:eastAsia="方正仿宋简体"/>
          <w:bCs/>
          <w:color w:val="000000"/>
          <w:spacing w:val="4"/>
          <w:sz w:val="30"/>
          <w:szCs w:val="30"/>
        </w:rPr>
        <w:t>，持续增加城乡居民收入。</w:t>
      </w:r>
      <w:r>
        <w:rPr>
          <w:rFonts w:eastAsia="方正仿宋简体"/>
          <w:color w:val="000000"/>
          <w:spacing w:val="4"/>
          <w:sz w:val="30"/>
          <w:szCs w:val="30"/>
        </w:rPr>
        <w:t>大力发展知识密集型现代服务业和新兴产业，提高人力资本参与初次分配的比重。健全资本、知识、技术、管理等由要素市场决定的报酬机制，创造条件增加居民财产性收入。鼓励民间资本积极创业致富，拓宽经营性收入来源。建立国有土地等公共资源出让收益共享机制，出让收益主要用于公共服务支出。</w:t>
      </w:r>
      <w:r>
        <w:rPr>
          <w:rFonts w:eastAsia="方正仿宋简体"/>
          <w:bCs/>
          <w:color w:val="000000"/>
          <w:spacing w:val="4"/>
          <w:sz w:val="30"/>
          <w:szCs w:val="30"/>
        </w:rPr>
        <w:t>“十三五”期间，</w:t>
      </w:r>
      <w:r>
        <w:rPr>
          <w:rFonts w:eastAsia="方正仿宋简体"/>
          <w:color w:val="000000"/>
          <w:spacing w:val="4"/>
          <w:kern w:val="0"/>
          <w:sz w:val="30"/>
          <w:szCs w:val="30"/>
        </w:rPr>
        <w:t>城乡居民人均可支配收入</w:t>
      </w:r>
      <w:r>
        <w:rPr>
          <w:rFonts w:eastAsia="方正仿宋简体"/>
          <w:color w:val="000000"/>
          <w:spacing w:val="4"/>
          <w:sz w:val="30"/>
          <w:szCs w:val="30"/>
        </w:rPr>
        <w:t>年均增长9%</w:t>
      </w:r>
      <w:r>
        <w:rPr>
          <w:rFonts w:eastAsia="方正仿宋简体"/>
          <w:color w:val="000000"/>
          <w:spacing w:val="4"/>
          <w:kern w:val="0"/>
          <w:sz w:val="30"/>
          <w:szCs w:val="30"/>
        </w:rPr>
        <w:t>。</w:t>
      </w:r>
    </w:p>
    <w:p>
      <w:pPr>
        <w:adjustRightInd w:val="0"/>
        <w:snapToGrid w:val="0"/>
        <w:spacing w:line="600" w:lineRule="exact"/>
        <w:ind w:firstLine="600" w:firstLineChars="200"/>
        <w:rPr>
          <w:rFonts w:eastAsia="方正仿宋简体"/>
          <w:bCs/>
          <w:color w:val="000000"/>
          <w:sz w:val="30"/>
          <w:szCs w:val="30"/>
        </w:rPr>
      </w:pPr>
      <w:r>
        <w:rPr>
          <w:rFonts w:eastAsia="方正仿宋简体"/>
          <w:bCs/>
          <w:color w:val="000000"/>
          <w:sz w:val="30"/>
          <w:szCs w:val="30"/>
        </w:rPr>
        <w:t>二、提升社会保障水平</w:t>
      </w:r>
    </w:p>
    <w:p>
      <w:pPr>
        <w:adjustRightInd w:val="0"/>
        <w:snapToGrid w:val="0"/>
        <w:spacing w:line="600" w:lineRule="exact"/>
        <w:ind w:firstLine="600" w:firstLineChars="200"/>
        <w:rPr>
          <w:rFonts w:eastAsia="方正仿宋简体"/>
          <w:color w:val="000000"/>
          <w:sz w:val="30"/>
          <w:szCs w:val="30"/>
        </w:rPr>
      </w:pPr>
      <w:r>
        <w:rPr>
          <w:rFonts w:eastAsia="方正仿宋简体"/>
          <w:color w:val="000000"/>
          <w:sz w:val="30"/>
          <w:szCs w:val="30"/>
        </w:rPr>
        <w:t>加强社会保险、社会救助、社会福利衔接和协调，构建城乡一体的社会保障体系，坚决兜住兜牢民生底线。</w:t>
      </w:r>
    </w:p>
    <w:p>
      <w:pPr>
        <w:adjustRightInd w:val="0"/>
        <w:snapToGrid w:val="0"/>
        <w:spacing w:line="600" w:lineRule="exact"/>
        <w:ind w:firstLine="600" w:firstLineChars="200"/>
        <w:rPr>
          <w:rFonts w:eastAsia="方正仿宋简体"/>
          <w:bCs/>
          <w:color w:val="000000"/>
          <w:sz w:val="30"/>
          <w:szCs w:val="30"/>
        </w:rPr>
      </w:pPr>
      <w:r>
        <w:rPr>
          <w:rFonts w:eastAsia="方正仿宋简体"/>
          <w:bCs/>
          <w:color w:val="000000"/>
          <w:sz w:val="30"/>
          <w:szCs w:val="30"/>
        </w:rPr>
        <w:t>1、完善社会保险体系。</w:t>
      </w:r>
      <w:r>
        <w:rPr>
          <w:rFonts w:eastAsia="方正仿宋简体"/>
          <w:color w:val="000000"/>
          <w:sz w:val="30"/>
          <w:szCs w:val="30"/>
        </w:rPr>
        <w:t>实施全民参保计划，开展全民社会保险参保登记，加强城乡社会保障统筹，完善城乡居民基本养老、医疗、失业、工伤、生育保险制度，健全城乡各项社会保险转移接续政策。加大公共财政投入和社会保险基金征缴力度，健全社会保障待遇标准正常增长机制。稳步提高城镇职工基本养老金、城乡居民基本养老金、参保职工失业保险金等待遇标准。加快医保付费方式改革，建立以病种分值付费为核心的总额控制医保支付制度。提高城乡居民大病保险保障水平，加快实现全民医保。</w:t>
      </w:r>
      <w:r>
        <w:rPr>
          <w:rFonts w:eastAsia="方正仿宋简体"/>
          <w:bCs/>
          <w:color w:val="000000"/>
          <w:sz w:val="30"/>
          <w:szCs w:val="30"/>
        </w:rPr>
        <w:t>发挥商业保险的补充作用，鼓励有条件的单位和个人参加商业保险，大力推行企业年金、职业年金和商业补充医疗保险。</w:t>
      </w:r>
      <w:r>
        <w:rPr>
          <w:rFonts w:eastAsia="方正仿宋简体"/>
          <w:color w:val="000000"/>
          <w:sz w:val="30"/>
          <w:szCs w:val="30"/>
        </w:rPr>
        <w:t>拓展社会保障卡服务功能，实现社保“一卡通”在保障人群内全覆盖。加强社会保障基金监督管理，确保基金安全。划转部分国有资本充实社保基金。到2020年，基本实现法定人员社会保障全覆盖。</w:t>
      </w:r>
    </w:p>
    <w:p>
      <w:pPr>
        <w:adjustRightInd w:val="0"/>
        <w:snapToGrid w:val="0"/>
        <w:spacing w:line="600" w:lineRule="exact"/>
        <w:ind w:firstLine="600" w:firstLineChars="200"/>
        <w:rPr>
          <w:rFonts w:eastAsia="方正仿宋简体"/>
          <w:color w:val="000000"/>
          <w:sz w:val="30"/>
          <w:szCs w:val="30"/>
        </w:rPr>
      </w:pPr>
      <w:r>
        <w:rPr>
          <w:rFonts w:eastAsia="方正仿宋简体"/>
          <w:bCs/>
          <w:color w:val="000000"/>
          <w:sz w:val="30"/>
          <w:szCs w:val="30"/>
        </w:rPr>
        <w:t>2、</w:t>
      </w:r>
      <w:r>
        <w:rPr>
          <w:rFonts w:eastAsia="方正仿宋简体"/>
          <w:bCs/>
          <w:color w:val="000000"/>
          <w:spacing w:val="4"/>
          <w:sz w:val="30"/>
          <w:szCs w:val="30"/>
        </w:rPr>
        <w:t>完善社会救助体系。</w:t>
      </w:r>
      <w:r>
        <w:rPr>
          <w:rFonts w:eastAsia="方正仿宋简体"/>
          <w:color w:val="000000"/>
          <w:spacing w:val="4"/>
          <w:sz w:val="30"/>
          <w:szCs w:val="30"/>
        </w:rPr>
        <w:t>建立健全以最低生活保障为基础、专项救助相配套、临时救助和社会互助为补充的城乡社会救助制度，</w:t>
      </w:r>
      <w:r>
        <w:rPr>
          <w:rFonts w:eastAsia="方正仿宋简体"/>
          <w:bCs/>
          <w:color w:val="000000"/>
          <w:spacing w:val="4"/>
          <w:sz w:val="30"/>
          <w:szCs w:val="30"/>
        </w:rPr>
        <w:t>对符合条件的对象做到应保尽保。</w:t>
      </w:r>
      <w:r>
        <w:rPr>
          <w:rFonts w:eastAsia="方正仿宋简体"/>
          <w:color w:val="000000"/>
          <w:spacing w:val="4"/>
          <w:sz w:val="30"/>
          <w:szCs w:val="30"/>
        </w:rPr>
        <w:t>完善城乡社会救助标准动态调整机制，</w:t>
      </w:r>
      <w:r>
        <w:rPr>
          <w:rFonts w:eastAsia="方正仿宋简体"/>
          <w:bCs/>
          <w:color w:val="000000"/>
          <w:spacing w:val="4"/>
          <w:sz w:val="30"/>
          <w:szCs w:val="30"/>
        </w:rPr>
        <w:t>实现低保与扶贫、失业保险、特重大疾病医疗等救济标准与经济发展、物价水平联动。加快救助管理机构建设。全面实施临时救助制度，积极推进“救急难”工作。</w:t>
      </w:r>
      <w:r>
        <w:rPr>
          <w:rFonts w:eastAsia="方正仿宋简体"/>
          <w:color w:val="000000"/>
          <w:spacing w:val="4"/>
          <w:sz w:val="30"/>
          <w:szCs w:val="30"/>
        </w:rPr>
        <w:t>鼓励和支持慈善组织在灾害救助、贫困救济、医疗救助、教育救助、扶老助残和其他公益事业领域发挥积极作用，推动慈善事业健康发展，全面建成慈善公益城市。</w:t>
      </w:r>
    </w:p>
    <w:p>
      <w:pPr>
        <w:adjustRightInd w:val="0"/>
        <w:snapToGrid w:val="0"/>
        <w:spacing w:line="600" w:lineRule="exact"/>
        <w:ind w:firstLine="600" w:firstLineChars="200"/>
        <w:rPr>
          <w:rFonts w:eastAsia="方正仿宋简体"/>
          <w:bCs/>
          <w:color w:val="000000"/>
          <w:sz w:val="30"/>
          <w:szCs w:val="30"/>
        </w:rPr>
      </w:pPr>
      <w:r>
        <w:rPr>
          <w:rFonts w:eastAsia="方正仿宋简体"/>
          <w:bCs/>
          <w:color w:val="000000"/>
          <w:sz w:val="30"/>
          <w:szCs w:val="30"/>
        </w:rPr>
        <w:t>3、完善住房保障体系。</w:t>
      </w:r>
      <w:r>
        <w:rPr>
          <w:rFonts w:eastAsia="方正仿宋简体"/>
          <w:color w:val="000000"/>
          <w:sz w:val="30"/>
          <w:szCs w:val="30"/>
        </w:rPr>
        <w:t>加快构建和完善以政府为主提供基本保障、以市场为主满足多层次需求的住房供应体系，不断扩大住房保障覆盖面，提升住房保障的能力和水平。</w:t>
      </w:r>
      <w:r>
        <w:rPr>
          <w:rFonts w:eastAsia="方正仿宋简体"/>
          <w:bCs/>
          <w:color w:val="000000"/>
          <w:sz w:val="30"/>
          <w:szCs w:val="30"/>
        </w:rPr>
        <w:t>通过回购商品房、货币化安置等多种方式筹集保障房房源，鼓励引导社会资本有序参与保障性住房建设与运营，</w:t>
      </w:r>
      <w:r>
        <w:rPr>
          <w:rFonts w:eastAsia="方正仿宋简体"/>
          <w:color w:val="000000"/>
          <w:sz w:val="30"/>
          <w:szCs w:val="30"/>
        </w:rPr>
        <w:t>到2020年，主城区保障性住房覆盖面达到20%。</w:t>
      </w:r>
      <w:r>
        <w:rPr>
          <w:rFonts w:eastAsia="方正仿宋简体"/>
          <w:bCs/>
          <w:color w:val="000000"/>
          <w:sz w:val="30"/>
          <w:szCs w:val="30"/>
        </w:rPr>
        <w:t>完善保障性住房管理制度，加强准入、使用、退出等全过程管理，确保保障性住房配租政策程序合理、公开透明，有效解决困难群众住房问题。</w:t>
      </w:r>
    </w:p>
    <w:p>
      <w:pPr>
        <w:adjustRightInd w:val="0"/>
        <w:snapToGrid w:val="0"/>
        <w:spacing w:line="600" w:lineRule="exact"/>
        <w:ind w:firstLine="600" w:firstLineChars="200"/>
        <w:rPr>
          <w:rFonts w:eastAsia="方正仿宋简体"/>
          <w:bCs/>
          <w:color w:val="000000"/>
          <w:sz w:val="30"/>
          <w:szCs w:val="30"/>
        </w:rPr>
      </w:pPr>
      <w:r>
        <w:rPr>
          <w:rFonts w:eastAsia="方正仿宋简体"/>
          <w:bCs/>
          <w:color w:val="000000"/>
          <w:sz w:val="30"/>
          <w:szCs w:val="30"/>
        </w:rPr>
        <w:t>三、推进脱贫攻坚</w:t>
      </w:r>
    </w:p>
    <w:p>
      <w:pPr>
        <w:adjustRightInd w:val="0"/>
        <w:snapToGrid w:val="0"/>
        <w:spacing w:line="600" w:lineRule="exact"/>
        <w:ind w:firstLine="600" w:firstLineChars="200"/>
        <w:rPr>
          <w:rFonts w:eastAsia="方正仿宋简体"/>
          <w:bCs/>
          <w:color w:val="000000"/>
          <w:sz w:val="30"/>
          <w:szCs w:val="30"/>
        </w:rPr>
      </w:pPr>
      <w:r>
        <w:rPr>
          <w:rFonts w:eastAsia="方正仿宋简体"/>
          <w:bCs/>
          <w:color w:val="000000"/>
          <w:sz w:val="30"/>
          <w:szCs w:val="30"/>
        </w:rPr>
        <w:t>全面加快贫困地区小康社会建设和贫困人口脱贫致富步伐，确保到2017年率先全省完成85个贫困村“摘帽”、58489个建档立卡贫困户“清零”任务。</w:t>
      </w:r>
    </w:p>
    <w:p>
      <w:pPr>
        <w:adjustRightInd w:val="0"/>
        <w:snapToGrid w:val="0"/>
        <w:spacing w:line="600" w:lineRule="exact"/>
        <w:ind w:firstLine="600" w:firstLineChars="200"/>
        <w:rPr>
          <w:rFonts w:eastAsia="方正仿宋简体"/>
          <w:bCs/>
          <w:color w:val="000000"/>
          <w:sz w:val="30"/>
          <w:szCs w:val="30"/>
        </w:rPr>
      </w:pPr>
      <w:r>
        <w:rPr>
          <w:rFonts w:eastAsia="方正仿宋简体"/>
          <w:bCs/>
          <w:color w:val="000000"/>
          <w:sz w:val="30"/>
          <w:szCs w:val="30"/>
        </w:rPr>
        <w:t>1、大力实施产业扶贫。推进“一村一品”建设，支持贫困地区发展特色种养殖业，引导农业龙头企业到贫困地区发展订单农业、建设原料基地，推进贫困地区发展农超对接、直销配送、电商农业等新型流通业态，带动贫困地区农户增收致富。优先安排贫困地区旅游交通配套设施建设，支持有条件的贫困村发展自驾游、养生游、休闲游等旅游新业态。支持贫困村盘活集体资源资产，壮大村级集体经济。</w:t>
      </w:r>
    </w:p>
    <w:p>
      <w:pPr>
        <w:adjustRightInd w:val="0"/>
        <w:snapToGrid w:val="0"/>
        <w:spacing w:line="580" w:lineRule="exact"/>
        <w:ind w:firstLine="600" w:firstLineChars="200"/>
        <w:rPr>
          <w:rFonts w:eastAsia="方正仿宋简体"/>
          <w:bCs/>
          <w:color w:val="000000"/>
          <w:sz w:val="30"/>
          <w:szCs w:val="30"/>
        </w:rPr>
      </w:pPr>
      <w:r>
        <w:rPr>
          <w:rFonts w:eastAsia="方正仿宋简体"/>
          <w:bCs/>
          <w:color w:val="000000"/>
          <w:sz w:val="30"/>
          <w:szCs w:val="30"/>
        </w:rPr>
        <w:t>2、</w:t>
      </w:r>
      <w:r>
        <w:rPr>
          <w:rFonts w:eastAsia="方正仿宋简体"/>
          <w:bCs/>
          <w:color w:val="000000"/>
          <w:spacing w:val="-4"/>
          <w:sz w:val="30"/>
          <w:szCs w:val="30"/>
        </w:rPr>
        <w:t>扎实推进教育扶贫。加大教育扶贫力度，优先支持贫困村教育事业发展，大力推动义务教育资源向贫困地区倾斜，全面改善贫困地区办学条件。加强贫困地区师资队伍建设，提高贫困生就读的学费</w:t>
      </w:r>
      <w:r>
        <w:rPr>
          <w:rFonts w:eastAsia="方正仿宋简体"/>
          <w:bCs/>
          <w:color w:val="000000"/>
          <w:sz w:val="30"/>
          <w:szCs w:val="30"/>
        </w:rPr>
        <w:t>和生活费补助标准。积极推动社会力量帮扶贫困学生，多渠道筹集贫困生资助资金，减少因学返贫现象。关爱农村留守儿童，实现留守儿童入学率达100%。</w:t>
      </w:r>
    </w:p>
    <w:p>
      <w:pPr>
        <w:adjustRightInd w:val="0"/>
        <w:snapToGrid w:val="0"/>
        <w:spacing w:line="580" w:lineRule="exact"/>
        <w:ind w:firstLine="600" w:firstLineChars="200"/>
        <w:rPr>
          <w:rFonts w:hint="eastAsia" w:eastAsia="方正仿宋简体"/>
          <w:bCs/>
          <w:color w:val="000000"/>
          <w:sz w:val="30"/>
          <w:szCs w:val="30"/>
        </w:rPr>
      </w:pPr>
      <w:r>
        <w:rPr>
          <w:rFonts w:eastAsia="方正仿宋简体"/>
          <w:bCs/>
          <w:color w:val="000000"/>
          <w:sz w:val="30"/>
          <w:szCs w:val="30"/>
        </w:rPr>
        <w:t>3、积极开展就业扶贫。加大对农村劳动力转移就业培训力度，实现贫困家庭“雨露计划”培训全覆盖。积极发展劳务经济，建立贫困人口就业扶持机制，鼓励企业优先吸纳贫困人口就业。积极探索政府购买公益性岗位就业模式，开发一批农村公路养护、保洁、治安巡逻等公益性岗位，扶持贫困人口就业。实施“一家一”助学就业工程，优先解决贫困家庭子女就业问题。加大政策扶持力度，落实工商登记、土地使用、用电用水、贷款贴息等优惠政策，支持贫困人口创业。</w:t>
      </w:r>
    </w:p>
    <w:p>
      <w:pPr>
        <w:adjustRightInd w:val="0"/>
        <w:snapToGrid w:val="0"/>
        <w:spacing w:line="580" w:lineRule="exact"/>
        <w:jc w:val="center"/>
        <w:rPr>
          <w:rFonts w:hint="eastAsia" w:eastAsia="方正仿宋简体"/>
          <w:bCs/>
          <w:color w:val="000000"/>
          <w:sz w:val="30"/>
          <w:szCs w:val="30"/>
        </w:rPr>
      </w:pPr>
      <w:r>
        <w:rPr>
          <w:rFonts w:hint="eastAsia" w:ascii="黑体" w:eastAsia="黑体"/>
          <w:color w:val="000000"/>
          <w:sz w:val="28"/>
          <w:szCs w:val="28"/>
        </w:rPr>
        <w:t>专栏24：脱贫攻坚重点行动</w:t>
      </w:r>
    </w:p>
    <w:tbl>
      <w:tblPr>
        <w:tblStyle w:val="15"/>
        <w:tblW w:w="0" w:type="auto"/>
        <w:jc w:val="center"/>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Layout w:type="fixed"/>
        <w:tblCellMar>
          <w:top w:w="0" w:type="dxa"/>
          <w:left w:w="108" w:type="dxa"/>
          <w:bottom w:w="0" w:type="dxa"/>
          <w:right w:w="108" w:type="dxa"/>
        </w:tblCellMar>
      </w:tblPr>
      <w:tblGrid>
        <w:gridCol w:w="8813"/>
      </w:tblGrid>
      <w:tr>
        <w:trPr>
          <w:trHeight w:val="6427" w:hRule="atLeast"/>
          <w:jc w:val="center"/>
        </w:trPr>
        <w:tc>
          <w:tcPr>
            <w:tcW w:w="8813" w:type="dxa"/>
            <w:noWrap w:val="0"/>
            <w:vAlign w:val="center"/>
          </w:tcPr>
          <w:p>
            <w:pPr>
              <w:pBdr>
                <w:top w:val="none" w:color="auto" w:sz="0" w:space="1"/>
                <w:left w:val="none" w:color="auto" w:sz="0" w:space="4"/>
                <w:bottom w:val="none" w:color="auto" w:sz="0" w:space="1"/>
                <w:right w:val="none" w:color="auto" w:sz="0" w:space="4"/>
              </w:pBdr>
              <w:tabs>
                <w:tab w:val="center" w:pos="4153"/>
                <w:tab w:val="right" w:pos="8306"/>
              </w:tabs>
              <w:adjustRightInd w:val="0"/>
              <w:snapToGrid w:val="0"/>
              <w:spacing w:line="340" w:lineRule="exact"/>
              <w:ind w:firstLine="560" w:firstLineChars="200"/>
              <w:rPr>
                <w:rFonts w:eastAsia="方正仿宋简体"/>
                <w:color w:val="000000"/>
                <w:sz w:val="28"/>
                <w:szCs w:val="28"/>
              </w:rPr>
            </w:pPr>
            <w:r>
              <w:rPr>
                <w:rFonts w:eastAsia="方正仿宋简体"/>
                <w:bCs/>
                <w:color w:val="000000"/>
                <w:sz w:val="28"/>
                <w:szCs w:val="28"/>
              </w:rPr>
              <w:t>产业扶贫工程。</w:t>
            </w:r>
            <w:r>
              <w:rPr>
                <w:rFonts w:eastAsia="方正仿宋简体"/>
                <w:color w:val="000000"/>
                <w:sz w:val="28"/>
                <w:szCs w:val="28"/>
              </w:rPr>
              <w:t>扶持壮大村级集体经济，发展服务经济、物业经济、资源经济，增强贫困地区内生动力。到2017年，每个贫困村有1-2个产业基地，扶贫对象每户实施一个增收项目，村级集体经济收入年均增长30%以上。</w:t>
            </w:r>
          </w:p>
          <w:p>
            <w:pPr>
              <w:pBdr>
                <w:top w:val="none" w:color="auto" w:sz="0" w:space="1"/>
                <w:left w:val="none" w:color="auto" w:sz="0" w:space="4"/>
                <w:bottom w:val="none" w:color="auto" w:sz="0" w:space="1"/>
                <w:right w:val="none" w:color="auto" w:sz="0" w:space="4"/>
              </w:pBdr>
              <w:tabs>
                <w:tab w:val="center" w:pos="4153"/>
                <w:tab w:val="right" w:pos="8306"/>
              </w:tabs>
              <w:adjustRightInd w:val="0"/>
              <w:snapToGrid w:val="0"/>
              <w:spacing w:line="340" w:lineRule="exact"/>
              <w:ind w:firstLine="560" w:firstLineChars="200"/>
              <w:rPr>
                <w:rFonts w:eastAsia="方正仿宋简体"/>
                <w:color w:val="000000"/>
                <w:sz w:val="28"/>
                <w:szCs w:val="28"/>
              </w:rPr>
            </w:pPr>
            <w:r>
              <w:rPr>
                <w:rFonts w:eastAsia="方正仿宋简体"/>
                <w:color w:val="000000"/>
                <w:sz w:val="28"/>
                <w:szCs w:val="28"/>
              </w:rPr>
              <w:t>基础设施改造工程。全面实施贫困地区农田保收增效、农村公路联网、农村电力升级、农村生态环境保护、农村文化提升五大基础设施改造工程。到2017年，贫困地区出行难、饮水难、用电难等问题得到有效解决，群众生产生活得到明显改善。</w:t>
            </w:r>
          </w:p>
          <w:p>
            <w:pPr>
              <w:pBdr>
                <w:top w:val="none" w:color="auto" w:sz="0" w:space="1"/>
                <w:left w:val="none" w:color="auto" w:sz="0" w:space="4"/>
                <w:bottom w:val="none" w:color="auto" w:sz="0" w:space="1"/>
                <w:right w:val="none" w:color="auto" w:sz="0" w:space="4"/>
              </w:pBdr>
              <w:tabs>
                <w:tab w:val="center" w:pos="4153"/>
                <w:tab w:val="right" w:pos="8306"/>
              </w:tabs>
              <w:adjustRightInd w:val="0"/>
              <w:snapToGrid w:val="0"/>
              <w:spacing w:line="340" w:lineRule="exact"/>
              <w:ind w:firstLine="544" w:firstLineChars="200"/>
              <w:rPr>
                <w:rFonts w:eastAsia="方正仿宋简体"/>
                <w:color w:val="000000"/>
                <w:spacing w:val="-4"/>
                <w:sz w:val="28"/>
                <w:szCs w:val="28"/>
              </w:rPr>
            </w:pPr>
            <w:r>
              <w:rPr>
                <w:rFonts w:eastAsia="方正仿宋简体"/>
                <w:color w:val="000000"/>
                <w:spacing w:val="-4"/>
                <w:sz w:val="28"/>
                <w:szCs w:val="28"/>
              </w:rPr>
              <w:t>雨露计划。通过资助、引导农村贫困家庭劳动力接受职业教育和各类技能培训、培养贫困村产业发展带头人等途径，扶持和帮助贫困人口增加就业发展机会和提高劳动收入，确保家庭经济困难学生入学应助尽助。</w:t>
            </w:r>
          </w:p>
          <w:p>
            <w:pPr>
              <w:pBdr>
                <w:top w:val="none" w:color="auto" w:sz="0" w:space="1"/>
                <w:left w:val="none" w:color="auto" w:sz="0" w:space="4"/>
                <w:bottom w:val="none" w:color="auto" w:sz="0" w:space="1"/>
                <w:right w:val="none" w:color="auto" w:sz="0" w:space="4"/>
              </w:pBdr>
              <w:tabs>
                <w:tab w:val="center" w:pos="4153"/>
                <w:tab w:val="right" w:pos="8306"/>
              </w:tabs>
              <w:adjustRightInd w:val="0"/>
              <w:snapToGrid w:val="0"/>
              <w:spacing w:line="340" w:lineRule="exact"/>
              <w:ind w:firstLine="560" w:firstLineChars="200"/>
              <w:rPr>
                <w:rFonts w:eastAsia="方正仿宋简体"/>
                <w:color w:val="000000"/>
                <w:sz w:val="28"/>
                <w:szCs w:val="28"/>
              </w:rPr>
            </w:pPr>
            <w:r>
              <w:rPr>
                <w:rFonts w:eastAsia="方正仿宋简体"/>
                <w:bCs/>
                <w:color w:val="000000"/>
                <w:sz w:val="28"/>
                <w:szCs w:val="28"/>
              </w:rPr>
              <w:t>驻村帮扶工程。</w:t>
            </w:r>
            <w:r>
              <w:rPr>
                <w:rFonts w:eastAsia="方正仿宋简体"/>
                <w:color w:val="000000"/>
                <w:sz w:val="28"/>
                <w:szCs w:val="28"/>
              </w:rPr>
              <w:t>按照“市指导、县为主”原则，建立对口扶贫帮扶机制，选派优秀干部驻村帮扶、定点帮扶，85村实现驻村帮扶全覆盖，每村累计投入财政扶贫专项资金不少于100万元。</w:t>
            </w:r>
          </w:p>
          <w:p>
            <w:pPr>
              <w:pBdr>
                <w:top w:val="none" w:color="auto" w:sz="0" w:space="1"/>
                <w:left w:val="none" w:color="auto" w:sz="0" w:space="4"/>
                <w:bottom w:val="none" w:color="auto" w:sz="0" w:space="1"/>
                <w:right w:val="none" w:color="auto" w:sz="0" w:space="4"/>
              </w:pBdr>
              <w:tabs>
                <w:tab w:val="center" w:pos="4153"/>
                <w:tab w:val="right" w:pos="8306"/>
              </w:tabs>
              <w:adjustRightInd w:val="0"/>
              <w:snapToGrid w:val="0"/>
              <w:spacing w:line="340" w:lineRule="exact"/>
              <w:ind w:firstLine="560" w:firstLineChars="200"/>
              <w:rPr>
                <w:rFonts w:eastAsia="方正仿宋简体"/>
                <w:bCs/>
                <w:color w:val="000000"/>
                <w:sz w:val="28"/>
                <w:szCs w:val="28"/>
              </w:rPr>
            </w:pPr>
            <w:r>
              <w:rPr>
                <w:rFonts w:eastAsia="方正仿宋简体"/>
                <w:bCs/>
                <w:color w:val="000000"/>
                <w:sz w:val="28"/>
                <w:szCs w:val="28"/>
              </w:rPr>
              <w:t>易地搬迁扶贫工程。</w:t>
            </w:r>
            <w:r>
              <w:rPr>
                <w:rFonts w:eastAsia="方正仿宋简体"/>
                <w:color w:val="000000"/>
                <w:sz w:val="28"/>
                <w:szCs w:val="28"/>
              </w:rPr>
              <w:t>集中搬迁安置不具备生产生活条件的贫困人口，重点建设住宅、基本农田、水利设施、乡村道路、农村能源等配套设施和教育、卫生、医疗等公共服务设施。到2017年，基本解决贫困人口住房保障，易地扶贫搬迁和贫困户危房改造达标率达100%。</w:t>
            </w:r>
          </w:p>
        </w:tc>
      </w:tr>
    </w:tbl>
    <w:p>
      <w:pPr>
        <w:adjustRightInd w:val="0"/>
        <w:snapToGrid w:val="0"/>
        <w:spacing w:before="312" w:beforeLines="100" w:after="312" w:afterLines="100" w:line="200" w:lineRule="exact"/>
        <w:jc w:val="center"/>
        <w:rPr>
          <w:rFonts w:hint="eastAsia" w:eastAsia="方正仿宋简体"/>
          <w:color w:val="000000"/>
          <w:sz w:val="30"/>
          <w:szCs w:val="30"/>
        </w:rPr>
      </w:pPr>
    </w:p>
    <w:p>
      <w:pPr>
        <w:adjustRightInd w:val="0"/>
        <w:snapToGrid w:val="0"/>
        <w:spacing w:before="312" w:beforeLines="100" w:after="312" w:afterLines="100" w:line="600" w:lineRule="exact"/>
        <w:jc w:val="center"/>
        <w:rPr>
          <w:rFonts w:eastAsia="方正仿宋简体"/>
          <w:color w:val="000000"/>
          <w:sz w:val="30"/>
          <w:szCs w:val="30"/>
        </w:rPr>
      </w:pPr>
      <w:r>
        <w:rPr>
          <w:rFonts w:eastAsia="方正仿宋简体"/>
          <w:color w:val="000000"/>
          <w:sz w:val="30"/>
          <w:szCs w:val="30"/>
        </w:rPr>
        <w:t>第二节  提高社会事业现代化水平</w:t>
      </w:r>
    </w:p>
    <w:p>
      <w:pPr>
        <w:adjustRightInd w:val="0"/>
        <w:snapToGrid w:val="0"/>
        <w:spacing w:line="600" w:lineRule="exact"/>
        <w:ind w:firstLine="600" w:firstLineChars="200"/>
        <w:rPr>
          <w:rFonts w:eastAsia="方正仿宋简体"/>
          <w:bCs/>
          <w:color w:val="000000"/>
          <w:sz w:val="30"/>
          <w:szCs w:val="30"/>
        </w:rPr>
      </w:pPr>
      <w:r>
        <w:rPr>
          <w:rFonts w:eastAsia="方正仿宋简体"/>
          <w:bCs/>
          <w:color w:val="000000"/>
          <w:sz w:val="30"/>
          <w:szCs w:val="30"/>
        </w:rPr>
        <w:t>推进社会事业建设，全面提高教育、医疗卫生、体育等民生领域的现代化水平，建设幸福生活品质之城。</w:t>
      </w:r>
    </w:p>
    <w:p>
      <w:pPr>
        <w:adjustRightInd w:val="0"/>
        <w:snapToGrid w:val="0"/>
        <w:spacing w:line="600" w:lineRule="exact"/>
        <w:ind w:firstLine="600" w:firstLineChars="200"/>
        <w:rPr>
          <w:rFonts w:eastAsia="方正仿宋简体"/>
          <w:bCs/>
          <w:color w:val="000000"/>
          <w:sz w:val="30"/>
          <w:szCs w:val="30"/>
        </w:rPr>
      </w:pPr>
      <w:r>
        <w:rPr>
          <w:rFonts w:eastAsia="方正仿宋简体"/>
          <w:bCs/>
          <w:color w:val="000000"/>
          <w:sz w:val="30"/>
          <w:szCs w:val="30"/>
        </w:rPr>
        <w:t>一、率先实现教育基本现代化</w:t>
      </w:r>
    </w:p>
    <w:p>
      <w:pPr>
        <w:adjustRightInd w:val="0"/>
        <w:snapToGrid w:val="0"/>
        <w:spacing w:line="600" w:lineRule="exact"/>
        <w:ind w:firstLine="600" w:firstLineChars="200"/>
        <w:rPr>
          <w:rFonts w:eastAsia="方正仿宋简体"/>
          <w:bCs/>
          <w:color w:val="000000"/>
          <w:sz w:val="30"/>
          <w:szCs w:val="30"/>
        </w:rPr>
      </w:pPr>
      <w:r>
        <w:rPr>
          <w:rFonts w:eastAsia="方正仿宋简体"/>
          <w:bCs/>
          <w:color w:val="000000"/>
          <w:sz w:val="30"/>
          <w:szCs w:val="30"/>
        </w:rPr>
        <w:t>坚持教育优先发展，全面落实立德树人根本任务，强化社会主义核心价值体系教育，全面提高教育质量，率先实现长沙教育的基本现代化。</w:t>
      </w:r>
    </w:p>
    <w:p>
      <w:pPr>
        <w:adjustRightInd w:val="0"/>
        <w:snapToGrid w:val="0"/>
        <w:spacing w:line="600" w:lineRule="exact"/>
        <w:ind w:firstLine="600" w:firstLineChars="200"/>
        <w:rPr>
          <w:rFonts w:eastAsia="方正仿宋简体"/>
          <w:color w:val="000000"/>
          <w:spacing w:val="3"/>
          <w:sz w:val="30"/>
          <w:szCs w:val="30"/>
        </w:rPr>
      </w:pPr>
      <w:r>
        <w:rPr>
          <w:rFonts w:eastAsia="方正仿宋简体"/>
          <w:color w:val="000000"/>
          <w:sz w:val="30"/>
          <w:szCs w:val="30"/>
        </w:rPr>
        <w:t>1、</w:t>
      </w:r>
      <w:r>
        <w:rPr>
          <w:rFonts w:eastAsia="方正仿宋简体"/>
          <w:color w:val="000000"/>
          <w:spacing w:val="3"/>
          <w:sz w:val="30"/>
          <w:szCs w:val="30"/>
        </w:rPr>
        <w:t>推进基础教育优质发展。推进学前教育普惠提质，</w:t>
      </w:r>
      <w:r>
        <w:rPr>
          <w:rFonts w:eastAsia="方正仿宋简体"/>
          <w:bCs/>
          <w:color w:val="000000"/>
          <w:spacing w:val="3"/>
          <w:sz w:val="30"/>
          <w:szCs w:val="30"/>
        </w:rPr>
        <w:t>实施学前教育第二轮行动计划，完善政府主导、社会参与、公办园和民办普惠性幼儿园为主的办园格局，扩大学前教育资源总量，学前教育三年毛入园率达94%，公办幼儿园和普惠性民办幼儿园占幼儿园总数的80%以上。推进义务教育优质均衡，实行统一的城乡义务教育经费保障机制，科学统筹教育资源配置，均衡城乡办学条件，基本解决大班额，扩大优质中小学覆盖面，让老百姓在家门口享受优质教育，实现就近上好学。全面普及十五年教育，逐步推行高中阶段教育免费入学，推进十二年免费教育；鼓励支持普通高中特色发展，支持优质高中开展现代教育实验，到2020年高中阶段毛入学</w:t>
      </w:r>
      <w:r>
        <w:rPr>
          <w:rFonts w:eastAsia="方正仿宋简体"/>
          <w:color w:val="000000"/>
          <w:spacing w:val="3"/>
          <w:sz w:val="30"/>
          <w:szCs w:val="30"/>
        </w:rPr>
        <w:t>率达到</w:t>
      </w:r>
      <w:r>
        <w:rPr>
          <w:rFonts w:eastAsia="方正仿宋简体"/>
          <w:bCs/>
          <w:color w:val="000000"/>
          <w:spacing w:val="3"/>
          <w:sz w:val="30"/>
          <w:szCs w:val="30"/>
        </w:rPr>
        <w:t>98%</w:t>
      </w:r>
      <w:r>
        <w:rPr>
          <w:rFonts w:eastAsia="方正仿宋简体"/>
          <w:color w:val="000000"/>
          <w:spacing w:val="3"/>
          <w:sz w:val="30"/>
          <w:szCs w:val="30"/>
        </w:rPr>
        <w:t>以上。办好特殊教育，到</w:t>
      </w:r>
      <w:r>
        <w:rPr>
          <w:rFonts w:eastAsia="方正仿宋简体"/>
          <w:bCs/>
          <w:color w:val="000000"/>
          <w:spacing w:val="3"/>
          <w:sz w:val="30"/>
          <w:szCs w:val="30"/>
        </w:rPr>
        <w:t>2020</w:t>
      </w:r>
      <w:r>
        <w:rPr>
          <w:rFonts w:eastAsia="方正仿宋简体"/>
          <w:color w:val="000000"/>
          <w:spacing w:val="3"/>
          <w:sz w:val="30"/>
          <w:szCs w:val="30"/>
        </w:rPr>
        <w:t>年“三残”儿童毛入学率达到</w:t>
      </w:r>
      <w:r>
        <w:rPr>
          <w:rFonts w:eastAsia="方正仿宋简体"/>
          <w:bCs/>
          <w:color w:val="000000"/>
          <w:spacing w:val="3"/>
          <w:sz w:val="30"/>
          <w:szCs w:val="30"/>
        </w:rPr>
        <w:t>93%</w:t>
      </w:r>
      <w:r>
        <w:rPr>
          <w:rFonts w:eastAsia="方正仿宋简体"/>
          <w:color w:val="000000"/>
          <w:spacing w:val="3"/>
          <w:sz w:val="30"/>
          <w:szCs w:val="30"/>
        </w:rPr>
        <w:t>。</w:t>
      </w:r>
    </w:p>
    <w:p>
      <w:pPr>
        <w:adjustRightInd w:val="0"/>
        <w:snapToGrid w:val="0"/>
        <w:spacing w:line="600" w:lineRule="exact"/>
        <w:ind w:firstLine="600"/>
        <w:rPr>
          <w:rFonts w:eastAsia="方正仿宋简体"/>
          <w:color w:val="000000"/>
          <w:sz w:val="30"/>
          <w:szCs w:val="30"/>
        </w:rPr>
      </w:pPr>
      <w:r>
        <w:rPr>
          <w:rFonts w:eastAsia="方正仿宋简体"/>
          <w:color w:val="000000"/>
          <w:sz w:val="30"/>
          <w:szCs w:val="30"/>
        </w:rPr>
        <w:t>2、加快发展现代职业教育。完善政府、企业和社会多元办学格</w:t>
      </w:r>
      <w:r>
        <w:rPr>
          <w:rFonts w:eastAsia="方正仿宋简体"/>
          <w:color w:val="000000"/>
          <w:spacing w:val="4"/>
          <w:sz w:val="30"/>
          <w:szCs w:val="30"/>
        </w:rPr>
        <w:t>局，加强与国内外职业院校合作办学，构建具有长沙特色、适应</w:t>
      </w:r>
      <w:r>
        <w:rPr>
          <w:rFonts w:eastAsia="方正仿宋简体"/>
          <w:color w:val="000000"/>
          <w:sz w:val="30"/>
          <w:szCs w:val="30"/>
        </w:rPr>
        <w:t>转型创新发展需要的现代职业教育体系。统筹规划职业院校规模、布局和专业设置，建设一批市级以上卓越职业院校、示范性专业群，推进“现代学徒制”国家试点，探索推行校企一体化办学，提高职业教育服务产业的水平。整合区域内职业教育资源，加快香山教育城等项目建设，推进职业教育集团化发展。各类职业培训规模达到</w:t>
      </w:r>
      <w:r>
        <w:rPr>
          <w:rFonts w:eastAsia="方正仿宋简体"/>
          <w:bCs/>
          <w:color w:val="000000"/>
          <w:sz w:val="30"/>
          <w:szCs w:val="30"/>
        </w:rPr>
        <w:t>20</w:t>
      </w:r>
      <w:r>
        <w:rPr>
          <w:rFonts w:eastAsia="方正仿宋简体"/>
          <w:color w:val="000000"/>
          <w:sz w:val="30"/>
          <w:szCs w:val="30"/>
        </w:rPr>
        <w:t>万人次/年。</w:t>
      </w:r>
    </w:p>
    <w:p>
      <w:pPr>
        <w:adjustRightInd w:val="0"/>
        <w:snapToGrid w:val="0"/>
        <w:spacing w:line="600" w:lineRule="exact"/>
        <w:ind w:firstLine="600" w:firstLineChars="200"/>
        <w:rPr>
          <w:rFonts w:hint="eastAsia" w:eastAsia="方正仿宋简体"/>
          <w:color w:val="000000"/>
          <w:sz w:val="30"/>
          <w:szCs w:val="30"/>
        </w:rPr>
      </w:pPr>
      <w:r>
        <w:rPr>
          <w:rFonts w:eastAsia="方正仿宋简体"/>
          <w:color w:val="000000"/>
          <w:sz w:val="30"/>
          <w:szCs w:val="30"/>
        </w:rPr>
        <w:t>3、推进高等教育创新发展。提升高校办学品牌影响力，鼓励高校顺应经济结构调整合理定位、分类发展。支持在长高校建设一流院校，支持长沙学院建设一流地方院校，支持有条件的职业院校开展本科教育，筹办幼儿师范高等专科学校。完善终身教育机制，提高全民教育水平。到2020年，高等教育毛入学率达到75%。</w:t>
      </w:r>
    </w:p>
    <w:p>
      <w:pPr>
        <w:adjustRightInd w:val="0"/>
        <w:snapToGrid w:val="0"/>
        <w:spacing w:line="600" w:lineRule="exact"/>
        <w:jc w:val="center"/>
        <w:rPr>
          <w:rFonts w:hint="eastAsia" w:eastAsia="方正仿宋简体"/>
          <w:color w:val="000000"/>
          <w:sz w:val="30"/>
          <w:szCs w:val="30"/>
        </w:rPr>
      </w:pPr>
      <w:r>
        <w:rPr>
          <w:rFonts w:hint="eastAsia" w:ascii="黑体" w:eastAsia="黑体"/>
          <w:color w:val="000000"/>
          <w:sz w:val="28"/>
          <w:szCs w:val="28"/>
        </w:rPr>
        <w:t>专栏25：教育水平综合提升行动</w:t>
      </w:r>
    </w:p>
    <w:tbl>
      <w:tblPr>
        <w:tblStyle w:val="15"/>
        <w:tblW w:w="0" w:type="auto"/>
        <w:jc w:val="center"/>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Layout w:type="fixed"/>
        <w:tblCellMar>
          <w:top w:w="0" w:type="dxa"/>
          <w:left w:w="108" w:type="dxa"/>
          <w:bottom w:w="0" w:type="dxa"/>
          <w:right w:w="108" w:type="dxa"/>
        </w:tblCellMar>
      </w:tblPr>
      <w:tblGrid>
        <w:gridCol w:w="8738"/>
      </w:tblGrid>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PrEx>
        <w:trPr>
          <w:trHeight w:val="6175" w:hRule="atLeast"/>
          <w:jc w:val="center"/>
        </w:trPr>
        <w:tc>
          <w:tcPr>
            <w:tcW w:w="8738" w:type="dxa"/>
            <w:noWrap w:val="0"/>
            <w:vAlign w:val="center"/>
          </w:tcPr>
          <w:p>
            <w:pPr>
              <w:pBdr>
                <w:top w:val="none" w:color="auto" w:sz="0" w:space="1"/>
                <w:left w:val="none" w:color="auto" w:sz="0" w:space="4"/>
                <w:bottom w:val="none" w:color="auto" w:sz="0" w:space="1"/>
                <w:right w:val="none" w:color="auto" w:sz="0" w:space="4"/>
              </w:pBdr>
              <w:tabs>
                <w:tab w:val="center" w:pos="4153"/>
                <w:tab w:val="right" w:pos="8306"/>
              </w:tabs>
              <w:adjustRightInd w:val="0"/>
              <w:snapToGrid w:val="0"/>
              <w:spacing w:line="400" w:lineRule="exact"/>
              <w:ind w:firstLine="560" w:firstLineChars="200"/>
              <w:rPr>
                <w:rFonts w:eastAsia="方正仿宋简体"/>
                <w:color w:val="000000"/>
                <w:sz w:val="28"/>
                <w:szCs w:val="28"/>
              </w:rPr>
            </w:pPr>
            <w:r>
              <w:rPr>
                <w:rFonts w:eastAsia="方正仿宋简体"/>
                <w:bCs/>
                <w:color w:val="000000"/>
                <w:sz w:val="28"/>
                <w:szCs w:val="28"/>
              </w:rPr>
              <w:t>学校布局优化工程。</w:t>
            </w:r>
            <w:r>
              <w:rPr>
                <w:rFonts w:eastAsia="方正仿宋简体"/>
                <w:color w:val="000000"/>
                <w:sz w:val="28"/>
                <w:szCs w:val="28"/>
              </w:rPr>
              <w:t>逐年安排新改扩建一批公办幼儿园，推进农村大村独立办园，小村灵活办园或建分园，城市新区开发和旧区改建时，每4000居民以上住宅区按标准规划配置小学、幼儿园，每8000居民以上住宅区按标准规划配置中学。原则上城区小学服务半径1公里，城区初中服务半径1.5公里；农村小学服务半径2.5公里，农村初中服务半径3公里，保障学生每天上学单程步行时间一般不超过40分钟，超过服务半径的学校，应提供标准校车服务或寄宿条件。按照普职分流大体相当的要求完善高中阶段学校布局。</w:t>
            </w:r>
          </w:p>
          <w:p>
            <w:pPr>
              <w:pBdr>
                <w:top w:val="none" w:color="auto" w:sz="0" w:space="1"/>
                <w:left w:val="none" w:color="auto" w:sz="0" w:space="4"/>
                <w:bottom w:val="none" w:color="auto" w:sz="0" w:space="1"/>
                <w:right w:val="none" w:color="auto" w:sz="0" w:space="4"/>
              </w:pBdr>
              <w:tabs>
                <w:tab w:val="center" w:pos="4153"/>
                <w:tab w:val="right" w:pos="8306"/>
              </w:tabs>
              <w:adjustRightInd w:val="0"/>
              <w:snapToGrid w:val="0"/>
              <w:spacing w:line="400" w:lineRule="exact"/>
              <w:ind w:firstLine="560" w:firstLineChars="200"/>
              <w:rPr>
                <w:rFonts w:eastAsia="方正仿宋简体"/>
                <w:color w:val="000000"/>
                <w:sz w:val="28"/>
                <w:szCs w:val="28"/>
              </w:rPr>
            </w:pPr>
            <w:r>
              <w:rPr>
                <w:rFonts w:eastAsia="方正仿宋简体"/>
                <w:bCs/>
                <w:color w:val="000000"/>
                <w:sz w:val="28"/>
                <w:szCs w:val="28"/>
              </w:rPr>
              <w:t>义务教育班额控制工程。</w:t>
            </w:r>
            <w:r>
              <w:rPr>
                <w:rFonts w:eastAsia="方正仿宋简体"/>
                <w:color w:val="000000"/>
                <w:sz w:val="28"/>
                <w:szCs w:val="28"/>
              </w:rPr>
              <w:t>建立化解“大班额”五年行动计划和专项督导评估制度。力争从2016年起，全市小学、初中起始年级班额分别控制在50人、55人以内，基本消除义务教育阶段学校起始年级“大班额”；到2020年，小学、初中所有年级班额控制在50人、55人以内，全面消除义务教育阶段学校“大班额”。</w:t>
            </w:r>
          </w:p>
          <w:p>
            <w:pPr>
              <w:pBdr>
                <w:top w:val="none" w:color="auto" w:sz="0" w:space="1"/>
                <w:left w:val="none" w:color="auto" w:sz="0" w:space="4"/>
                <w:bottom w:val="none" w:color="auto" w:sz="0" w:space="1"/>
                <w:right w:val="none" w:color="auto" w:sz="0" w:space="4"/>
              </w:pBdr>
              <w:tabs>
                <w:tab w:val="center" w:pos="4153"/>
                <w:tab w:val="right" w:pos="8306"/>
              </w:tabs>
              <w:adjustRightInd w:val="0"/>
              <w:snapToGrid w:val="0"/>
              <w:spacing w:line="400" w:lineRule="exact"/>
              <w:ind w:firstLine="544" w:firstLineChars="200"/>
              <w:rPr>
                <w:rFonts w:eastAsia="方正仿宋简体"/>
                <w:color w:val="000000"/>
                <w:sz w:val="28"/>
                <w:szCs w:val="28"/>
              </w:rPr>
            </w:pPr>
            <w:r>
              <w:rPr>
                <w:rFonts w:eastAsia="方正仿宋简体"/>
                <w:bCs/>
                <w:color w:val="000000"/>
                <w:spacing w:val="-4"/>
                <w:sz w:val="28"/>
                <w:szCs w:val="28"/>
              </w:rPr>
              <w:t>义务教育标准化学校建设工程。</w:t>
            </w:r>
            <w:r>
              <w:rPr>
                <w:rFonts w:eastAsia="方正仿宋简体"/>
                <w:color w:val="000000"/>
                <w:spacing w:val="-4"/>
                <w:sz w:val="28"/>
                <w:szCs w:val="28"/>
              </w:rPr>
              <w:t>新改扩建中小学校120所，全面改造义务教育薄弱学校，推进义务教育学校校舍、师资、实验设备、图书、</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PrEx>
        <w:trPr>
          <w:trHeight w:val="4181" w:hRule="atLeast"/>
          <w:jc w:val="center"/>
        </w:trPr>
        <w:tc>
          <w:tcPr>
            <w:tcW w:w="8738" w:type="dxa"/>
            <w:noWrap w:val="0"/>
            <w:vAlign w:val="center"/>
          </w:tcPr>
          <w:p>
            <w:pPr>
              <w:pBdr>
                <w:top w:val="none" w:color="auto" w:sz="0" w:space="1"/>
                <w:left w:val="none" w:color="auto" w:sz="0" w:space="4"/>
                <w:bottom w:val="none" w:color="auto" w:sz="0" w:space="1"/>
                <w:right w:val="none" w:color="auto" w:sz="0" w:space="4"/>
              </w:pBdr>
              <w:tabs>
                <w:tab w:val="center" w:pos="4153"/>
                <w:tab w:val="right" w:pos="8306"/>
              </w:tabs>
              <w:adjustRightInd w:val="0"/>
              <w:snapToGrid w:val="0"/>
              <w:spacing w:line="400" w:lineRule="exact"/>
              <w:rPr>
                <w:rFonts w:eastAsia="方正仿宋简体"/>
                <w:color w:val="000000"/>
                <w:sz w:val="28"/>
                <w:szCs w:val="28"/>
              </w:rPr>
            </w:pPr>
            <w:r>
              <w:rPr>
                <w:rFonts w:eastAsia="方正仿宋简体"/>
                <w:color w:val="000000"/>
                <w:sz w:val="28"/>
                <w:szCs w:val="28"/>
              </w:rPr>
              <w:t>体育场地、后勤设施全面达标，实现义务教育标准化学校全覆盖。完成长沙市中小学生科技活动中心及素质教育基地建设。改善农村学生特别是留守儿童寄宿条件。</w:t>
            </w:r>
          </w:p>
          <w:p>
            <w:pPr>
              <w:pBdr>
                <w:top w:val="none" w:color="auto" w:sz="0" w:space="1"/>
                <w:left w:val="none" w:color="auto" w:sz="0" w:space="4"/>
                <w:bottom w:val="none" w:color="auto" w:sz="0" w:space="1"/>
                <w:right w:val="none" w:color="auto" w:sz="0" w:space="4"/>
              </w:pBdr>
              <w:tabs>
                <w:tab w:val="center" w:pos="4153"/>
                <w:tab w:val="right" w:pos="8306"/>
              </w:tabs>
              <w:adjustRightInd w:val="0"/>
              <w:snapToGrid w:val="0"/>
              <w:spacing w:line="400" w:lineRule="exact"/>
              <w:ind w:firstLine="560" w:firstLineChars="200"/>
              <w:rPr>
                <w:rFonts w:eastAsia="方正仿宋简体"/>
                <w:bCs/>
                <w:color w:val="000000"/>
                <w:sz w:val="28"/>
                <w:szCs w:val="28"/>
              </w:rPr>
            </w:pPr>
            <w:r>
              <w:rPr>
                <w:rFonts w:eastAsia="方正仿宋简体"/>
                <w:bCs/>
                <w:color w:val="000000"/>
                <w:sz w:val="28"/>
                <w:szCs w:val="28"/>
              </w:rPr>
              <w:t>卓越教师培养工程。</w:t>
            </w:r>
            <w:r>
              <w:rPr>
                <w:rFonts w:eastAsia="方正仿宋简体"/>
                <w:color w:val="000000"/>
                <w:sz w:val="28"/>
                <w:szCs w:val="28"/>
              </w:rPr>
              <w:t>创新教育人才培养、选拔、评价、激励等方面的政策措施。实施“教育人才十百千万培养计划”，建设10个名校长工作室，200个名师工作室（站），实施3000名优秀教师培养计划（千名城市教师挂职锻炼计划、千名优秀中青年骨干教师发展计划、千名农村学校紧缺学科教师培养计划）和40000名现代教育技术能手培养计划，支持引进高层次教育人才。加强农村教师培养培训，落实乡村教师支持计划，为农村学校培养用得上、留得住的骨干教师。</w:t>
            </w:r>
          </w:p>
        </w:tc>
      </w:tr>
    </w:tbl>
    <w:p>
      <w:pPr>
        <w:adjustRightInd w:val="0"/>
        <w:snapToGrid w:val="0"/>
        <w:spacing w:line="600" w:lineRule="exact"/>
        <w:ind w:firstLine="600" w:firstLineChars="200"/>
        <w:rPr>
          <w:rFonts w:eastAsia="方正仿宋简体"/>
          <w:bCs/>
          <w:color w:val="000000"/>
          <w:sz w:val="30"/>
          <w:szCs w:val="30"/>
        </w:rPr>
      </w:pPr>
      <w:r>
        <w:rPr>
          <w:rFonts w:eastAsia="方正仿宋简体"/>
          <w:bCs/>
          <w:color w:val="000000"/>
          <w:sz w:val="30"/>
          <w:szCs w:val="30"/>
        </w:rPr>
        <w:t>二、推进“健康长沙”建设</w:t>
      </w:r>
    </w:p>
    <w:p>
      <w:pPr>
        <w:adjustRightInd w:val="0"/>
        <w:snapToGrid w:val="0"/>
        <w:spacing w:line="600" w:lineRule="exact"/>
        <w:ind w:firstLine="600" w:firstLineChars="200"/>
        <w:rPr>
          <w:rFonts w:eastAsia="方正仿宋简体"/>
          <w:bCs/>
          <w:color w:val="000000"/>
          <w:sz w:val="30"/>
          <w:szCs w:val="30"/>
        </w:rPr>
      </w:pPr>
      <w:r>
        <w:rPr>
          <w:rFonts w:eastAsia="方正仿宋简体"/>
          <w:bCs/>
          <w:color w:val="000000"/>
          <w:sz w:val="30"/>
          <w:szCs w:val="30"/>
        </w:rPr>
        <w:t>加强市民健康制度设计，提升公共卫生和基本医疗服务水平，构建多层次、广覆盖、便捷化的综合健康服务体系，使广大市民成为健康长沙人。</w:t>
      </w:r>
    </w:p>
    <w:p>
      <w:pPr>
        <w:numPr>
          <w:ilvl w:val="0"/>
          <w:numId w:val="1"/>
        </w:numPr>
        <w:adjustRightInd w:val="0"/>
        <w:snapToGrid w:val="0"/>
        <w:spacing w:line="600" w:lineRule="exact"/>
        <w:ind w:firstLine="600" w:firstLineChars="200"/>
        <w:rPr>
          <w:rFonts w:eastAsia="方正仿宋简体"/>
          <w:bCs/>
          <w:color w:val="000000"/>
          <w:sz w:val="30"/>
          <w:szCs w:val="30"/>
        </w:rPr>
      </w:pPr>
      <w:r>
        <w:rPr>
          <w:rFonts w:eastAsia="方正仿宋简体"/>
          <w:bCs/>
          <w:color w:val="000000"/>
          <w:sz w:val="30"/>
          <w:szCs w:val="30"/>
        </w:rPr>
        <w:t>提高医疗卫生服务水平。科学均衡配置城乡医疗卫生资源，支持县级医院改造提升，加强基层医疗卫生机构建设。完善多元化办医格局，鼓励社会资本以多种形式举办医疗机构，推进“名院集团化办医”，更好地满足群众多样化医疗卫生需求。加强基层医疗卫生队伍建设，完善</w:t>
      </w:r>
      <w:r>
        <w:rPr>
          <w:rFonts w:eastAsia="方正仿宋简体"/>
          <w:bCs/>
          <w:color w:val="000000"/>
          <w:spacing w:val="4"/>
          <w:sz w:val="30"/>
          <w:szCs w:val="30"/>
        </w:rPr>
        <w:t>分级医疗、社区首诊、双向转诊模式，建成“城市15分钟、农村30分钟医疗服务圈”。完善基本药物制度，扩大基本药物制度实施范围，逐步提高基本药物使用比例，进一步降低医疗负担。坚持发展中医医疗和预防保健服务，注重发挥中医药“治未病”和“简便验廉”的优势</w:t>
      </w:r>
      <w:r>
        <w:rPr>
          <w:rFonts w:eastAsia="方正仿宋简体"/>
          <w:bCs/>
          <w:color w:val="000000"/>
          <w:spacing w:val="2"/>
          <w:sz w:val="30"/>
          <w:szCs w:val="30"/>
        </w:rPr>
        <w:t>，促进中医药事业持续健康发展。完善公共卫生服务，建立健全健康教育体系、疾病预防控制体系、卫生监督体系和医疗救助体系，促进市民身心健康。到</w:t>
      </w:r>
      <w:r>
        <w:rPr>
          <w:rFonts w:eastAsia="方正仿宋简体"/>
          <w:bCs/>
          <w:color w:val="000000"/>
          <w:spacing w:val="4"/>
          <w:sz w:val="30"/>
          <w:szCs w:val="30"/>
        </w:rPr>
        <w:t>2020年，城</w:t>
      </w:r>
      <w:r>
        <w:rPr>
          <w:rFonts w:eastAsia="方正仿宋简体"/>
          <w:bCs/>
          <w:color w:val="000000"/>
          <w:sz w:val="30"/>
          <w:szCs w:val="30"/>
        </w:rPr>
        <w:t>乡居民主要健康指标与卫生服务指标达到国内先进水平，人均预期寿命达80岁。</w:t>
      </w:r>
    </w:p>
    <w:p>
      <w:pPr>
        <w:adjustRightInd w:val="0"/>
        <w:snapToGrid w:val="0"/>
        <w:spacing w:line="600" w:lineRule="exact"/>
        <w:ind w:firstLine="600" w:firstLineChars="200"/>
        <w:rPr>
          <w:rFonts w:eastAsia="方正仿宋简体"/>
          <w:bCs/>
          <w:color w:val="000000"/>
          <w:sz w:val="30"/>
          <w:szCs w:val="30"/>
        </w:rPr>
      </w:pPr>
      <w:r>
        <w:rPr>
          <w:rFonts w:eastAsia="方正仿宋简体"/>
          <w:bCs/>
          <w:color w:val="000000"/>
          <w:sz w:val="30"/>
          <w:szCs w:val="30"/>
        </w:rPr>
        <w:t>2、推进体育名城建设。加快区县（市）、乡镇（街道）体育中心建设，完善基层公共体育配套设施，逐步实施各类公共体育场馆向社会公众开放，推动机关、企事业单位和学校体育资源的社会共享，为群众提供方便经济的健身活动条件。加强综合性体育健身休闲中心、体育健身广场、健身“绿道”、自行车道和群众体育活动站建设，逐步构建“城市10分钟、农村30分钟健身圈”，满足人民群众的健身需求。加强全民健身指导服务，丰富全民健身活动体系，加大国民体质监测力度，营造全民健身的社会氛围。鼓励社会力量积极发展群体性、社会性体育组织，兴办体育企业，组织体育赛事，发展竞技体育，壮大“赛事经济”，推动体育产业跨越发展，到2020年，体育产业总规模达150亿元。</w:t>
      </w:r>
    </w:p>
    <w:p>
      <w:pPr>
        <w:adjustRightInd w:val="0"/>
        <w:snapToGrid w:val="0"/>
        <w:spacing w:line="600" w:lineRule="exact"/>
        <w:ind w:firstLine="600" w:firstLineChars="200"/>
        <w:rPr>
          <w:rFonts w:hint="eastAsia" w:eastAsia="方正仿宋简体"/>
          <w:bCs/>
          <w:color w:val="000000"/>
          <w:sz w:val="30"/>
          <w:szCs w:val="30"/>
        </w:rPr>
      </w:pPr>
      <w:r>
        <w:rPr>
          <w:rFonts w:eastAsia="方正仿宋简体"/>
          <w:bCs/>
          <w:color w:val="000000"/>
          <w:sz w:val="30"/>
          <w:szCs w:val="30"/>
        </w:rPr>
        <w:t>3、加强食品药品安全监管。围绕创建国家食品安全城市目标，强化“党政同责”和企业主体责任，加强食品药品安全组织管理体系、检验检测体系和社会共治体系建设，健全监管网络，明晰监管事权，推行网格化监管。实施食品药品监管执法能力提升工程、安全追溯工程、风险防控工程和产业转型升级工程，开展源头治理、市场规范、</w:t>
      </w:r>
      <w:r>
        <w:rPr>
          <w:rFonts w:eastAsia="方正仿宋简体"/>
          <w:bCs/>
          <w:color w:val="000000"/>
          <w:spacing w:val="2"/>
          <w:sz w:val="30"/>
          <w:szCs w:val="30"/>
        </w:rPr>
        <w:t>明厨亮灶、利剑整治、示范创建行动，实现从农田到餐桌的全程严格监管。建立科学完</w:t>
      </w:r>
      <w:r>
        <w:rPr>
          <w:rFonts w:eastAsia="方正仿宋简体"/>
          <w:bCs/>
          <w:color w:val="000000"/>
          <w:spacing w:val="4"/>
          <w:sz w:val="30"/>
          <w:szCs w:val="30"/>
        </w:rPr>
        <w:t>备的食品药品安全监测、评估、预警体系，增强食品药品安全突发事件应急救援处置能力。加强食品药品安全监管，深化综合治理，严厉打击食品药品领域违法犯罪行</w:t>
      </w:r>
      <w:r>
        <w:rPr>
          <w:rFonts w:eastAsia="方正仿宋简体"/>
          <w:bCs/>
          <w:color w:val="000000"/>
          <w:sz w:val="30"/>
          <w:szCs w:val="30"/>
        </w:rPr>
        <w:t>为，切实保障人民群众“舌尖上的安全”。到2020年，食品药品监督抽检覆盖率达100%，乡镇和重点市场的食品快速检测设备配备率达100%，全市各类食品抽检合格率达96%以上，药品抽检合格率达99%以上，人民群众对食品安全满意率达80%以上。</w:t>
      </w:r>
    </w:p>
    <w:p>
      <w:pPr>
        <w:adjustRightInd w:val="0"/>
        <w:snapToGrid w:val="0"/>
        <w:spacing w:line="600" w:lineRule="exact"/>
        <w:jc w:val="center"/>
        <w:rPr>
          <w:rFonts w:hint="eastAsia" w:ascii="黑体" w:eastAsia="黑体"/>
          <w:bCs/>
          <w:color w:val="000000"/>
          <w:sz w:val="28"/>
          <w:szCs w:val="28"/>
        </w:rPr>
      </w:pPr>
      <w:r>
        <w:rPr>
          <w:rFonts w:hint="eastAsia" w:ascii="黑体" w:eastAsia="黑体"/>
          <w:color w:val="000000"/>
          <w:sz w:val="28"/>
          <w:szCs w:val="28"/>
        </w:rPr>
        <w:t>专栏26：健康水平提升工程</w:t>
      </w:r>
    </w:p>
    <w:tbl>
      <w:tblPr>
        <w:tblStyle w:val="16"/>
        <w:tblW w:w="0" w:type="auto"/>
        <w:jc w:val="center"/>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Layout w:type="fixed"/>
        <w:tblCellMar>
          <w:top w:w="0" w:type="dxa"/>
          <w:left w:w="108" w:type="dxa"/>
          <w:bottom w:w="0" w:type="dxa"/>
          <w:right w:w="108" w:type="dxa"/>
        </w:tblCellMar>
      </w:tblPr>
      <w:tblGrid>
        <w:gridCol w:w="8754"/>
      </w:tblGrid>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PrEx>
        <w:trPr>
          <w:trHeight w:val="10382" w:hRule="atLeast"/>
          <w:jc w:val="center"/>
        </w:trPr>
        <w:tc>
          <w:tcPr>
            <w:tcW w:w="8754" w:type="dxa"/>
            <w:noWrap w:val="0"/>
            <w:vAlign w:val="top"/>
          </w:tcPr>
          <w:p>
            <w:pPr>
              <w:pBdr>
                <w:top w:val="none" w:color="auto" w:sz="0" w:space="1"/>
                <w:left w:val="none" w:color="auto" w:sz="0" w:space="4"/>
                <w:bottom w:val="none" w:color="auto" w:sz="0" w:space="1"/>
                <w:right w:val="none" w:color="auto" w:sz="0" w:space="4"/>
              </w:pBdr>
              <w:tabs>
                <w:tab w:val="center" w:pos="4153"/>
                <w:tab w:val="right" w:pos="8306"/>
              </w:tabs>
              <w:adjustRightInd w:val="0"/>
              <w:snapToGrid w:val="0"/>
              <w:spacing w:line="390" w:lineRule="exact"/>
              <w:ind w:firstLine="560" w:firstLineChars="200"/>
              <w:rPr>
                <w:rFonts w:hint="eastAsia" w:ascii="Times New Roman" w:hAnsi="Times New Roman" w:eastAsia="方正仿宋简体"/>
                <w:color w:val="000000"/>
                <w:sz w:val="28"/>
                <w:szCs w:val="28"/>
              </w:rPr>
            </w:pPr>
            <w:r>
              <w:rPr>
                <w:rFonts w:ascii="Times New Roman" w:hAnsi="Times New Roman" w:eastAsia="方正仿宋简体"/>
                <w:bCs/>
                <w:color w:val="000000"/>
                <w:sz w:val="28"/>
                <w:szCs w:val="28"/>
              </w:rPr>
              <w:t>医疗卫生基础设施建设。</w:t>
            </w:r>
            <w:r>
              <w:rPr>
                <w:rFonts w:ascii="Times New Roman" w:hAnsi="Times New Roman" w:eastAsia="方正仿宋简体"/>
                <w:color w:val="000000"/>
                <w:sz w:val="28"/>
                <w:szCs w:val="28"/>
              </w:rPr>
              <w:t>合理确定各级各类医疗机构的数量、规模和布局，在省府新区、高铁新城、空港新城、洋湖生态新城、梅溪湖国际新城、望城滨水新城、金霞片区分别建设1所三级综合医院，重点支持建设5-7家非公立三级专科医院，建设中南大学湘雅五医院、梅溪湖健康医疗城、长沙市妇女儿童医院、长沙市第四医院滨水新城院区等一批大型医疗和健康项目。</w:t>
            </w:r>
          </w:p>
          <w:p>
            <w:pPr>
              <w:pBdr>
                <w:top w:val="none" w:color="auto" w:sz="0" w:space="1"/>
                <w:left w:val="none" w:color="auto" w:sz="0" w:space="4"/>
                <w:bottom w:val="none" w:color="auto" w:sz="0" w:space="1"/>
                <w:right w:val="none" w:color="auto" w:sz="0" w:space="4"/>
              </w:pBdr>
              <w:tabs>
                <w:tab w:val="center" w:pos="4153"/>
                <w:tab w:val="right" w:pos="8306"/>
              </w:tabs>
              <w:adjustRightInd w:val="0"/>
              <w:snapToGrid w:val="0"/>
              <w:spacing w:line="390" w:lineRule="exact"/>
              <w:ind w:firstLine="560" w:firstLineChars="200"/>
              <w:rPr>
                <w:rFonts w:ascii="Times New Roman" w:hAnsi="Times New Roman" w:eastAsia="方正仿宋简体"/>
                <w:bCs/>
                <w:color w:val="000000"/>
                <w:sz w:val="28"/>
                <w:szCs w:val="28"/>
              </w:rPr>
            </w:pPr>
            <w:r>
              <w:rPr>
                <w:rFonts w:ascii="Times New Roman" w:hAnsi="Times New Roman" w:eastAsia="方正仿宋简体"/>
                <w:bCs/>
                <w:color w:val="000000"/>
                <w:sz w:val="28"/>
                <w:szCs w:val="28"/>
              </w:rPr>
              <w:t>基层医疗卫生服务体系建设。</w:t>
            </w:r>
            <w:r>
              <w:rPr>
                <w:rFonts w:ascii="Times New Roman" w:hAnsi="Times New Roman" w:eastAsia="方正仿宋简体"/>
                <w:color w:val="000000"/>
                <w:sz w:val="28"/>
                <w:szCs w:val="28"/>
              </w:rPr>
              <w:t>完善街道卫生服务中心、乡镇卫生院、村卫生室建设，提高基层医疗综合服务水平。到2020年，每个乡镇办好1所标准化乡镇卫生院，每个街道或每3-10万居民区规划设置1所社区卫生服务中心，每个行政村设置1个村卫生室，每千常住人口基层医疗卫生机构床位数达到1.2张，每千常住人口基层卫生人员数达到3.5人以上，基本实现城乡每万名居民有2-3名合格的全科医生。</w:t>
            </w:r>
          </w:p>
          <w:p>
            <w:pPr>
              <w:pBdr>
                <w:top w:val="none" w:color="auto" w:sz="0" w:space="1"/>
                <w:left w:val="none" w:color="auto" w:sz="0" w:space="4"/>
                <w:bottom w:val="none" w:color="auto" w:sz="0" w:space="1"/>
                <w:right w:val="none" w:color="auto" w:sz="0" w:space="4"/>
              </w:pBdr>
              <w:tabs>
                <w:tab w:val="center" w:pos="4153"/>
                <w:tab w:val="right" w:pos="8306"/>
              </w:tabs>
              <w:adjustRightInd w:val="0"/>
              <w:snapToGrid w:val="0"/>
              <w:spacing w:line="390" w:lineRule="exact"/>
              <w:ind w:firstLine="560" w:firstLineChars="200"/>
              <w:rPr>
                <w:rFonts w:ascii="Times New Roman" w:hAnsi="Times New Roman" w:eastAsia="方正仿宋简体"/>
                <w:color w:val="000000"/>
                <w:sz w:val="28"/>
                <w:szCs w:val="28"/>
              </w:rPr>
            </w:pPr>
            <w:r>
              <w:rPr>
                <w:rFonts w:ascii="Times New Roman" w:hAnsi="Times New Roman" w:eastAsia="方正仿宋简体"/>
                <w:bCs/>
                <w:color w:val="000000"/>
                <w:sz w:val="28"/>
                <w:szCs w:val="28"/>
              </w:rPr>
              <w:t>全民健身服务体系建设。</w:t>
            </w:r>
            <w:r>
              <w:rPr>
                <w:rFonts w:ascii="Times New Roman" w:hAnsi="Times New Roman" w:eastAsia="方正仿宋简体"/>
                <w:color w:val="000000"/>
                <w:sz w:val="28"/>
                <w:szCs w:val="28"/>
              </w:rPr>
              <w:t>建成长沙市全民健身中心（长沙市体育馆、长沙市青少年业余训练中心）、长沙市体操学校。筹建18个城市社区、新建150个乡镇（街道）户外全民健身中心。加大对村（社区）室内外健身器材投放力度，实现社区公共体育设施覆盖率达100%。完善国民体质监测体系，市级体育协会达到50个以上，各级社会体育指导员达到2.7万人左右。</w:t>
            </w:r>
          </w:p>
          <w:p>
            <w:pPr>
              <w:pBdr>
                <w:top w:val="none" w:color="auto" w:sz="0" w:space="1"/>
                <w:left w:val="none" w:color="auto" w:sz="0" w:space="4"/>
                <w:bottom w:val="none" w:color="auto" w:sz="0" w:space="1"/>
                <w:right w:val="none" w:color="auto" w:sz="0" w:space="4"/>
              </w:pBdr>
              <w:tabs>
                <w:tab w:val="center" w:pos="4153"/>
                <w:tab w:val="right" w:pos="8306"/>
              </w:tabs>
              <w:adjustRightInd w:val="0"/>
              <w:snapToGrid w:val="0"/>
              <w:spacing w:line="390" w:lineRule="exact"/>
              <w:ind w:firstLine="560" w:firstLineChars="200"/>
              <w:rPr>
                <w:rFonts w:hint="eastAsia" w:ascii="Times New Roman" w:hAnsi="Times New Roman" w:eastAsia="方正仿宋简体"/>
                <w:bCs/>
                <w:color w:val="000000"/>
                <w:sz w:val="28"/>
                <w:szCs w:val="28"/>
              </w:rPr>
            </w:pPr>
            <w:r>
              <w:rPr>
                <w:rFonts w:ascii="Times New Roman" w:hAnsi="Times New Roman" w:eastAsia="方正仿宋简体"/>
                <w:bCs/>
                <w:color w:val="000000"/>
                <w:sz w:val="28"/>
                <w:szCs w:val="28"/>
              </w:rPr>
              <w:t>食品药品监管体系建设。</w:t>
            </w:r>
            <w:r>
              <w:rPr>
                <w:rFonts w:ascii="Times New Roman" w:hAnsi="Times New Roman" w:eastAsia="方正仿宋简体"/>
                <w:color w:val="000000"/>
                <w:sz w:val="28"/>
                <w:szCs w:val="28"/>
              </w:rPr>
              <w:t>建设全市统一的食品安全数据中心，推动食品安全检测平台、食品安全信息平台、食品安全服务平台、食品安全诚信平台“四台融合”，重点推进药品、婴幼儿配方乳粉、肉类、蔬菜等质量安全追溯体系建设。建设市食品药品检验所和食品药品检验检测工程研究中心，完善长、望、宁、浏四县（市、区）检验检测机构，配齐乡镇（街道）快速检测设备；重点食品交易市场、农贸市场100%建立适应经营规模的检测站（室）；推动农产品基地、畜禽水产品基地和食品药品生产加工企业自检机构建设。</w:t>
            </w:r>
          </w:p>
        </w:tc>
      </w:tr>
    </w:tbl>
    <w:p>
      <w:pPr>
        <w:adjustRightInd w:val="0"/>
        <w:snapToGrid w:val="0"/>
        <w:spacing w:line="630" w:lineRule="exact"/>
        <w:ind w:firstLine="600" w:firstLineChars="200"/>
        <w:rPr>
          <w:rFonts w:eastAsia="方正仿宋简体"/>
          <w:bCs/>
          <w:color w:val="000000"/>
          <w:sz w:val="30"/>
          <w:szCs w:val="30"/>
        </w:rPr>
      </w:pPr>
      <w:r>
        <w:rPr>
          <w:rFonts w:eastAsia="方正仿宋简体"/>
          <w:bCs/>
          <w:color w:val="000000"/>
          <w:sz w:val="30"/>
          <w:szCs w:val="30"/>
        </w:rPr>
        <w:t>三、促进人口均衡发展</w:t>
      </w:r>
    </w:p>
    <w:p>
      <w:pPr>
        <w:adjustRightInd w:val="0"/>
        <w:snapToGrid w:val="0"/>
        <w:spacing w:line="630" w:lineRule="exact"/>
        <w:ind w:firstLine="600" w:firstLineChars="200"/>
        <w:rPr>
          <w:rFonts w:eastAsia="方正仿宋简体"/>
          <w:bCs/>
          <w:color w:val="000000"/>
          <w:sz w:val="30"/>
          <w:szCs w:val="30"/>
        </w:rPr>
      </w:pPr>
      <w:r>
        <w:rPr>
          <w:rFonts w:eastAsia="方正仿宋简体"/>
          <w:bCs/>
          <w:color w:val="000000"/>
          <w:sz w:val="30"/>
          <w:szCs w:val="30"/>
        </w:rPr>
        <w:t>提高人口管理水平，改善人口结构，提升人口素质，促进人口与经济社会协调可持续发展。</w:t>
      </w:r>
    </w:p>
    <w:p>
      <w:pPr>
        <w:adjustRightInd w:val="0"/>
        <w:snapToGrid w:val="0"/>
        <w:spacing w:line="630" w:lineRule="exact"/>
        <w:ind w:firstLine="600" w:firstLineChars="200"/>
        <w:rPr>
          <w:rFonts w:eastAsia="方正仿宋简体"/>
          <w:bCs/>
          <w:color w:val="000000"/>
          <w:sz w:val="30"/>
          <w:szCs w:val="30"/>
        </w:rPr>
      </w:pPr>
      <w:r>
        <w:rPr>
          <w:rFonts w:eastAsia="方正仿宋简体"/>
          <w:bCs/>
          <w:color w:val="000000"/>
          <w:sz w:val="30"/>
          <w:szCs w:val="30"/>
        </w:rPr>
        <w:t>1、加强人口和计划生育管理。全面落实一对夫妇可生育两个孩子政策。普及优生优育知识，实行免费婚检，降低孕检费用，完善出生缺陷干预工作机制，实现出生缺陷三级干预全覆盖，提高出生人口素质。严厉打击非法鉴定胎儿性别和非法选择性别人工终止妊娠行为，有效降低出生人口性别比。加大对计生特殊家庭的扶助关怀。创新人口服务管理机制，加强流动人口计划生育服务和管理。</w:t>
      </w:r>
    </w:p>
    <w:p>
      <w:pPr>
        <w:adjustRightInd w:val="0"/>
        <w:snapToGrid w:val="0"/>
        <w:spacing w:line="630" w:lineRule="exact"/>
        <w:ind w:firstLine="600" w:firstLineChars="200"/>
        <w:rPr>
          <w:rFonts w:eastAsia="方正仿宋简体"/>
          <w:color w:val="000000"/>
          <w:kern w:val="0"/>
          <w:sz w:val="30"/>
          <w:szCs w:val="30"/>
        </w:rPr>
      </w:pPr>
      <w:r>
        <w:rPr>
          <w:rFonts w:eastAsia="方正仿宋简体"/>
          <w:bCs/>
          <w:color w:val="000000"/>
          <w:sz w:val="30"/>
          <w:szCs w:val="30"/>
        </w:rPr>
        <w:t>2、构建养老服务体系。</w:t>
      </w:r>
      <w:r>
        <w:rPr>
          <w:rFonts w:eastAsia="方正仿宋简体"/>
          <w:color w:val="000000"/>
          <w:kern w:val="0"/>
          <w:sz w:val="30"/>
          <w:szCs w:val="30"/>
        </w:rPr>
        <w:t>积极开展应对人口老龄化行动，推动医疗卫生和养老服务相结合，探索建立长期护理保险制度，完善以居家养老为基础、社区养老为依托、机构养老为补充、社会化养老为主体的现代养老服务体系，着力构建“15分钟养老服务圈”。全面放开养老服务市场，鼓励通过政策支持、购买服务、股权合作等方式支持各类社会主体增加养老服务和产品供给。</w:t>
      </w:r>
    </w:p>
    <w:p>
      <w:pPr>
        <w:adjustRightInd w:val="0"/>
        <w:snapToGrid w:val="0"/>
        <w:spacing w:line="630" w:lineRule="exact"/>
        <w:ind w:firstLine="600" w:firstLineChars="200"/>
        <w:rPr>
          <w:rFonts w:hint="eastAsia" w:eastAsia="方正仿宋简体"/>
          <w:bCs/>
          <w:color w:val="000000"/>
          <w:sz w:val="30"/>
          <w:szCs w:val="30"/>
        </w:rPr>
      </w:pPr>
      <w:r>
        <w:rPr>
          <w:rFonts w:eastAsia="方正仿宋简体"/>
          <w:color w:val="000000"/>
          <w:kern w:val="0"/>
          <w:sz w:val="30"/>
          <w:szCs w:val="30"/>
        </w:rPr>
        <w:t>3、</w:t>
      </w:r>
      <w:r>
        <w:rPr>
          <w:rFonts w:eastAsia="方正仿宋简体"/>
          <w:bCs/>
          <w:color w:val="000000"/>
          <w:sz w:val="30"/>
          <w:szCs w:val="30"/>
        </w:rPr>
        <w:t>保障妇女儿童等群体基本权益。坚持男女平等基本国策，依法保障妇女平等获得就学、就业、参与公共事务等方面的权益。坚持儿童优先，改善未成年人学习和成长环境，切实维护儿童和青少年的合法权益</w:t>
      </w:r>
      <w:r>
        <w:rPr>
          <w:rFonts w:eastAsia="方正仿宋简体"/>
          <w:color w:val="000000"/>
          <w:sz w:val="30"/>
          <w:szCs w:val="30"/>
        </w:rPr>
        <w:t>，创建儿童友好型城市</w:t>
      </w:r>
      <w:r>
        <w:rPr>
          <w:rFonts w:eastAsia="方正仿宋简体"/>
          <w:bCs/>
          <w:color w:val="000000"/>
          <w:sz w:val="30"/>
          <w:szCs w:val="30"/>
        </w:rPr>
        <w:t>。加大对孤寡老人、留守儿童等弱势群体的社会保障力度。关爱关注精神病患者。提升残疾人服务保障水平。</w:t>
      </w:r>
    </w:p>
    <w:p>
      <w:pPr>
        <w:adjustRightInd w:val="0"/>
        <w:snapToGrid w:val="0"/>
        <w:spacing w:line="630" w:lineRule="exact"/>
        <w:jc w:val="center"/>
        <w:rPr>
          <w:rFonts w:hint="eastAsia" w:eastAsia="方正仿宋简体"/>
          <w:bCs/>
          <w:color w:val="000000"/>
          <w:sz w:val="30"/>
          <w:szCs w:val="30"/>
        </w:rPr>
      </w:pPr>
      <w:r>
        <w:rPr>
          <w:rFonts w:hint="eastAsia" w:ascii="黑体" w:eastAsia="黑体"/>
          <w:color w:val="000000"/>
          <w:sz w:val="28"/>
          <w:szCs w:val="28"/>
        </w:rPr>
        <w:t>专栏27：养老服务重点工程</w:t>
      </w:r>
    </w:p>
    <w:tbl>
      <w:tblPr>
        <w:tblStyle w:val="15"/>
        <w:tblW w:w="0" w:type="auto"/>
        <w:jc w:val="center"/>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Layout w:type="fixed"/>
        <w:tblCellMar>
          <w:top w:w="0" w:type="dxa"/>
          <w:left w:w="108" w:type="dxa"/>
          <w:bottom w:w="0" w:type="dxa"/>
          <w:right w:w="108" w:type="dxa"/>
        </w:tblCellMar>
      </w:tblPr>
      <w:tblGrid>
        <w:gridCol w:w="8522"/>
      </w:tblGrid>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PrEx>
        <w:trPr>
          <w:trHeight w:val="3713" w:hRule="atLeast"/>
          <w:jc w:val="center"/>
        </w:trPr>
        <w:tc>
          <w:tcPr>
            <w:tcW w:w="8522" w:type="dxa"/>
            <w:noWrap w:val="0"/>
            <w:vAlign w:val="center"/>
          </w:tcPr>
          <w:p>
            <w:pPr>
              <w:pBdr>
                <w:top w:val="none" w:color="auto" w:sz="0" w:space="1"/>
                <w:left w:val="none" w:color="auto" w:sz="0" w:space="4"/>
                <w:bottom w:val="none" w:color="auto" w:sz="0" w:space="1"/>
                <w:right w:val="none" w:color="auto" w:sz="0" w:space="4"/>
              </w:pBdr>
              <w:tabs>
                <w:tab w:val="center" w:pos="4153"/>
                <w:tab w:val="right" w:pos="8306"/>
              </w:tabs>
              <w:adjustRightInd w:val="0"/>
              <w:snapToGrid w:val="0"/>
              <w:spacing w:line="400" w:lineRule="exact"/>
              <w:ind w:firstLine="560" w:firstLineChars="200"/>
              <w:rPr>
                <w:rFonts w:eastAsia="方正仿宋简体"/>
                <w:color w:val="000000"/>
                <w:sz w:val="28"/>
                <w:szCs w:val="28"/>
              </w:rPr>
            </w:pPr>
            <w:r>
              <w:rPr>
                <w:rFonts w:eastAsia="方正仿宋简体"/>
                <w:bCs/>
                <w:color w:val="000000"/>
                <w:sz w:val="28"/>
                <w:szCs w:val="28"/>
              </w:rPr>
              <w:t>养老产业培育。</w:t>
            </w:r>
            <w:r>
              <w:rPr>
                <w:rFonts w:eastAsia="方正仿宋简体"/>
                <w:color w:val="000000"/>
                <w:sz w:val="28"/>
                <w:szCs w:val="28"/>
              </w:rPr>
              <w:t>培育3-5个规模较大的养老服务连锁公司，打造1-2个养老服务综合体，提供2万个以上机构养老和社区居家养老就业岗位。</w:t>
            </w:r>
          </w:p>
          <w:p>
            <w:pPr>
              <w:pBdr>
                <w:top w:val="none" w:color="auto" w:sz="0" w:space="1"/>
                <w:left w:val="none" w:color="auto" w:sz="0" w:space="4"/>
                <w:bottom w:val="none" w:color="auto" w:sz="0" w:space="1"/>
                <w:right w:val="none" w:color="auto" w:sz="0" w:space="4"/>
              </w:pBdr>
              <w:tabs>
                <w:tab w:val="center" w:pos="4153"/>
                <w:tab w:val="right" w:pos="8306"/>
              </w:tabs>
              <w:adjustRightInd w:val="0"/>
              <w:snapToGrid w:val="0"/>
              <w:spacing w:line="400" w:lineRule="exact"/>
              <w:ind w:firstLine="528" w:firstLineChars="200"/>
              <w:rPr>
                <w:rFonts w:eastAsia="方正仿宋简体"/>
                <w:color w:val="000000"/>
                <w:spacing w:val="-8"/>
                <w:sz w:val="28"/>
                <w:szCs w:val="28"/>
              </w:rPr>
            </w:pPr>
            <w:r>
              <w:rPr>
                <w:rFonts w:eastAsia="方正仿宋简体"/>
                <w:bCs/>
                <w:color w:val="000000"/>
                <w:spacing w:val="-8"/>
                <w:sz w:val="28"/>
                <w:szCs w:val="28"/>
              </w:rPr>
              <w:t>养老服务体系建设。</w:t>
            </w:r>
            <w:r>
              <w:rPr>
                <w:rFonts w:eastAsia="方正仿宋简体"/>
                <w:color w:val="000000"/>
                <w:spacing w:val="-8"/>
                <w:sz w:val="28"/>
                <w:szCs w:val="28"/>
              </w:rPr>
              <w:t>各区县（市）建成一家300张床位以上的社会福利中心，各街道建成一所日间照料中心，各乡镇建成一所敬老院，居家养老服务设施覆盖100%的城市社区，农村幸福院覆盖60%以上的农村社区；每千名老人拥有养老床位35张以上，养老床位总数达到6万张。</w:t>
            </w:r>
          </w:p>
          <w:p>
            <w:pPr>
              <w:pBdr>
                <w:top w:val="none" w:color="auto" w:sz="0" w:space="1"/>
                <w:left w:val="none" w:color="auto" w:sz="0" w:space="4"/>
                <w:bottom w:val="none" w:color="auto" w:sz="0" w:space="1"/>
                <w:right w:val="none" w:color="auto" w:sz="0" w:space="4"/>
              </w:pBdr>
              <w:tabs>
                <w:tab w:val="center" w:pos="4153"/>
                <w:tab w:val="right" w:pos="8306"/>
              </w:tabs>
              <w:adjustRightInd w:val="0"/>
              <w:snapToGrid w:val="0"/>
              <w:spacing w:line="400" w:lineRule="exact"/>
              <w:ind w:firstLine="528" w:firstLineChars="200"/>
              <w:rPr>
                <w:rFonts w:eastAsia="方正仿宋简体"/>
                <w:bCs/>
                <w:color w:val="000000"/>
                <w:sz w:val="28"/>
                <w:szCs w:val="28"/>
              </w:rPr>
            </w:pPr>
            <w:r>
              <w:rPr>
                <w:rFonts w:eastAsia="方正仿宋简体"/>
                <w:bCs/>
                <w:color w:val="000000"/>
                <w:spacing w:val="-8"/>
                <w:sz w:val="28"/>
                <w:szCs w:val="28"/>
              </w:rPr>
              <w:t>养老信息化建设。</w:t>
            </w:r>
            <w:r>
              <w:rPr>
                <w:rFonts w:eastAsia="方正仿宋简体"/>
                <w:color w:val="000000"/>
                <w:spacing w:val="-8"/>
                <w:sz w:val="28"/>
                <w:szCs w:val="28"/>
              </w:rPr>
              <w:t>建设养老服务信息平台10个，养老服务信息管理系统实现四级互联互通，呼叫服务和应急救援服务网络实现城区全覆盖。</w:t>
            </w:r>
            <w:r>
              <w:rPr>
                <w:rFonts w:eastAsia="方正仿宋简体"/>
                <w:color w:val="000000"/>
                <w:sz w:val="28"/>
                <w:szCs w:val="28"/>
              </w:rPr>
              <w:t xml:space="preserve"> </w:t>
            </w:r>
          </w:p>
        </w:tc>
      </w:tr>
    </w:tbl>
    <w:p>
      <w:pPr>
        <w:adjustRightInd w:val="0"/>
        <w:snapToGrid w:val="0"/>
        <w:spacing w:before="312" w:beforeLines="100" w:after="312" w:afterLines="100" w:line="600" w:lineRule="exact"/>
        <w:jc w:val="center"/>
        <w:rPr>
          <w:rFonts w:eastAsia="方正仿宋简体"/>
          <w:color w:val="000000"/>
          <w:sz w:val="30"/>
          <w:szCs w:val="30"/>
        </w:rPr>
      </w:pPr>
      <w:r>
        <w:rPr>
          <w:rFonts w:eastAsia="方正仿宋简体"/>
          <w:color w:val="000000"/>
          <w:sz w:val="30"/>
          <w:szCs w:val="30"/>
        </w:rPr>
        <w:t>第三节  推进社会治理能力现代化</w:t>
      </w:r>
    </w:p>
    <w:p>
      <w:pPr>
        <w:adjustRightInd w:val="0"/>
        <w:snapToGrid w:val="0"/>
        <w:spacing w:line="600" w:lineRule="exact"/>
        <w:ind w:firstLine="600" w:firstLineChars="200"/>
        <w:rPr>
          <w:rFonts w:eastAsia="方正仿宋简体"/>
          <w:color w:val="000000"/>
          <w:sz w:val="30"/>
          <w:szCs w:val="30"/>
        </w:rPr>
      </w:pPr>
      <w:r>
        <w:rPr>
          <w:rFonts w:eastAsia="方正仿宋简体"/>
          <w:color w:val="000000"/>
          <w:sz w:val="30"/>
          <w:szCs w:val="30"/>
        </w:rPr>
        <w:t>主动适应社会结构新变化，深化社会治理体制改革，提升社会现代化治理能力，维护社会大局和谐稳定。</w:t>
      </w:r>
    </w:p>
    <w:p>
      <w:pPr>
        <w:adjustRightInd w:val="0"/>
        <w:snapToGrid w:val="0"/>
        <w:spacing w:line="600" w:lineRule="exact"/>
        <w:ind w:firstLine="600" w:firstLineChars="200"/>
        <w:rPr>
          <w:rFonts w:eastAsia="方正仿宋简体"/>
          <w:bCs/>
          <w:color w:val="000000"/>
          <w:sz w:val="30"/>
          <w:szCs w:val="30"/>
        </w:rPr>
      </w:pPr>
      <w:r>
        <w:rPr>
          <w:rFonts w:eastAsia="方正仿宋简体"/>
          <w:bCs/>
          <w:color w:val="000000"/>
          <w:sz w:val="30"/>
          <w:szCs w:val="30"/>
        </w:rPr>
        <w:t>一、加强和创新社会治理</w:t>
      </w:r>
    </w:p>
    <w:p>
      <w:pPr>
        <w:adjustRightInd w:val="0"/>
        <w:snapToGrid w:val="0"/>
        <w:spacing w:line="600" w:lineRule="exact"/>
        <w:ind w:firstLine="600" w:firstLineChars="200"/>
        <w:rPr>
          <w:rFonts w:eastAsia="方正仿宋简体"/>
          <w:color w:val="000000"/>
          <w:sz w:val="30"/>
          <w:szCs w:val="30"/>
        </w:rPr>
      </w:pPr>
      <w:r>
        <w:rPr>
          <w:rFonts w:eastAsia="方正仿宋简体"/>
          <w:color w:val="000000"/>
          <w:sz w:val="30"/>
          <w:szCs w:val="30"/>
        </w:rPr>
        <w:t>完善治理体系，转变治理方式，建立可控、合法和制度化的机制，保障人民安居乐业、社会安定有序。</w:t>
      </w:r>
    </w:p>
    <w:p>
      <w:pPr>
        <w:adjustRightInd w:val="0"/>
        <w:snapToGrid w:val="0"/>
        <w:spacing w:line="600" w:lineRule="exact"/>
        <w:ind w:firstLine="600" w:firstLineChars="200"/>
        <w:rPr>
          <w:rFonts w:eastAsia="方正仿宋简体"/>
          <w:color w:val="000000"/>
          <w:sz w:val="30"/>
          <w:szCs w:val="30"/>
        </w:rPr>
      </w:pPr>
      <w:r>
        <w:rPr>
          <w:rFonts w:eastAsia="方正仿宋简体"/>
          <w:bCs/>
          <w:color w:val="000000"/>
          <w:sz w:val="30"/>
          <w:szCs w:val="30"/>
        </w:rPr>
        <w:t>1、健全现代社会治理格局。</w:t>
      </w:r>
      <w:r>
        <w:rPr>
          <w:rFonts w:eastAsia="方正仿宋简体"/>
          <w:color w:val="000000"/>
          <w:sz w:val="30"/>
          <w:szCs w:val="30"/>
        </w:rPr>
        <w:t>坚持系统治理、依法治理、综合治理和源头治理，加强党委领导，发挥政府主导作用，鼓励和支持社会各方面参与，推进社会治理精细化，实现政府治理和社会自我调节、居民自治良性互动。大力发展行业协会商会类、科技类、公益慈善类、城乡社区服务类社会组织，充分发挥社会组织在反映利益诉求、提供社会服务、协调利益矛盾、扩大公众参与等方面的积极</w:t>
      </w:r>
      <w:r>
        <w:rPr>
          <w:rFonts w:eastAsia="方正仿宋简体"/>
          <w:color w:val="000000"/>
          <w:spacing w:val="2"/>
          <w:sz w:val="30"/>
          <w:szCs w:val="30"/>
        </w:rPr>
        <w:t>作用。完善小区管理体制机制，推进形成“政府监管、市场主导、社会参与、居民自治”四位一体、良性互动的小区综合治理格局。</w:t>
      </w:r>
      <w:r>
        <w:rPr>
          <w:rFonts w:eastAsia="方正仿宋简体"/>
          <w:bCs/>
          <w:color w:val="000000"/>
          <w:sz w:val="30"/>
          <w:szCs w:val="30"/>
        </w:rPr>
        <w:t>加强网络虚拟社会治理，强化网络舆情危机应对能力。</w:t>
      </w:r>
    </w:p>
    <w:p>
      <w:pPr>
        <w:adjustRightInd w:val="0"/>
        <w:snapToGrid w:val="0"/>
        <w:spacing w:line="600" w:lineRule="exact"/>
        <w:ind w:firstLine="600" w:firstLineChars="200"/>
        <w:rPr>
          <w:rFonts w:eastAsia="方正仿宋简体"/>
          <w:color w:val="000000"/>
          <w:sz w:val="30"/>
          <w:szCs w:val="30"/>
        </w:rPr>
      </w:pPr>
      <w:r>
        <w:rPr>
          <w:rFonts w:eastAsia="方正仿宋简体"/>
          <w:bCs/>
          <w:color w:val="000000"/>
          <w:sz w:val="30"/>
          <w:szCs w:val="30"/>
        </w:rPr>
        <w:t>2、预防和化解社会矛盾。</w:t>
      </w:r>
      <w:r>
        <w:rPr>
          <w:rFonts w:eastAsia="方正仿宋简体"/>
          <w:color w:val="000000"/>
          <w:sz w:val="30"/>
          <w:szCs w:val="30"/>
        </w:rPr>
        <w:t>深入推进网络问政，充分发挥市民热线、市长信箱等平台作用，拓宽社情民意表达渠道。发挥信访主渠道作用，推进信访积案化解工作，注重民意收集与信息反馈，引导群众以理性合法的形式表达利益诉求。完善化解社会矛盾的领导协调、排查预警、疏导转化、调解处置机制。注重发挥人民调解的基础性作用，加强人民调解、行政调解、司法调解联动，加快推进区县（市）矛盾纠纷调解中心建设，有效防范和化解劳资纠纷、征地拆迁、环境污染等引发的社会矛盾。</w:t>
      </w:r>
    </w:p>
    <w:p>
      <w:pPr>
        <w:adjustRightInd w:val="0"/>
        <w:snapToGrid w:val="0"/>
        <w:spacing w:line="600" w:lineRule="exact"/>
        <w:ind w:firstLine="600" w:firstLineChars="200"/>
        <w:rPr>
          <w:rFonts w:eastAsia="方正仿宋简体"/>
          <w:bCs/>
          <w:color w:val="000000"/>
          <w:sz w:val="30"/>
          <w:szCs w:val="30"/>
        </w:rPr>
      </w:pPr>
      <w:r>
        <w:rPr>
          <w:rFonts w:eastAsia="方正仿宋简体"/>
          <w:bCs/>
          <w:color w:val="000000"/>
          <w:sz w:val="30"/>
          <w:szCs w:val="30"/>
        </w:rPr>
        <w:t>3、完善公共安全保障机制。</w:t>
      </w:r>
      <w:r>
        <w:rPr>
          <w:rFonts w:eastAsia="方正仿宋简体"/>
          <w:color w:val="000000"/>
          <w:sz w:val="30"/>
          <w:szCs w:val="30"/>
        </w:rPr>
        <w:t>坚持安全发展，强化</w:t>
      </w:r>
      <w:r>
        <w:rPr>
          <w:rFonts w:eastAsia="方正仿宋简体"/>
          <w:bCs/>
          <w:color w:val="000000"/>
          <w:sz w:val="30"/>
          <w:szCs w:val="30"/>
        </w:rPr>
        <w:t>安全生产监督管理，全面落实企业安全生产主体责任，建立完善的安全生产工作体系，有效防范和坚决遏制重特大安全事故。提升应急管理水平，健全对反恐维稳、事故灾难、突发环境事件、公共卫生事件、食品药品安全、社会安全事件的预防预警和应急处置体系。深化“平安长沙”建设，完善“天网工程”等治安防控平台，构建立体化社会治安防控体系，提高群众见警率、管事率、满意率，建设最具安全感、公平感、正义感的城市。加强电梯安全监管等民生安全工作。开展国防教育，强化国防观念，推进国防动员建设发展。</w:t>
      </w:r>
    </w:p>
    <w:p>
      <w:pPr>
        <w:adjustRightInd w:val="0"/>
        <w:snapToGrid w:val="0"/>
        <w:spacing w:line="600" w:lineRule="exact"/>
        <w:ind w:firstLine="600" w:firstLineChars="200"/>
        <w:rPr>
          <w:rFonts w:eastAsia="方正仿宋简体"/>
          <w:bCs/>
          <w:color w:val="000000"/>
          <w:sz w:val="30"/>
          <w:szCs w:val="30"/>
        </w:rPr>
      </w:pPr>
      <w:r>
        <w:rPr>
          <w:rFonts w:eastAsia="方正仿宋简体"/>
          <w:bCs/>
          <w:color w:val="000000"/>
          <w:sz w:val="30"/>
          <w:szCs w:val="30"/>
        </w:rPr>
        <w:t>二、加快“法治长沙”建设</w:t>
      </w:r>
    </w:p>
    <w:p>
      <w:pPr>
        <w:adjustRightInd w:val="0"/>
        <w:snapToGrid w:val="0"/>
        <w:spacing w:line="600" w:lineRule="exact"/>
        <w:ind w:firstLine="600" w:firstLineChars="200"/>
        <w:rPr>
          <w:rFonts w:eastAsia="方正仿宋简体"/>
          <w:color w:val="000000"/>
          <w:sz w:val="30"/>
          <w:szCs w:val="30"/>
        </w:rPr>
      </w:pPr>
      <w:r>
        <w:rPr>
          <w:rFonts w:eastAsia="方正仿宋简体"/>
          <w:color w:val="000000"/>
          <w:sz w:val="30"/>
          <w:szCs w:val="30"/>
        </w:rPr>
        <w:t>全面贯彻依法治国基本方略，协同推进法治长沙、法治政府、法治社会建设，为经济社会发展提供坚实的法治保障。</w:t>
      </w:r>
    </w:p>
    <w:p>
      <w:pPr>
        <w:adjustRightInd w:val="0"/>
        <w:snapToGrid w:val="0"/>
        <w:spacing w:line="600" w:lineRule="exact"/>
        <w:ind w:firstLine="608" w:firstLineChars="200"/>
        <w:rPr>
          <w:rFonts w:eastAsia="方正仿宋简体"/>
          <w:color w:val="000000"/>
          <w:sz w:val="30"/>
          <w:szCs w:val="30"/>
        </w:rPr>
      </w:pPr>
      <w:r>
        <w:rPr>
          <w:rFonts w:eastAsia="方正仿宋简体"/>
          <w:bCs/>
          <w:color w:val="000000"/>
          <w:spacing w:val="2"/>
          <w:sz w:val="30"/>
          <w:szCs w:val="30"/>
        </w:rPr>
        <w:t>1、加强和改进地方立法。</w:t>
      </w:r>
      <w:r>
        <w:rPr>
          <w:rFonts w:eastAsia="方正仿宋简体"/>
          <w:color w:val="000000"/>
          <w:spacing w:val="2"/>
          <w:sz w:val="30"/>
          <w:szCs w:val="30"/>
        </w:rPr>
        <w:t>地方立法工作严格按照法定权限和</w:t>
      </w:r>
      <w:r>
        <w:rPr>
          <w:rFonts w:eastAsia="方正仿宋简体"/>
          <w:color w:val="000000"/>
          <w:sz w:val="30"/>
          <w:szCs w:val="30"/>
        </w:rPr>
        <w:t>法定程序进行。完善地方立法项目的提出、起草修改、征求意见和实施评估等制度机制，提升科学立法、民主立法、开门立法水平。继续做好政府规章的立、改、废工作，加强规章的立法后评估工作。进一步规范立法程序，健全立法机制，提高立法质量。</w:t>
      </w:r>
    </w:p>
    <w:p>
      <w:pPr>
        <w:adjustRightInd w:val="0"/>
        <w:snapToGrid w:val="0"/>
        <w:spacing w:line="600" w:lineRule="exact"/>
        <w:ind w:firstLine="600" w:firstLineChars="200"/>
        <w:rPr>
          <w:rFonts w:eastAsia="方正仿宋简体"/>
          <w:color w:val="000000"/>
          <w:sz w:val="30"/>
          <w:szCs w:val="30"/>
        </w:rPr>
      </w:pPr>
      <w:r>
        <w:rPr>
          <w:rFonts w:eastAsia="方正仿宋简体"/>
          <w:bCs/>
          <w:color w:val="000000"/>
          <w:sz w:val="30"/>
          <w:szCs w:val="30"/>
        </w:rPr>
        <w:t>2、深入推进依法行政。</w:t>
      </w:r>
      <w:r>
        <w:rPr>
          <w:rFonts w:eastAsia="方正仿宋简体"/>
          <w:color w:val="000000"/>
          <w:sz w:val="30"/>
          <w:szCs w:val="30"/>
        </w:rPr>
        <w:t>加快建设法治政府，依法全面履行政府职能，使法治成为长沙最显著的城市特质，最重要的竞争优势。完善和落实市县两级权力清单和责任清单制度。完善行政决策机制，推行行政决策科学化、民主化、法治化，建立和实施重大决策责任追究制。推进行政执法体制改革，理顺城管执法体制。坚持严格规范公正文明执法，加大重点领域执法力度。积极推行政府法律顾问制度。全面推行政务公开，强化对行政权力的制约和监督。</w:t>
      </w:r>
    </w:p>
    <w:p>
      <w:pPr>
        <w:adjustRightInd w:val="0"/>
        <w:snapToGrid w:val="0"/>
        <w:spacing w:line="600" w:lineRule="exact"/>
        <w:ind w:firstLine="600" w:firstLineChars="200"/>
        <w:rPr>
          <w:rFonts w:eastAsia="方正仿宋简体"/>
          <w:color w:val="000000"/>
          <w:sz w:val="30"/>
          <w:szCs w:val="30"/>
        </w:rPr>
      </w:pPr>
      <w:r>
        <w:rPr>
          <w:rFonts w:eastAsia="方正仿宋简体"/>
          <w:bCs/>
          <w:color w:val="000000"/>
          <w:sz w:val="30"/>
          <w:szCs w:val="30"/>
        </w:rPr>
        <w:t>3、切实维护司法公正。</w:t>
      </w:r>
      <w:r>
        <w:rPr>
          <w:rFonts w:eastAsia="方正仿宋简体"/>
          <w:color w:val="000000"/>
          <w:sz w:val="30"/>
          <w:szCs w:val="30"/>
        </w:rPr>
        <w:t>稳步推进司法体制改革，建立权责明确、相互配合、相互制约、高效运行的司法体制，司法公正指数和透明度排名省会城市前列。建立健全覆盖城乡的公共法律服务体系，加速发展民生领域法律服务，加强律师职业道德建设，继续扩大法律援助覆盖面，加大向弱势群体提供法律援助力度。进一步完善监狱规范执法体系。依法全面推进社区矫正。加强基层司法所建设，提升司法行政信息化水平。</w:t>
      </w:r>
    </w:p>
    <w:p>
      <w:pPr>
        <w:adjustRightInd w:val="0"/>
        <w:snapToGrid w:val="0"/>
        <w:spacing w:line="600" w:lineRule="exact"/>
        <w:ind w:firstLine="616" w:firstLineChars="200"/>
        <w:rPr>
          <w:rFonts w:eastAsia="方正仿宋简体"/>
          <w:color w:val="000000"/>
          <w:sz w:val="30"/>
          <w:szCs w:val="30"/>
        </w:rPr>
      </w:pPr>
      <w:r>
        <w:rPr>
          <w:rFonts w:eastAsia="方正仿宋简体"/>
          <w:bCs/>
          <w:color w:val="000000"/>
          <w:spacing w:val="4"/>
          <w:sz w:val="30"/>
          <w:szCs w:val="30"/>
        </w:rPr>
        <w:t>4、营造良好法治氛围。</w:t>
      </w:r>
      <w:r>
        <w:rPr>
          <w:rFonts w:eastAsia="方正仿宋简体"/>
          <w:color w:val="000000"/>
          <w:spacing w:val="4"/>
          <w:sz w:val="30"/>
          <w:szCs w:val="30"/>
        </w:rPr>
        <w:t>深入开展法治宣传教育，积极推进青少年法治教育中心建设，打造全国法治宣传品牌。培育社会主义</w:t>
      </w:r>
      <w:r>
        <w:rPr>
          <w:rFonts w:eastAsia="方正仿宋简体"/>
          <w:color w:val="000000"/>
          <w:spacing w:val="2"/>
          <w:sz w:val="30"/>
          <w:szCs w:val="30"/>
        </w:rPr>
        <w:t>法治文化，弘扬社会主义法治精神，推出一批法治文化精品。继续深化“法律进机关、进乡村、进社区、进学校、进企业、进单位”主</w:t>
      </w:r>
      <w:r>
        <w:rPr>
          <w:rFonts w:eastAsia="方正仿宋简体"/>
          <w:color w:val="000000"/>
          <w:sz w:val="30"/>
          <w:szCs w:val="30"/>
        </w:rPr>
        <w:t>题</w:t>
      </w:r>
      <w:r>
        <w:rPr>
          <w:rFonts w:eastAsia="方正仿宋简体"/>
          <w:color w:val="000000"/>
          <w:spacing w:val="4"/>
          <w:sz w:val="30"/>
          <w:szCs w:val="30"/>
        </w:rPr>
        <w:t>活动，深入开展“民主法治示范村（社区）”等基层法治创建活动，不断提高市民法治意识，营造学法、知法、守法、用法的良好氛围。</w:t>
      </w:r>
    </w:p>
    <w:p>
      <w:pPr>
        <w:adjustRightInd w:val="0"/>
        <w:snapToGrid w:val="0"/>
        <w:spacing w:line="600" w:lineRule="exact"/>
        <w:ind w:firstLine="600" w:firstLineChars="200"/>
        <w:rPr>
          <w:rFonts w:eastAsia="方正仿宋简体"/>
          <w:bCs/>
          <w:color w:val="000000"/>
          <w:sz w:val="30"/>
          <w:szCs w:val="30"/>
        </w:rPr>
      </w:pPr>
      <w:r>
        <w:rPr>
          <w:rFonts w:eastAsia="方正仿宋简体"/>
          <w:bCs/>
          <w:color w:val="000000"/>
          <w:sz w:val="30"/>
          <w:szCs w:val="30"/>
        </w:rPr>
        <w:t>三、发展社会主义民主政治</w:t>
      </w:r>
    </w:p>
    <w:p>
      <w:pPr>
        <w:adjustRightInd w:val="0"/>
        <w:snapToGrid w:val="0"/>
        <w:spacing w:line="600" w:lineRule="exact"/>
        <w:ind w:firstLine="600" w:firstLineChars="200"/>
        <w:rPr>
          <w:rFonts w:eastAsia="方正仿宋简体"/>
          <w:color w:val="000000"/>
          <w:sz w:val="30"/>
          <w:szCs w:val="30"/>
        </w:rPr>
      </w:pPr>
      <w:r>
        <w:rPr>
          <w:rFonts w:eastAsia="方正仿宋简体"/>
          <w:color w:val="000000"/>
          <w:sz w:val="30"/>
          <w:szCs w:val="30"/>
        </w:rPr>
        <w:t>坚持和完善人民代表大会制度、中国共产党领导的多党合作和政治协商制度、基层群众自治制度，从各层次各领域扩大公民有序政治参与，形成社会共识，凝聚社会力量，服务经济社会发展。</w:t>
      </w:r>
    </w:p>
    <w:p>
      <w:pPr>
        <w:adjustRightInd w:val="0"/>
        <w:snapToGrid w:val="0"/>
        <w:spacing w:line="600" w:lineRule="exact"/>
        <w:ind w:firstLine="600" w:firstLineChars="200"/>
        <w:rPr>
          <w:rFonts w:eastAsia="方正仿宋简体"/>
          <w:color w:val="000000"/>
          <w:sz w:val="30"/>
          <w:szCs w:val="30"/>
        </w:rPr>
      </w:pPr>
      <w:r>
        <w:rPr>
          <w:rFonts w:eastAsia="方正仿宋简体"/>
          <w:bCs/>
          <w:color w:val="000000"/>
          <w:sz w:val="30"/>
          <w:szCs w:val="30"/>
        </w:rPr>
        <w:t>1、健全协商民主制度。</w:t>
      </w:r>
      <w:r>
        <w:rPr>
          <w:rFonts w:eastAsia="方正仿宋简体"/>
          <w:color w:val="000000"/>
          <w:sz w:val="30"/>
          <w:szCs w:val="30"/>
        </w:rPr>
        <w:t>坚持和完善人民代表大会制度，支持和保证人大及其常委会依法行使各项权力，充分发挥人民代表的作用。坚持和完善中国共产党领导的多党合作和政治协商制度，推动政协工作制度化、规范化、程序化建设，充分发挥政协组织政治协商、民主监督、参政议政的重要作用。加强与各民主党派、工商联、无党派人士合作共事，全面贯彻党的民族、宗教、对台和侨务政策，支持工会、共青团、妇联等人民团体依照法律和各自章程开展工作，巩固和发展最广泛的爱国统一战线。</w:t>
      </w:r>
    </w:p>
    <w:p>
      <w:pPr>
        <w:adjustRightInd w:val="0"/>
        <w:snapToGrid w:val="0"/>
        <w:spacing w:line="600" w:lineRule="exact"/>
        <w:ind w:firstLine="600" w:firstLineChars="200"/>
        <w:rPr>
          <w:rFonts w:eastAsia="方正仿宋简体"/>
          <w:color w:val="000000"/>
          <w:sz w:val="30"/>
          <w:szCs w:val="30"/>
        </w:rPr>
      </w:pPr>
      <w:r>
        <w:rPr>
          <w:rFonts w:eastAsia="方正仿宋简体"/>
          <w:bCs/>
          <w:color w:val="000000"/>
          <w:sz w:val="30"/>
          <w:szCs w:val="30"/>
        </w:rPr>
        <w:t>2、积极扩大基层民主。</w:t>
      </w:r>
      <w:r>
        <w:rPr>
          <w:rFonts w:eastAsia="方正仿宋简体"/>
          <w:color w:val="000000"/>
          <w:sz w:val="30"/>
          <w:szCs w:val="30"/>
        </w:rPr>
        <w:t>巩固和完善村民自治，加强社区民主建设，坚持和完善以职工代表大会为基本形式的企业民主管理制度，全面推进政务公开、村务公开、居务公开，最广泛地动员和组织人民群众开展基层民主实践，促进群众在城乡社区治理、基层公共事务和公益事务中依法自我管理、自我服务、自我教育、自我监督，切实保障人民群众享有更多更切实的民主权利。</w:t>
      </w:r>
    </w:p>
    <w:p>
      <w:pPr>
        <w:adjustRightInd w:val="0"/>
        <w:snapToGrid w:val="0"/>
        <w:spacing w:line="600" w:lineRule="exact"/>
        <w:ind w:firstLine="600" w:firstLineChars="200"/>
        <w:rPr>
          <w:rFonts w:eastAsia="方正仿宋简体"/>
          <w:color w:val="000000"/>
          <w:sz w:val="30"/>
          <w:szCs w:val="30"/>
        </w:rPr>
      </w:pPr>
      <w:r>
        <w:rPr>
          <w:rFonts w:eastAsia="方正仿宋简体"/>
          <w:bCs/>
          <w:color w:val="000000"/>
          <w:sz w:val="30"/>
          <w:szCs w:val="30"/>
        </w:rPr>
        <w:t>3、加强反腐倡廉建设。</w:t>
      </w:r>
      <w:r>
        <w:rPr>
          <w:rFonts w:eastAsia="方正仿宋简体"/>
          <w:color w:val="000000"/>
          <w:sz w:val="30"/>
          <w:szCs w:val="30"/>
        </w:rPr>
        <w:t>扎实推进党风廉政建设和反腐败工作，</w:t>
      </w:r>
      <w:r>
        <w:rPr>
          <w:rFonts w:eastAsia="方正仿宋简体"/>
          <w:color w:val="000000"/>
          <w:spacing w:val="4"/>
          <w:sz w:val="30"/>
          <w:szCs w:val="30"/>
        </w:rPr>
        <w:t>推进“廉洁长沙”建设，构建让党员干部不敢腐、不能腐、不想腐的长效机制，严格执行《中国共产党廉洁自律准则》和《中国共产党纪律处分条例》，营造干部清正、政府清廉、政治清明的良好政治生态。加大违纪违法案件查处力度，持续保持惩治腐败高压态势，形成“不敢腐”的惩戒机制和社会氛围。加强制度建设，建立健全“结构合理、配置科学、程序严密、制约有效、监督有力”的权力运行体系，把权力关进制度笼子，形成“不能腐”的防范机制和制度体系。加强廉政文化建设和宣传教育工作，不断提高党员干部的思想素质和道德修养，形成党员领导干部“不想腐”的自律机制和价值取向。</w:t>
      </w:r>
    </w:p>
    <w:p>
      <w:pPr>
        <w:adjustRightInd w:val="0"/>
        <w:snapToGrid w:val="0"/>
        <w:spacing w:line="580" w:lineRule="exact"/>
        <w:jc w:val="center"/>
        <w:rPr>
          <w:rFonts w:eastAsia="方正仿宋简体"/>
          <w:color w:val="000000"/>
          <w:sz w:val="30"/>
          <w:szCs w:val="30"/>
        </w:rPr>
      </w:pPr>
    </w:p>
    <w:p>
      <w:pPr>
        <w:adjustRightInd w:val="0"/>
        <w:snapToGrid w:val="0"/>
        <w:spacing w:line="580" w:lineRule="exact"/>
        <w:jc w:val="center"/>
        <w:rPr>
          <w:rFonts w:eastAsia="方正仿宋简体"/>
          <w:color w:val="000000"/>
          <w:sz w:val="30"/>
          <w:szCs w:val="30"/>
        </w:rPr>
      </w:pPr>
      <w:r>
        <w:rPr>
          <w:rFonts w:eastAsia="方正仿宋简体"/>
          <w:color w:val="000000"/>
          <w:sz w:val="30"/>
          <w:szCs w:val="30"/>
        </w:rPr>
        <w:t>第八章  规划保障  健全规划推进实施机制</w:t>
      </w:r>
    </w:p>
    <w:p>
      <w:pPr>
        <w:adjustRightInd w:val="0"/>
        <w:snapToGrid w:val="0"/>
        <w:spacing w:line="580" w:lineRule="exact"/>
        <w:jc w:val="center"/>
        <w:rPr>
          <w:rFonts w:eastAsia="方正仿宋简体"/>
          <w:color w:val="000000"/>
          <w:sz w:val="30"/>
          <w:szCs w:val="30"/>
        </w:rPr>
      </w:pPr>
    </w:p>
    <w:p>
      <w:pPr>
        <w:adjustRightInd w:val="0"/>
        <w:snapToGrid w:val="0"/>
        <w:spacing w:line="580" w:lineRule="exact"/>
        <w:ind w:firstLine="600" w:firstLineChars="200"/>
        <w:rPr>
          <w:rFonts w:eastAsia="方正仿宋简体"/>
          <w:bCs/>
          <w:color w:val="000000"/>
          <w:sz w:val="30"/>
          <w:szCs w:val="30"/>
        </w:rPr>
      </w:pPr>
      <w:r>
        <w:rPr>
          <w:rFonts w:eastAsia="方正仿宋简体"/>
          <w:bCs/>
          <w:color w:val="000000"/>
          <w:sz w:val="30"/>
          <w:szCs w:val="30"/>
        </w:rPr>
        <w:t>推进国民经济和社会发展规划编制和实施工作的规范化、制度化，提高规划的科学性、民主性和权威性，建立健全规划实施机制，更好地发挥规划对经济社会发展的指导作用。</w:t>
      </w:r>
    </w:p>
    <w:p>
      <w:pPr>
        <w:adjustRightInd w:val="0"/>
        <w:snapToGrid w:val="0"/>
        <w:spacing w:line="580" w:lineRule="exact"/>
        <w:jc w:val="center"/>
        <w:rPr>
          <w:rFonts w:eastAsia="方正仿宋简体"/>
          <w:color w:val="000000"/>
          <w:sz w:val="30"/>
          <w:szCs w:val="30"/>
        </w:rPr>
      </w:pPr>
    </w:p>
    <w:p>
      <w:pPr>
        <w:adjustRightInd w:val="0"/>
        <w:snapToGrid w:val="0"/>
        <w:spacing w:after="312" w:afterLines="100" w:line="580" w:lineRule="exact"/>
        <w:jc w:val="center"/>
        <w:rPr>
          <w:rFonts w:eastAsia="方正仿宋简体"/>
          <w:color w:val="000000"/>
          <w:sz w:val="30"/>
          <w:szCs w:val="30"/>
        </w:rPr>
      </w:pPr>
      <w:r>
        <w:rPr>
          <w:rFonts w:eastAsia="方正仿宋简体"/>
          <w:color w:val="000000"/>
          <w:sz w:val="30"/>
          <w:szCs w:val="30"/>
        </w:rPr>
        <w:t>第一节  健全规划体系</w:t>
      </w:r>
    </w:p>
    <w:p>
      <w:pPr>
        <w:adjustRightInd w:val="0"/>
        <w:snapToGrid w:val="0"/>
        <w:spacing w:line="580" w:lineRule="exact"/>
        <w:ind w:firstLine="600" w:firstLineChars="200"/>
        <w:rPr>
          <w:rFonts w:eastAsia="方正仿宋简体"/>
          <w:bCs/>
          <w:color w:val="000000"/>
          <w:sz w:val="30"/>
          <w:szCs w:val="30"/>
        </w:rPr>
      </w:pPr>
      <w:r>
        <w:rPr>
          <w:rFonts w:eastAsia="方正仿宋简体"/>
          <w:bCs/>
          <w:color w:val="000000"/>
          <w:sz w:val="30"/>
          <w:szCs w:val="30"/>
        </w:rPr>
        <w:t>按照规划编制体系，进一步发挥总体规划的统领作用，做深做实专项规划，把“十三五”规划确定的主要目标任务落到实处。</w:t>
      </w:r>
    </w:p>
    <w:p>
      <w:pPr>
        <w:adjustRightInd w:val="0"/>
        <w:snapToGrid w:val="0"/>
        <w:spacing w:line="580" w:lineRule="exact"/>
        <w:ind w:firstLine="600" w:firstLineChars="200"/>
        <w:rPr>
          <w:rFonts w:eastAsia="方正仿宋简体"/>
          <w:bCs/>
          <w:color w:val="000000"/>
          <w:sz w:val="30"/>
          <w:szCs w:val="30"/>
        </w:rPr>
      </w:pPr>
      <w:r>
        <w:rPr>
          <w:rFonts w:eastAsia="方正仿宋简体"/>
          <w:bCs/>
          <w:color w:val="000000"/>
          <w:sz w:val="30"/>
          <w:szCs w:val="30"/>
        </w:rPr>
        <w:t>一、完善规划层级</w:t>
      </w:r>
    </w:p>
    <w:p>
      <w:pPr>
        <w:adjustRightInd w:val="0"/>
        <w:snapToGrid w:val="0"/>
        <w:spacing w:line="600" w:lineRule="exact"/>
        <w:ind w:firstLine="616" w:firstLineChars="200"/>
        <w:rPr>
          <w:rFonts w:eastAsia="方正仿宋简体"/>
          <w:bCs/>
          <w:color w:val="000000"/>
          <w:sz w:val="30"/>
          <w:szCs w:val="30"/>
        </w:rPr>
      </w:pPr>
      <w:r>
        <w:rPr>
          <w:rFonts w:eastAsia="方正仿宋简体"/>
          <w:bCs/>
          <w:color w:val="000000"/>
          <w:spacing w:val="4"/>
          <w:sz w:val="30"/>
          <w:szCs w:val="30"/>
        </w:rPr>
        <w:t>明确经济社会发展规划在各类规划中的主导地位，提高规划</w:t>
      </w:r>
      <w:r>
        <w:rPr>
          <w:rFonts w:eastAsia="方正仿宋简体"/>
          <w:bCs/>
          <w:color w:val="000000"/>
          <w:sz w:val="30"/>
          <w:szCs w:val="30"/>
        </w:rPr>
        <w:t>管理水平，形成以经济社会发展规划为统领，各类规划定位清晰、功能互补、统一衔接的规划体系。</w:t>
      </w:r>
    </w:p>
    <w:p>
      <w:pPr>
        <w:adjustRightInd w:val="0"/>
        <w:snapToGrid w:val="0"/>
        <w:spacing w:line="600" w:lineRule="exact"/>
        <w:ind w:firstLine="600" w:firstLineChars="200"/>
        <w:rPr>
          <w:rFonts w:eastAsia="方正仿宋简体"/>
          <w:bCs/>
          <w:color w:val="000000"/>
          <w:sz w:val="30"/>
          <w:szCs w:val="30"/>
        </w:rPr>
      </w:pPr>
      <w:r>
        <w:rPr>
          <w:rFonts w:eastAsia="方正仿宋简体"/>
          <w:bCs/>
          <w:color w:val="000000"/>
          <w:sz w:val="30"/>
          <w:szCs w:val="30"/>
        </w:rPr>
        <w:t>二、强化规划衔接</w:t>
      </w:r>
    </w:p>
    <w:p>
      <w:pPr>
        <w:adjustRightInd w:val="0"/>
        <w:snapToGrid w:val="0"/>
        <w:spacing w:line="600" w:lineRule="exact"/>
        <w:ind w:firstLine="600" w:firstLineChars="200"/>
        <w:rPr>
          <w:rFonts w:eastAsia="方正仿宋简体"/>
          <w:bCs/>
          <w:color w:val="000000"/>
          <w:sz w:val="30"/>
          <w:szCs w:val="30"/>
        </w:rPr>
      </w:pPr>
      <w:r>
        <w:rPr>
          <w:rFonts w:eastAsia="方正仿宋简体"/>
          <w:bCs/>
          <w:color w:val="000000"/>
          <w:sz w:val="30"/>
          <w:szCs w:val="30"/>
        </w:rPr>
        <w:t>做好县（市、区）级规划、专项规划、园区规划与本规划的衔接，确保各类规划在总体上指向一致、空间配置上互相协调、时序安排上科学有序。推动长沙县、浏阳市、宁乡县“多规合一”试点，逐步实现规划一张图、一个信息平台、一个协调机制、一个审批流程、一个监督体系。</w:t>
      </w:r>
    </w:p>
    <w:p>
      <w:pPr>
        <w:adjustRightInd w:val="0"/>
        <w:snapToGrid w:val="0"/>
        <w:spacing w:line="600" w:lineRule="exact"/>
        <w:ind w:firstLine="600" w:firstLineChars="200"/>
        <w:rPr>
          <w:rFonts w:eastAsia="方正仿宋简体"/>
          <w:bCs/>
          <w:color w:val="000000"/>
          <w:sz w:val="30"/>
          <w:szCs w:val="30"/>
        </w:rPr>
      </w:pPr>
      <w:r>
        <w:rPr>
          <w:rFonts w:eastAsia="方正仿宋简体"/>
          <w:bCs/>
          <w:color w:val="000000"/>
          <w:sz w:val="30"/>
          <w:szCs w:val="30"/>
        </w:rPr>
        <w:t>三、分解目标任务</w:t>
      </w:r>
    </w:p>
    <w:p>
      <w:pPr>
        <w:adjustRightInd w:val="0"/>
        <w:snapToGrid w:val="0"/>
        <w:spacing w:line="600" w:lineRule="exact"/>
        <w:ind w:firstLine="600" w:firstLineChars="200"/>
        <w:rPr>
          <w:rFonts w:eastAsia="方正仿宋简体"/>
          <w:bCs/>
          <w:color w:val="000000"/>
          <w:sz w:val="30"/>
          <w:szCs w:val="30"/>
        </w:rPr>
      </w:pPr>
      <w:r>
        <w:rPr>
          <w:rFonts w:eastAsia="方正仿宋简体"/>
          <w:bCs/>
          <w:color w:val="000000"/>
          <w:sz w:val="30"/>
          <w:szCs w:val="30"/>
        </w:rPr>
        <w:t>分解目标任务，明确分工责任，加大绩效考核力度。经济社会发展年度计划、财政预算计划要按照本规划明确的目标任务，分解明确年度目标、工作指标和推进措施。</w:t>
      </w:r>
    </w:p>
    <w:p>
      <w:pPr>
        <w:adjustRightInd w:val="0"/>
        <w:snapToGrid w:val="0"/>
        <w:spacing w:before="312" w:beforeLines="100" w:after="312" w:afterLines="100" w:line="600" w:lineRule="exact"/>
        <w:jc w:val="center"/>
        <w:rPr>
          <w:rFonts w:eastAsia="方正仿宋简体"/>
          <w:color w:val="000000"/>
          <w:sz w:val="30"/>
          <w:szCs w:val="30"/>
        </w:rPr>
      </w:pPr>
      <w:r>
        <w:rPr>
          <w:rFonts w:eastAsia="方正仿宋简体"/>
          <w:color w:val="000000"/>
          <w:sz w:val="30"/>
          <w:szCs w:val="30"/>
        </w:rPr>
        <w:t>第二节  强化项目支撑</w:t>
      </w:r>
    </w:p>
    <w:p>
      <w:pPr>
        <w:adjustRightInd w:val="0"/>
        <w:snapToGrid w:val="0"/>
        <w:spacing w:line="600" w:lineRule="exact"/>
        <w:ind w:firstLine="600" w:firstLineChars="200"/>
        <w:rPr>
          <w:rFonts w:eastAsia="方正仿宋简体"/>
          <w:bCs/>
          <w:color w:val="000000"/>
          <w:sz w:val="30"/>
          <w:szCs w:val="30"/>
        </w:rPr>
      </w:pPr>
      <w:r>
        <w:rPr>
          <w:rFonts w:eastAsia="方正仿宋简体"/>
          <w:bCs/>
          <w:color w:val="000000"/>
          <w:sz w:val="30"/>
          <w:szCs w:val="30"/>
        </w:rPr>
        <w:t>围绕“十三五”发展目标和任务，集中力量实施一批事关全局和长远发展的重点建设工程，充分发挥重大项目对经济社会发展的支撑和带动作用。</w:t>
      </w:r>
    </w:p>
    <w:p>
      <w:pPr>
        <w:adjustRightInd w:val="0"/>
        <w:snapToGrid w:val="0"/>
        <w:spacing w:line="600" w:lineRule="exact"/>
        <w:ind w:firstLine="600" w:firstLineChars="200"/>
        <w:rPr>
          <w:rFonts w:eastAsia="方正仿宋简体"/>
          <w:bCs/>
          <w:color w:val="000000"/>
          <w:sz w:val="30"/>
          <w:szCs w:val="30"/>
        </w:rPr>
      </w:pPr>
      <w:r>
        <w:rPr>
          <w:rFonts w:eastAsia="方正仿宋简体"/>
          <w:bCs/>
          <w:color w:val="000000"/>
          <w:sz w:val="30"/>
          <w:szCs w:val="30"/>
        </w:rPr>
        <w:t>一、抓好项目配套</w:t>
      </w:r>
    </w:p>
    <w:p>
      <w:pPr>
        <w:adjustRightInd w:val="0"/>
        <w:snapToGrid w:val="0"/>
        <w:spacing w:line="600" w:lineRule="exact"/>
        <w:ind w:firstLine="600" w:firstLineChars="200"/>
        <w:rPr>
          <w:rFonts w:eastAsia="方正仿宋简体"/>
          <w:bCs/>
          <w:color w:val="000000"/>
          <w:sz w:val="30"/>
          <w:szCs w:val="30"/>
        </w:rPr>
      </w:pPr>
      <w:r>
        <w:rPr>
          <w:rFonts w:eastAsia="方正仿宋简体"/>
          <w:bCs/>
          <w:color w:val="000000"/>
          <w:sz w:val="30"/>
          <w:szCs w:val="30"/>
        </w:rPr>
        <w:t>重点抓好“十三五”规划重大项目“4523工程”的落实，健全重点项目储备库，将规划的重点项目具体落实到年度重点项目计划实施，竣工一批、启动一批、实施一批。实行重点项目建设工作责任制度，实施考评和奖惩激励制度，保证项目建设进度。</w:t>
      </w:r>
    </w:p>
    <w:p>
      <w:pPr>
        <w:adjustRightInd w:val="0"/>
        <w:snapToGrid w:val="0"/>
        <w:spacing w:line="600" w:lineRule="exact"/>
        <w:ind w:firstLine="600" w:firstLineChars="200"/>
        <w:rPr>
          <w:rFonts w:eastAsia="方正仿宋简体"/>
          <w:bCs/>
          <w:color w:val="000000"/>
          <w:sz w:val="30"/>
          <w:szCs w:val="30"/>
        </w:rPr>
      </w:pPr>
      <w:r>
        <w:rPr>
          <w:rFonts w:eastAsia="方正仿宋简体"/>
          <w:bCs/>
          <w:color w:val="000000"/>
          <w:sz w:val="30"/>
          <w:szCs w:val="30"/>
        </w:rPr>
        <w:t>二、夯实要素保障</w:t>
      </w:r>
    </w:p>
    <w:p>
      <w:pPr>
        <w:adjustRightInd w:val="0"/>
        <w:snapToGrid w:val="0"/>
        <w:spacing w:line="600" w:lineRule="exact"/>
        <w:ind w:firstLine="600" w:firstLineChars="200"/>
        <w:rPr>
          <w:rFonts w:eastAsia="方正仿宋简体"/>
          <w:bCs/>
          <w:color w:val="000000"/>
          <w:sz w:val="30"/>
          <w:szCs w:val="30"/>
        </w:rPr>
      </w:pPr>
      <w:r>
        <w:rPr>
          <w:rFonts w:eastAsia="方正仿宋简体"/>
          <w:bCs/>
          <w:color w:val="000000"/>
          <w:sz w:val="30"/>
          <w:szCs w:val="30"/>
        </w:rPr>
        <w:t>强化层级互动，各级政府集中力量保证重点项目需要，依法依规推进建设。加强人员编制、用地指标、财政性资金、信贷资金等衔接和协调工作。优先保障重点项目环境容量。</w:t>
      </w:r>
    </w:p>
    <w:p>
      <w:pPr>
        <w:adjustRightInd w:val="0"/>
        <w:snapToGrid w:val="0"/>
        <w:spacing w:line="600" w:lineRule="exact"/>
        <w:ind w:firstLine="600" w:firstLineChars="200"/>
        <w:rPr>
          <w:rFonts w:eastAsia="方正仿宋简体"/>
          <w:bCs/>
          <w:color w:val="000000"/>
          <w:sz w:val="30"/>
          <w:szCs w:val="30"/>
        </w:rPr>
      </w:pPr>
      <w:r>
        <w:rPr>
          <w:rFonts w:eastAsia="方正仿宋简体"/>
          <w:bCs/>
          <w:color w:val="000000"/>
          <w:sz w:val="30"/>
          <w:szCs w:val="30"/>
        </w:rPr>
        <w:t>三、细化政策措施</w:t>
      </w:r>
    </w:p>
    <w:p>
      <w:pPr>
        <w:adjustRightInd w:val="0"/>
        <w:snapToGrid w:val="0"/>
        <w:spacing w:line="600" w:lineRule="exact"/>
        <w:ind w:firstLine="600" w:firstLineChars="200"/>
        <w:rPr>
          <w:rFonts w:eastAsia="方正仿宋简体"/>
          <w:bCs/>
          <w:color w:val="000000"/>
          <w:sz w:val="30"/>
          <w:szCs w:val="30"/>
        </w:rPr>
      </w:pPr>
      <w:r>
        <w:rPr>
          <w:rFonts w:eastAsia="方正仿宋简体"/>
          <w:bCs/>
          <w:color w:val="000000"/>
          <w:sz w:val="30"/>
          <w:szCs w:val="30"/>
        </w:rPr>
        <w:t>研究制定规划实施的相关配套政策，合理配置公共资源，有效引导社会资源。加强宏观经济监测预警，完善宏观调控政策，把短期调控政策和长期发展政策有机结合起来，加强各项政策协调配合，确保规划有效实施。</w:t>
      </w:r>
    </w:p>
    <w:p>
      <w:pPr>
        <w:adjustRightInd w:val="0"/>
        <w:snapToGrid w:val="0"/>
        <w:spacing w:before="312" w:beforeLines="100" w:after="312" w:afterLines="100" w:line="600" w:lineRule="exact"/>
        <w:jc w:val="center"/>
        <w:rPr>
          <w:rFonts w:eastAsia="方正仿宋简体"/>
          <w:color w:val="000000"/>
          <w:sz w:val="30"/>
          <w:szCs w:val="30"/>
        </w:rPr>
      </w:pPr>
      <w:r>
        <w:rPr>
          <w:rFonts w:eastAsia="方正仿宋简体"/>
          <w:color w:val="000000"/>
          <w:sz w:val="30"/>
          <w:szCs w:val="30"/>
        </w:rPr>
        <w:t>第三节  加强监督评估</w:t>
      </w:r>
    </w:p>
    <w:p>
      <w:pPr>
        <w:adjustRightInd w:val="0"/>
        <w:snapToGrid w:val="0"/>
        <w:spacing w:line="600" w:lineRule="exact"/>
        <w:ind w:firstLine="600" w:firstLineChars="200"/>
        <w:rPr>
          <w:rFonts w:eastAsia="方正仿宋简体"/>
          <w:bCs/>
          <w:color w:val="000000"/>
          <w:sz w:val="30"/>
          <w:szCs w:val="30"/>
        </w:rPr>
      </w:pPr>
      <w:r>
        <w:rPr>
          <w:rFonts w:eastAsia="方正仿宋简体"/>
          <w:bCs/>
          <w:color w:val="000000"/>
          <w:sz w:val="30"/>
          <w:szCs w:val="30"/>
        </w:rPr>
        <w:t>完善监督评估制度，强化组织实施，扩大公众参与，形成落实规划目标任务的合力。</w:t>
      </w:r>
    </w:p>
    <w:p>
      <w:pPr>
        <w:adjustRightInd w:val="0"/>
        <w:snapToGrid w:val="0"/>
        <w:spacing w:line="600" w:lineRule="exact"/>
        <w:ind w:firstLine="600" w:firstLineChars="200"/>
        <w:rPr>
          <w:rFonts w:eastAsia="方正仿宋简体"/>
          <w:bCs/>
          <w:color w:val="000000"/>
          <w:sz w:val="30"/>
          <w:szCs w:val="30"/>
        </w:rPr>
      </w:pPr>
      <w:r>
        <w:rPr>
          <w:rFonts w:eastAsia="方正仿宋简体"/>
          <w:bCs/>
          <w:color w:val="000000"/>
          <w:sz w:val="30"/>
          <w:szCs w:val="30"/>
        </w:rPr>
        <w:t>一、强化规划约束</w:t>
      </w:r>
    </w:p>
    <w:p>
      <w:pPr>
        <w:adjustRightInd w:val="0"/>
        <w:snapToGrid w:val="0"/>
        <w:spacing w:line="600" w:lineRule="exact"/>
        <w:ind w:firstLine="600" w:firstLineChars="200"/>
        <w:rPr>
          <w:rFonts w:eastAsia="方正仿宋简体"/>
          <w:bCs/>
          <w:color w:val="000000"/>
          <w:sz w:val="30"/>
          <w:szCs w:val="30"/>
        </w:rPr>
      </w:pPr>
      <w:r>
        <w:rPr>
          <w:rFonts w:eastAsia="方正仿宋简体"/>
          <w:bCs/>
          <w:color w:val="000000"/>
          <w:sz w:val="30"/>
          <w:szCs w:val="30"/>
        </w:rPr>
        <w:t>本规划由市人民代表大会批准，由市人民政府组织实施。本规划确定的约束性指标要纳入各县（市、区）、各部门单位和园区发展综合评价和绩效考核，实施规划落实责任制，确保认识到位、组织到位、措施到位。</w:t>
      </w:r>
    </w:p>
    <w:p>
      <w:pPr>
        <w:adjustRightInd w:val="0"/>
        <w:snapToGrid w:val="0"/>
        <w:spacing w:line="600" w:lineRule="exact"/>
        <w:ind w:firstLine="600" w:firstLineChars="200"/>
        <w:rPr>
          <w:rFonts w:eastAsia="方正仿宋简体"/>
          <w:bCs/>
          <w:color w:val="000000"/>
          <w:sz w:val="30"/>
          <w:szCs w:val="30"/>
        </w:rPr>
      </w:pPr>
      <w:r>
        <w:rPr>
          <w:rFonts w:eastAsia="方正仿宋简体"/>
          <w:bCs/>
          <w:color w:val="000000"/>
          <w:sz w:val="30"/>
          <w:szCs w:val="30"/>
        </w:rPr>
        <w:t>二、强化评估考核</w:t>
      </w:r>
    </w:p>
    <w:p>
      <w:pPr>
        <w:adjustRightInd w:val="0"/>
        <w:snapToGrid w:val="0"/>
        <w:spacing w:line="600" w:lineRule="exact"/>
        <w:ind w:firstLine="600" w:firstLineChars="200"/>
        <w:rPr>
          <w:rFonts w:eastAsia="方正仿宋简体"/>
          <w:bCs/>
          <w:color w:val="000000"/>
          <w:sz w:val="30"/>
          <w:szCs w:val="30"/>
        </w:rPr>
      </w:pPr>
      <w:r>
        <w:rPr>
          <w:rFonts w:eastAsia="方正仿宋简体"/>
          <w:bCs/>
          <w:color w:val="000000"/>
          <w:sz w:val="30"/>
          <w:szCs w:val="30"/>
        </w:rPr>
        <w:t>加强监测评估能力建设，跟踪分析规划实施过程，定期分析规划执行情况，完善规划年度考核制度，进行期中和期末评估，并将评估结果向市人大报告。建立科学合理的各级政府考核机制，考核结果作为各级政府领导班子调整和领导干部选拔任用、奖励惩戒的重要依据。</w:t>
      </w:r>
    </w:p>
    <w:p>
      <w:pPr>
        <w:adjustRightInd w:val="0"/>
        <w:snapToGrid w:val="0"/>
        <w:spacing w:line="600" w:lineRule="exact"/>
        <w:ind w:firstLine="600" w:firstLineChars="200"/>
        <w:rPr>
          <w:rFonts w:eastAsia="方正仿宋简体"/>
          <w:bCs/>
          <w:color w:val="000000"/>
          <w:sz w:val="30"/>
          <w:szCs w:val="30"/>
        </w:rPr>
      </w:pPr>
      <w:r>
        <w:rPr>
          <w:rFonts w:eastAsia="方正仿宋简体"/>
          <w:bCs/>
          <w:color w:val="000000"/>
          <w:sz w:val="30"/>
          <w:szCs w:val="30"/>
        </w:rPr>
        <w:t>三、强化宣传监督</w:t>
      </w:r>
    </w:p>
    <w:p>
      <w:pPr>
        <w:adjustRightInd w:val="0"/>
        <w:snapToGrid w:val="0"/>
        <w:spacing w:line="600" w:lineRule="exact"/>
        <w:ind w:firstLine="600" w:firstLineChars="200"/>
        <w:rPr>
          <w:rFonts w:eastAsia="方正仿宋简体"/>
          <w:bCs/>
          <w:color w:val="000000"/>
          <w:sz w:val="30"/>
          <w:szCs w:val="30"/>
        </w:rPr>
      </w:pPr>
      <w:r>
        <w:rPr>
          <w:rFonts w:eastAsia="方正仿宋简体"/>
          <w:bCs/>
          <w:color w:val="000000"/>
          <w:sz w:val="30"/>
          <w:szCs w:val="30"/>
        </w:rPr>
        <w:t>拓宽规划实施监督渠道，发挥监察、审计、统计等部门对发展规划实施的监督作用，完善政府重大决策事项向人大报告和向政协通报制度。加强规划实施的社会监督，开展规划宣传和展示工作，及时公布规划实施进展情况，让社会公众通过法定程序和渠道</w:t>
      </w:r>
      <w:r>
        <w:rPr>
          <w:rFonts w:eastAsia="方正仿宋简体"/>
          <w:bCs/>
          <w:color w:val="000000"/>
          <w:spacing w:val="4"/>
          <w:sz w:val="30"/>
          <w:szCs w:val="30"/>
        </w:rPr>
        <w:t>参与规划的实施和监督，营造全社会共同参与和支持规划纲要实施的氛</w:t>
      </w:r>
      <w:r>
        <w:rPr>
          <w:rFonts w:eastAsia="方正仿宋简体"/>
          <w:bCs/>
          <w:color w:val="000000"/>
          <w:sz w:val="30"/>
          <w:szCs w:val="30"/>
        </w:rPr>
        <w:t>围。</w:t>
      </w:r>
    </w:p>
    <w:p>
      <w:pPr>
        <w:adjustRightInd w:val="0"/>
        <w:snapToGrid w:val="0"/>
        <w:spacing w:line="460" w:lineRule="exact"/>
        <w:rPr>
          <w:rFonts w:hint="eastAsia" w:eastAsia="方正仿宋简体"/>
          <w:color w:val="000000"/>
          <w:sz w:val="28"/>
          <w:szCs w:val="28"/>
        </w:rPr>
      </w:pPr>
    </w:p>
    <w:sectPr>
      <w:headerReference r:id="rId3" w:type="default"/>
      <w:footerReference r:id="rId4" w:type="default"/>
      <w:pgSz w:w="11906" w:h="16838"/>
      <w:pgMar w:top="1701" w:right="1588" w:bottom="1701" w:left="1588" w:header="851" w:footer="1418"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DejaVu Sans">
    <w:altName w:val="苹方-简"/>
    <w:panose1 w:val="02020603050405020304"/>
    <w:charset w:val="00"/>
    <w:family w:val="roman"/>
    <w:pitch w:val="default"/>
    <w:sig w:usb0="20007A87" w:usb1="80000000" w:usb2="00000008" w:usb3="00000000" w:csb0="000001FF" w:csb1="00000000"/>
  </w:font>
  <w:font w:name="方正书宋_GBK">
    <w:panose1 w:val="02000000000000000000"/>
    <w:charset w:val="86"/>
    <w:family w:val="auto"/>
    <w:pitch w:val="default"/>
    <w:sig w:usb0="A00002BF" w:usb1="38CF7CFA" w:usb2="00082016" w:usb3="00000000" w:csb0="00040001" w:csb1="00000000"/>
  </w:font>
  <w:font w:name="方正黑体_GBK">
    <w:altName w:val="苹方-简"/>
    <w:panose1 w:val="02000000000000000000"/>
    <w:charset w:val="00"/>
    <w:family w:val="auto"/>
    <w:pitch w:val="default"/>
    <w:sig w:usb0="00000001" w:usb1="08000000" w:usb2="00000000" w:usb3="00000000" w:csb0="00040000" w:csb1="00000000"/>
  </w:font>
  <w:font w:name="Cambria">
    <w:altName w:val="苹方-简"/>
    <w:panose1 w:val="02040503050406030204"/>
    <w:charset w:val="00"/>
    <w:family w:val="roman"/>
    <w:pitch w:val="default"/>
    <w:sig w:usb0="00000000" w:usb1="00000000" w:usb2="00000000" w:usb3="00000000" w:csb0="0000019F" w:csb1="00000000"/>
  </w:font>
  <w:font w:name="Calibri">
    <w:altName w:val="Helvetica Neue"/>
    <w:panose1 w:val="020F0502020204030204"/>
    <w:charset w:val="00"/>
    <w:family w:val="swiss"/>
    <w:pitch w:val="default"/>
    <w:sig w:usb0="00000000" w:usb1="00000000" w:usb2="00000001" w:usb3="00000000" w:csb0="0000019F"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00000000" w:usb1="00000000" w:usb2="00000016" w:usb3="00000000" w:csb0="00040001" w:csb1="00000000"/>
  </w:font>
  <w:font w:name="Courier New">
    <w:panose1 w:val="020706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楷体_GB2312">
    <w:altName w:val="汉仪楷体简"/>
    <w:panose1 w:val="02010609030101010101"/>
    <w:charset w:val="86"/>
    <w:family w:val="modern"/>
    <w:pitch w:val="default"/>
    <w:sig w:usb0="00000000" w:usb1="00000000" w:usb2="00000000" w:usb3="00000000" w:csb0="00040000" w:csb1="00000000"/>
  </w:font>
  <w:font w:name="楷体">
    <w:altName w:val="汉仪楷体KW"/>
    <w:panose1 w:val="02010609060101010101"/>
    <w:charset w:val="86"/>
    <w:family w:val="auto"/>
    <w:pitch w:val="default"/>
    <w:sig w:usb0="00000000" w:usb1="00000000"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仿宋">
    <w:altName w:val="方正仿宋_GBK"/>
    <w:panose1 w:val="02010609060101010101"/>
    <w:charset w:val="86"/>
    <w:family w:val="auto"/>
    <w:pitch w:val="default"/>
    <w:sig w:usb0="00000000" w:usb1="00000000" w:usb2="00000016" w:usb3="00000000" w:csb0="00040001" w:csb1="00000000"/>
  </w:font>
  <w:font w:name="Arial Unicode MS">
    <w:panose1 w:val="020B0604020202020204"/>
    <w:charset w:val="86"/>
    <w:family w:val="roman"/>
    <w:pitch w:val="default"/>
    <w:sig w:usb0="FFFFFFFF" w:usb1="E9FFFFFF" w:usb2="0000003F" w:usb3="00000000" w:csb0="603F01FF" w:csb1="FFFF0000"/>
  </w:font>
  <w:font w:name="方正仿宋简体">
    <w:altName w:val="华文宋体"/>
    <w:panose1 w:val="02010601030101010101"/>
    <w:charset w:val="86"/>
    <w:family w:val="auto"/>
    <w:pitch w:val="default"/>
    <w:sig w:usb0="00000000" w:usb1="00000000" w:usb2="00000000" w:usb3="00000000" w:csb0="00040000" w:csb1="00000000"/>
  </w:font>
  <w:font w:name="微软雅黑">
    <w:altName w:val="汉仪旗黑"/>
    <w:panose1 w:val="020B0503020204020204"/>
    <w:charset w:val="86"/>
    <w:family w:val="auto"/>
    <w:pitch w:val="default"/>
    <w:sig w:usb0="00000000" w:usb1="00000000" w:usb2="00000016" w:usb3="00000000" w:csb0="0004001F" w:csb1="00000000"/>
  </w:font>
  <w:font w:name="方正小标宋简体">
    <w:altName w:val="汉仪书宋二KW"/>
    <w:panose1 w:val="02000000000000000000"/>
    <w:charset w:val="86"/>
    <w:family w:val="script"/>
    <w:pitch w:val="default"/>
    <w:sig w:usb0="00000000" w:usb1="00000000" w:usb2="00000012" w:usb3="00000000" w:csb0="00040001" w:csb1="00000000"/>
  </w:font>
  <w:font w:name="汉仪书宋二KW">
    <w:panose1 w:val="00020600040101010101"/>
    <w:charset w:val="86"/>
    <w:family w:val="auto"/>
    <w:pitch w:val="default"/>
    <w:sig w:usb0="A00002BF" w:usb1="18EF7CFA" w:usb2="00000016" w:usb3="00000000" w:csb0="00040000" w:csb1="00000000"/>
  </w:font>
  <w:font w:name="华文宋体">
    <w:panose1 w:val="02010600040101010101"/>
    <w:charset w:val="86"/>
    <w:family w:val="auto"/>
    <w:pitch w:val="default"/>
    <w:sig w:usb0="80000287" w:usb1="280F3C52" w:usb2="00000016" w:usb3="00000000" w:csb0="0004001F" w:csb1="00000000"/>
  </w:font>
  <w:font w:name="汉仪中黑KW">
    <w:panose1 w:val="00020600040101010101"/>
    <w:charset w:val="86"/>
    <w:family w:val="auto"/>
    <w:pitch w:val="default"/>
    <w:sig w:usb0="A00002BF" w:usb1="18EF7CFA" w:usb2="00000016" w:usb3="00000000" w:csb0="00040000" w:csb1="00000000"/>
  </w:font>
  <w:font w:name="苹方-简">
    <w:panose1 w:val="020B0400000000000000"/>
    <w:charset w:val="86"/>
    <w:family w:val="auto"/>
    <w:pitch w:val="default"/>
    <w:sig w:usb0="A00002FF" w:usb1="7ACFFDFB" w:usb2="00000017"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framePr w:wrap="around" w:vAnchor="text" w:hAnchor="margin" w:xAlign="outside" w:y="1"/>
      <w:rPr>
        <w:rStyle w:val="11"/>
        <w:rFonts w:ascii="宋体" w:hAnsi="宋体"/>
        <w:sz w:val="24"/>
        <w:szCs w:val="24"/>
      </w:rPr>
    </w:pPr>
    <w:r>
      <w:rPr>
        <w:rStyle w:val="11"/>
        <w:rFonts w:hint="eastAsia" w:ascii="宋体" w:hAnsi="宋体"/>
        <w:sz w:val="24"/>
        <w:szCs w:val="24"/>
      </w:rPr>
      <w:t xml:space="preserve">— </w:t>
    </w:r>
    <w:r>
      <w:rPr>
        <w:rFonts w:ascii="宋体" w:hAnsi="宋体"/>
        <w:sz w:val="24"/>
        <w:szCs w:val="24"/>
      </w:rPr>
      <w:fldChar w:fldCharType="begin"/>
    </w:r>
    <w:r>
      <w:rPr>
        <w:rStyle w:val="11"/>
        <w:rFonts w:ascii="宋体" w:hAnsi="宋体"/>
        <w:sz w:val="24"/>
        <w:szCs w:val="24"/>
      </w:rPr>
      <w:instrText xml:space="preserve">PAGE  </w:instrText>
    </w:r>
    <w:r>
      <w:rPr>
        <w:rFonts w:ascii="宋体" w:hAnsi="宋体"/>
        <w:sz w:val="24"/>
        <w:szCs w:val="24"/>
      </w:rPr>
      <w:fldChar w:fldCharType="separate"/>
    </w:r>
    <w:r>
      <w:rPr>
        <w:rStyle w:val="11"/>
        <w:rFonts w:ascii="宋体" w:hAnsi="宋体"/>
        <w:sz w:val="24"/>
        <w:szCs w:val="24"/>
      </w:rPr>
      <w:t>2</w:t>
    </w:r>
    <w:r>
      <w:rPr>
        <w:rFonts w:ascii="宋体" w:hAnsi="宋体"/>
        <w:sz w:val="24"/>
        <w:szCs w:val="24"/>
      </w:rPr>
      <w:fldChar w:fldCharType="end"/>
    </w:r>
    <w:r>
      <w:rPr>
        <w:rStyle w:val="11"/>
        <w:rFonts w:hint="eastAsia" w:ascii="宋体" w:hAnsi="宋体"/>
        <w:sz w:val="24"/>
        <w:szCs w:val="24"/>
      </w:rPr>
      <w:t xml:space="preserve"> —</w:t>
    </w:r>
  </w:p>
  <w:p>
    <w:pPr>
      <w:pStyle w:val="6"/>
      <w:ind w:right="360"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68485E2"/>
    <w:multiLevelType w:val="singleLevel"/>
    <w:tmpl w:val="568485E2"/>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BFA7754"/>
    <w:rsid w:val="000045CA"/>
    <w:rsid w:val="00010156"/>
    <w:rsid w:val="00015C09"/>
    <w:rsid w:val="00016FB7"/>
    <w:rsid w:val="000175CB"/>
    <w:rsid w:val="0002019A"/>
    <w:rsid w:val="00022074"/>
    <w:rsid w:val="000275D3"/>
    <w:rsid w:val="000312F1"/>
    <w:rsid w:val="0004722A"/>
    <w:rsid w:val="00050508"/>
    <w:rsid w:val="00051E3B"/>
    <w:rsid w:val="00077FEF"/>
    <w:rsid w:val="00083FEA"/>
    <w:rsid w:val="00091BC2"/>
    <w:rsid w:val="00096F25"/>
    <w:rsid w:val="000A53EC"/>
    <w:rsid w:val="000A65C9"/>
    <w:rsid w:val="000B080B"/>
    <w:rsid w:val="000B7A22"/>
    <w:rsid w:val="000C18AB"/>
    <w:rsid w:val="000C5A8B"/>
    <w:rsid w:val="000C7579"/>
    <w:rsid w:val="000D18AE"/>
    <w:rsid w:val="000D24DF"/>
    <w:rsid w:val="000E2826"/>
    <w:rsid w:val="000E286D"/>
    <w:rsid w:val="000E7AAF"/>
    <w:rsid w:val="000F1063"/>
    <w:rsid w:val="00105819"/>
    <w:rsid w:val="00111766"/>
    <w:rsid w:val="0012174E"/>
    <w:rsid w:val="00124650"/>
    <w:rsid w:val="0013032D"/>
    <w:rsid w:val="0013281B"/>
    <w:rsid w:val="00133154"/>
    <w:rsid w:val="00137782"/>
    <w:rsid w:val="0014284E"/>
    <w:rsid w:val="00144CF6"/>
    <w:rsid w:val="00152CE7"/>
    <w:rsid w:val="001641C3"/>
    <w:rsid w:val="001655B1"/>
    <w:rsid w:val="001774D1"/>
    <w:rsid w:val="001812BD"/>
    <w:rsid w:val="001857D5"/>
    <w:rsid w:val="00191400"/>
    <w:rsid w:val="00191854"/>
    <w:rsid w:val="001A597B"/>
    <w:rsid w:val="001A6EFC"/>
    <w:rsid w:val="001B1AA5"/>
    <w:rsid w:val="001C1D1C"/>
    <w:rsid w:val="001C39F0"/>
    <w:rsid w:val="001C4DA1"/>
    <w:rsid w:val="001D0604"/>
    <w:rsid w:val="001D591E"/>
    <w:rsid w:val="001D66A2"/>
    <w:rsid w:val="001E15D4"/>
    <w:rsid w:val="001E6CB4"/>
    <w:rsid w:val="001F4C4C"/>
    <w:rsid w:val="001F6027"/>
    <w:rsid w:val="001F6104"/>
    <w:rsid w:val="002123AE"/>
    <w:rsid w:val="00213A25"/>
    <w:rsid w:val="00221373"/>
    <w:rsid w:val="002216C5"/>
    <w:rsid w:val="00224FD7"/>
    <w:rsid w:val="002268C9"/>
    <w:rsid w:val="00230448"/>
    <w:rsid w:val="0024099D"/>
    <w:rsid w:val="00242D3B"/>
    <w:rsid w:val="00246125"/>
    <w:rsid w:val="002605C3"/>
    <w:rsid w:val="00261516"/>
    <w:rsid w:val="00266B8F"/>
    <w:rsid w:val="002761E8"/>
    <w:rsid w:val="00276ABB"/>
    <w:rsid w:val="002802DB"/>
    <w:rsid w:val="00283A65"/>
    <w:rsid w:val="00291BC1"/>
    <w:rsid w:val="00293445"/>
    <w:rsid w:val="002A2C5B"/>
    <w:rsid w:val="002A4D40"/>
    <w:rsid w:val="002B5ACE"/>
    <w:rsid w:val="002C0A25"/>
    <w:rsid w:val="002C2A1E"/>
    <w:rsid w:val="002C2BC4"/>
    <w:rsid w:val="002C4C31"/>
    <w:rsid w:val="002C5723"/>
    <w:rsid w:val="002C6686"/>
    <w:rsid w:val="002D2D07"/>
    <w:rsid w:val="002D2D26"/>
    <w:rsid w:val="002D75EB"/>
    <w:rsid w:val="002E3EF5"/>
    <w:rsid w:val="002E652E"/>
    <w:rsid w:val="002F51B6"/>
    <w:rsid w:val="00322395"/>
    <w:rsid w:val="00323AEC"/>
    <w:rsid w:val="00323B3B"/>
    <w:rsid w:val="00324B14"/>
    <w:rsid w:val="00325D7D"/>
    <w:rsid w:val="0032760D"/>
    <w:rsid w:val="003342A7"/>
    <w:rsid w:val="00344959"/>
    <w:rsid w:val="003475F0"/>
    <w:rsid w:val="00355AB4"/>
    <w:rsid w:val="003649C3"/>
    <w:rsid w:val="003650B3"/>
    <w:rsid w:val="003652AD"/>
    <w:rsid w:val="00370C7E"/>
    <w:rsid w:val="00371213"/>
    <w:rsid w:val="0038359D"/>
    <w:rsid w:val="00384B86"/>
    <w:rsid w:val="00384DAD"/>
    <w:rsid w:val="0038735D"/>
    <w:rsid w:val="00390F87"/>
    <w:rsid w:val="00392ED2"/>
    <w:rsid w:val="00395099"/>
    <w:rsid w:val="003B0EB0"/>
    <w:rsid w:val="003B16B7"/>
    <w:rsid w:val="003B208D"/>
    <w:rsid w:val="003B3B27"/>
    <w:rsid w:val="003B3C96"/>
    <w:rsid w:val="003B6D3E"/>
    <w:rsid w:val="003C26CE"/>
    <w:rsid w:val="003C789A"/>
    <w:rsid w:val="003E3EE4"/>
    <w:rsid w:val="003E6FAA"/>
    <w:rsid w:val="00412B24"/>
    <w:rsid w:val="00423ACC"/>
    <w:rsid w:val="00426C5E"/>
    <w:rsid w:val="00445FC8"/>
    <w:rsid w:val="00447642"/>
    <w:rsid w:val="00447E66"/>
    <w:rsid w:val="00454FFB"/>
    <w:rsid w:val="0045778F"/>
    <w:rsid w:val="00462629"/>
    <w:rsid w:val="004653BD"/>
    <w:rsid w:val="00466A6C"/>
    <w:rsid w:val="0048589F"/>
    <w:rsid w:val="004918FA"/>
    <w:rsid w:val="004A1B12"/>
    <w:rsid w:val="004A4EF2"/>
    <w:rsid w:val="004A73EB"/>
    <w:rsid w:val="004B08F0"/>
    <w:rsid w:val="004B4DEC"/>
    <w:rsid w:val="004C2FED"/>
    <w:rsid w:val="004C42CE"/>
    <w:rsid w:val="004D3C08"/>
    <w:rsid w:val="004E5229"/>
    <w:rsid w:val="004E57FA"/>
    <w:rsid w:val="004E76C0"/>
    <w:rsid w:val="004F17EB"/>
    <w:rsid w:val="004F4936"/>
    <w:rsid w:val="00503A1B"/>
    <w:rsid w:val="00503CEA"/>
    <w:rsid w:val="00503D85"/>
    <w:rsid w:val="0050584D"/>
    <w:rsid w:val="00512CE3"/>
    <w:rsid w:val="005157C5"/>
    <w:rsid w:val="00517ED2"/>
    <w:rsid w:val="00525FA0"/>
    <w:rsid w:val="005617D9"/>
    <w:rsid w:val="00570E40"/>
    <w:rsid w:val="0057685E"/>
    <w:rsid w:val="0058176B"/>
    <w:rsid w:val="0058444B"/>
    <w:rsid w:val="00584BE4"/>
    <w:rsid w:val="00594185"/>
    <w:rsid w:val="00596071"/>
    <w:rsid w:val="005A57AC"/>
    <w:rsid w:val="005A5BB0"/>
    <w:rsid w:val="005B1C6F"/>
    <w:rsid w:val="005C3912"/>
    <w:rsid w:val="005C74F1"/>
    <w:rsid w:val="005C7ED5"/>
    <w:rsid w:val="005D13D9"/>
    <w:rsid w:val="005E7CE4"/>
    <w:rsid w:val="005F0D27"/>
    <w:rsid w:val="005F1B6F"/>
    <w:rsid w:val="005F5672"/>
    <w:rsid w:val="0060702A"/>
    <w:rsid w:val="006203C4"/>
    <w:rsid w:val="00621D9A"/>
    <w:rsid w:val="006313B1"/>
    <w:rsid w:val="006407AA"/>
    <w:rsid w:val="00643CDA"/>
    <w:rsid w:val="00644637"/>
    <w:rsid w:val="00651777"/>
    <w:rsid w:val="0066146B"/>
    <w:rsid w:val="006629A3"/>
    <w:rsid w:val="00667FA2"/>
    <w:rsid w:val="00674910"/>
    <w:rsid w:val="006850A1"/>
    <w:rsid w:val="006A6153"/>
    <w:rsid w:val="006A6F58"/>
    <w:rsid w:val="006B60DF"/>
    <w:rsid w:val="006B7455"/>
    <w:rsid w:val="006C430C"/>
    <w:rsid w:val="006D1136"/>
    <w:rsid w:val="006D687F"/>
    <w:rsid w:val="006D71EB"/>
    <w:rsid w:val="006E08F7"/>
    <w:rsid w:val="006E6B88"/>
    <w:rsid w:val="006E7826"/>
    <w:rsid w:val="006F00D3"/>
    <w:rsid w:val="006F1767"/>
    <w:rsid w:val="006F3816"/>
    <w:rsid w:val="00706EE8"/>
    <w:rsid w:val="0071570D"/>
    <w:rsid w:val="007157F1"/>
    <w:rsid w:val="00715ECF"/>
    <w:rsid w:val="00716850"/>
    <w:rsid w:val="007206E8"/>
    <w:rsid w:val="00724D09"/>
    <w:rsid w:val="00727547"/>
    <w:rsid w:val="00727FD3"/>
    <w:rsid w:val="00733B87"/>
    <w:rsid w:val="00737A55"/>
    <w:rsid w:val="00741697"/>
    <w:rsid w:val="0074238F"/>
    <w:rsid w:val="00747985"/>
    <w:rsid w:val="00747B34"/>
    <w:rsid w:val="007509F2"/>
    <w:rsid w:val="0075397D"/>
    <w:rsid w:val="00753FD8"/>
    <w:rsid w:val="00756B91"/>
    <w:rsid w:val="00757E90"/>
    <w:rsid w:val="00763BD0"/>
    <w:rsid w:val="00764A72"/>
    <w:rsid w:val="00772896"/>
    <w:rsid w:val="00772D6C"/>
    <w:rsid w:val="00774D9F"/>
    <w:rsid w:val="00777853"/>
    <w:rsid w:val="00777B94"/>
    <w:rsid w:val="00793554"/>
    <w:rsid w:val="00793F11"/>
    <w:rsid w:val="007A2F8D"/>
    <w:rsid w:val="007A64BB"/>
    <w:rsid w:val="007A7E1F"/>
    <w:rsid w:val="007B6BD5"/>
    <w:rsid w:val="007C1295"/>
    <w:rsid w:val="007C1342"/>
    <w:rsid w:val="007E5E4D"/>
    <w:rsid w:val="007F3972"/>
    <w:rsid w:val="00813980"/>
    <w:rsid w:val="00814085"/>
    <w:rsid w:val="008171AF"/>
    <w:rsid w:val="008225B5"/>
    <w:rsid w:val="0082504B"/>
    <w:rsid w:val="00836D94"/>
    <w:rsid w:val="00837029"/>
    <w:rsid w:val="0084214D"/>
    <w:rsid w:val="008461BD"/>
    <w:rsid w:val="008526EA"/>
    <w:rsid w:val="008528D0"/>
    <w:rsid w:val="008533FA"/>
    <w:rsid w:val="00857340"/>
    <w:rsid w:val="00863325"/>
    <w:rsid w:val="00864CC3"/>
    <w:rsid w:val="00870A97"/>
    <w:rsid w:val="00874266"/>
    <w:rsid w:val="00875F1C"/>
    <w:rsid w:val="008775A4"/>
    <w:rsid w:val="00896078"/>
    <w:rsid w:val="008B228E"/>
    <w:rsid w:val="008B3B0F"/>
    <w:rsid w:val="008B7756"/>
    <w:rsid w:val="008C1D13"/>
    <w:rsid w:val="008C5614"/>
    <w:rsid w:val="008C6E64"/>
    <w:rsid w:val="008D1089"/>
    <w:rsid w:val="008D18DC"/>
    <w:rsid w:val="008D2616"/>
    <w:rsid w:val="008D48D0"/>
    <w:rsid w:val="008D54D4"/>
    <w:rsid w:val="008D747C"/>
    <w:rsid w:val="008D7785"/>
    <w:rsid w:val="008E0E05"/>
    <w:rsid w:val="008E67E8"/>
    <w:rsid w:val="008F1584"/>
    <w:rsid w:val="008F7713"/>
    <w:rsid w:val="00907482"/>
    <w:rsid w:val="00910ECA"/>
    <w:rsid w:val="0091764B"/>
    <w:rsid w:val="00931418"/>
    <w:rsid w:val="00941823"/>
    <w:rsid w:val="0094290A"/>
    <w:rsid w:val="00942ED0"/>
    <w:rsid w:val="00962AF7"/>
    <w:rsid w:val="00964736"/>
    <w:rsid w:val="00965115"/>
    <w:rsid w:val="0097328D"/>
    <w:rsid w:val="009735C2"/>
    <w:rsid w:val="009744B7"/>
    <w:rsid w:val="00976F2D"/>
    <w:rsid w:val="00977927"/>
    <w:rsid w:val="009852F8"/>
    <w:rsid w:val="009956F7"/>
    <w:rsid w:val="009A24B2"/>
    <w:rsid w:val="009A4354"/>
    <w:rsid w:val="009B1468"/>
    <w:rsid w:val="009B3972"/>
    <w:rsid w:val="009B4CB6"/>
    <w:rsid w:val="009B6545"/>
    <w:rsid w:val="009C0102"/>
    <w:rsid w:val="009D259C"/>
    <w:rsid w:val="009D2E92"/>
    <w:rsid w:val="009D3291"/>
    <w:rsid w:val="009D56D8"/>
    <w:rsid w:val="009E0C07"/>
    <w:rsid w:val="009F6F1C"/>
    <w:rsid w:val="00A02987"/>
    <w:rsid w:val="00A113CD"/>
    <w:rsid w:val="00A23CA2"/>
    <w:rsid w:val="00A27566"/>
    <w:rsid w:val="00A3441C"/>
    <w:rsid w:val="00A356AB"/>
    <w:rsid w:val="00A4613A"/>
    <w:rsid w:val="00A46976"/>
    <w:rsid w:val="00A529B6"/>
    <w:rsid w:val="00A563ED"/>
    <w:rsid w:val="00A639D7"/>
    <w:rsid w:val="00A673B4"/>
    <w:rsid w:val="00A70AC3"/>
    <w:rsid w:val="00A761FB"/>
    <w:rsid w:val="00A96AE2"/>
    <w:rsid w:val="00AA33A6"/>
    <w:rsid w:val="00AB09FD"/>
    <w:rsid w:val="00AB168F"/>
    <w:rsid w:val="00AB3194"/>
    <w:rsid w:val="00AB7629"/>
    <w:rsid w:val="00AD4B59"/>
    <w:rsid w:val="00AD5482"/>
    <w:rsid w:val="00AE0538"/>
    <w:rsid w:val="00AF00C6"/>
    <w:rsid w:val="00AF498C"/>
    <w:rsid w:val="00B0050F"/>
    <w:rsid w:val="00B0316F"/>
    <w:rsid w:val="00B14165"/>
    <w:rsid w:val="00B15604"/>
    <w:rsid w:val="00B17F14"/>
    <w:rsid w:val="00B27942"/>
    <w:rsid w:val="00B313D1"/>
    <w:rsid w:val="00B31744"/>
    <w:rsid w:val="00B322F1"/>
    <w:rsid w:val="00B3429E"/>
    <w:rsid w:val="00B72C63"/>
    <w:rsid w:val="00B746E4"/>
    <w:rsid w:val="00B75716"/>
    <w:rsid w:val="00B809A4"/>
    <w:rsid w:val="00B83F14"/>
    <w:rsid w:val="00B87F9C"/>
    <w:rsid w:val="00B9222D"/>
    <w:rsid w:val="00BA77ED"/>
    <w:rsid w:val="00BB23F7"/>
    <w:rsid w:val="00BB3ABB"/>
    <w:rsid w:val="00BB4315"/>
    <w:rsid w:val="00BB684C"/>
    <w:rsid w:val="00BB7EF9"/>
    <w:rsid w:val="00BD0402"/>
    <w:rsid w:val="00BD14B4"/>
    <w:rsid w:val="00BD526E"/>
    <w:rsid w:val="00BE270A"/>
    <w:rsid w:val="00BE5A50"/>
    <w:rsid w:val="00BF497C"/>
    <w:rsid w:val="00C018DB"/>
    <w:rsid w:val="00C10087"/>
    <w:rsid w:val="00C102F7"/>
    <w:rsid w:val="00C11CB2"/>
    <w:rsid w:val="00C24A2A"/>
    <w:rsid w:val="00C2544B"/>
    <w:rsid w:val="00C31794"/>
    <w:rsid w:val="00C355E6"/>
    <w:rsid w:val="00C40A34"/>
    <w:rsid w:val="00C55BD2"/>
    <w:rsid w:val="00C6743F"/>
    <w:rsid w:val="00C677F8"/>
    <w:rsid w:val="00C71588"/>
    <w:rsid w:val="00C74095"/>
    <w:rsid w:val="00C76A5B"/>
    <w:rsid w:val="00C810BD"/>
    <w:rsid w:val="00C94BF3"/>
    <w:rsid w:val="00C95A20"/>
    <w:rsid w:val="00C96365"/>
    <w:rsid w:val="00C96CFB"/>
    <w:rsid w:val="00CA44A5"/>
    <w:rsid w:val="00CA6230"/>
    <w:rsid w:val="00CA756A"/>
    <w:rsid w:val="00CB30AA"/>
    <w:rsid w:val="00CB389F"/>
    <w:rsid w:val="00CB5E5F"/>
    <w:rsid w:val="00CB6B67"/>
    <w:rsid w:val="00CB6D9B"/>
    <w:rsid w:val="00CD0000"/>
    <w:rsid w:val="00CD0043"/>
    <w:rsid w:val="00CD1332"/>
    <w:rsid w:val="00CD2276"/>
    <w:rsid w:val="00CD5E03"/>
    <w:rsid w:val="00CE4636"/>
    <w:rsid w:val="00CE54B4"/>
    <w:rsid w:val="00CF4E5A"/>
    <w:rsid w:val="00D15868"/>
    <w:rsid w:val="00D15F8E"/>
    <w:rsid w:val="00D17F2D"/>
    <w:rsid w:val="00D23F11"/>
    <w:rsid w:val="00D26A89"/>
    <w:rsid w:val="00D36523"/>
    <w:rsid w:val="00D52854"/>
    <w:rsid w:val="00D555A1"/>
    <w:rsid w:val="00D60028"/>
    <w:rsid w:val="00D64E6B"/>
    <w:rsid w:val="00D86462"/>
    <w:rsid w:val="00D8675B"/>
    <w:rsid w:val="00D95C92"/>
    <w:rsid w:val="00DA1153"/>
    <w:rsid w:val="00DA12DA"/>
    <w:rsid w:val="00DA44DE"/>
    <w:rsid w:val="00DB2E2D"/>
    <w:rsid w:val="00DB372F"/>
    <w:rsid w:val="00DE25F3"/>
    <w:rsid w:val="00DE33F7"/>
    <w:rsid w:val="00DE6852"/>
    <w:rsid w:val="00DF0963"/>
    <w:rsid w:val="00E001FA"/>
    <w:rsid w:val="00E0123D"/>
    <w:rsid w:val="00E05AED"/>
    <w:rsid w:val="00E05D17"/>
    <w:rsid w:val="00E06123"/>
    <w:rsid w:val="00E12D08"/>
    <w:rsid w:val="00E20530"/>
    <w:rsid w:val="00E21C20"/>
    <w:rsid w:val="00E22AEC"/>
    <w:rsid w:val="00E2426A"/>
    <w:rsid w:val="00E26398"/>
    <w:rsid w:val="00E27692"/>
    <w:rsid w:val="00E41584"/>
    <w:rsid w:val="00E43996"/>
    <w:rsid w:val="00E44E8F"/>
    <w:rsid w:val="00E46224"/>
    <w:rsid w:val="00E6112C"/>
    <w:rsid w:val="00E630A9"/>
    <w:rsid w:val="00E64E23"/>
    <w:rsid w:val="00E77550"/>
    <w:rsid w:val="00E807A4"/>
    <w:rsid w:val="00E84A00"/>
    <w:rsid w:val="00E92EF1"/>
    <w:rsid w:val="00E974A4"/>
    <w:rsid w:val="00E97938"/>
    <w:rsid w:val="00E97F12"/>
    <w:rsid w:val="00EA3585"/>
    <w:rsid w:val="00EB2FEA"/>
    <w:rsid w:val="00EB4921"/>
    <w:rsid w:val="00EB6B9A"/>
    <w:rsid w:val="00EC1DD6"/>
    <w:rsid w:val="00EC5CAD"/>
    <w:rsid w:val="00EC5DF7"/>
    <w:rsid w:val="00ED33A0"/>
    <w:rsid w:val="00ED44CA"/>
    <w:rsid w:val="00EE018C"/>
    <w:rsid w:val="00EE0BDB"/>
    <w:rsid w:val="00EE588D"/>
    <w:rsid w:val="00EF600A"/>
    <w:rsid w:val="00F04F86"/>
    <w:rsid w:val="00F071DF"/>
    <w:rsid w:val="00F13FED"/>
    <w:rsid w:val="00F15A4A"/>
    <w:rsid w:val="00F17E04"/>
    <w:rsid w:val="00F20691"/>
    <w:rsid w:val="00F21FD2"/>
    <w:rsid w:val="00F2486C"/>
    <w:rsid w:val="00F27CB9"/>
    <w:rsid w:val="00F32095"/>
    <w:rsid w:val="00F34F5C"/>
    <w:rsid w:val="00F4309A"/>
    <w:rsid w:val="00F43C9A"/>
    <w:rsid w:val="00F45290"/>
    <w:rsid w:val="00F47D59"/>
    <w:rsid w:val="00F5167A"/>
    <w:rsid w:val="00F51F15"/>
    <w:rsid w:val="00F52B45"/>
    <w:rsid w:val="00F600C4"/>
    <w:rsid w:val="00F66CA3"/>
    <w:rsid w:val="00F703D7"/>
    <w:rsid w:val="00F7540E"/>
    <w:rsid w:val="00F80BF7"/>
    <w:rsid w:val="00FA3F6F"/>
    <w:rsid w:val="00FA5C6C"/>
    <w:rsid w:val="00FB4551"/>
    <w:rsid w:val="00FC34EB"/>
    <w:rsid w:val="00FD0000"/>
    <w:rsid w:val="00FD0304"/>
    <w:rsid w:val="00FD418B"/>
    <w:rsid w:val="00FD587B"/>
    <w:rsid w:val="00FD6FC6"/>
    <w:rsid w:val="00FF08EE"/>
    <w:rsid w:val="00FF64C8"/>
    <w:rsid w:val="00FF7DD7"/>
    <w:rsid w:val="010121B4"/>
    <w:rsid w:val="010C0545"/>
    <w:rsid w:val="010C3DC8"/>
    <w:rsid w:val="011421A8"/>
    <w:rsid w:val="01582BC2"/>
    <w:rsid w:val="0183728A"/>
    <w:rsid w:val="01CF1907"/>
    <w:rsid w:val="01D94CF5"/>
    <w:rsid w:val="01F178BE"/>
    <w:rsid w:val="02063FE0"/>
    <w:rsid w:val="023C66B8"/>
    <w:rsid w:val="024708AD"/>
    <w:rsid w:val="028710B6"/>
    <w:rsid w:val="029108A9"/>
    <w:rsid w:val="029E0CDB"/>
    <w:rsid w:val="02BF340E"/>
    <w:rsid w:val="02D433BB"/>
    <w:rsid w:val="02F516EA"/>
    <w:rsid w:val="034766CD"/>
    <w:rsid w:val="03772BBD"/>
    <w:rsid w:val="038D2B62"/>
    <w:rsid w:val="03C4523A"/>
    <w:rsid w:val="03F5128D"/>
    <w:rsid w:val="041F5699"/>
    <w:rsid w:val="04B17441"/>
    <w:rsid w:val="04FD1ABF"/>
    <w:rsid w:val="051440A8"/>
    <w:rsid w:val="058A4BA6"/>
    <w:rsid w:val="059C47B9"/>
    <w:rsid w:val="060327C6"/>
    <w:rsid w:val="060D18FC"/>
    <w:rsid w:val="06D55434"/>
    <w:rsid w:val="071C1AB9"/>
    <w:rsid w:val="076808B4"/>
    <w:rsid w:val="07834C41"/>
    <w:rsid w:val="078E4413"/>
    <w:rsid w:val="07944BFB"/>
    <w:rsid w:val="079F0AA0"/>
    <w:rsid w:val="07BF4B46"/>
    <w:rsid w:val="07CA2ED7"/>
    <w:rsid w:val="07DF0035"/>
    <w:rsid w:val="08360008"/>
    <w:rsid w:val="08377C87"/>
    <w:rsid w:val="084D7C2D"/>
    <w:rsid w:val="088C0A16"/>
    <w:rsid w:val="088E0696"/>
    <w:rsid w:val="08C330EF"/>
    <w:rsid w:val="08C52D6F"/>
    <w:rsid w:val="08D95292"/>
    <w:rsid w:val="08E510A5"/>
    <w:rsid w:val="097D251D"/>
    <w:rsid w:val="09A56073"/>
    <w:rsid w:val="09C94B9B"/>
    <w:rsid w:val="09D32F2C"/>
    <w:rsid w:val="09F31262"/>
    <w:rsid w:val="0A0755AB"/>
    <w:rsid w:val="0A095984"/>
    <w:rsid w:val="0A696084"/>
    <w:rsid w:val="0A9862C1"/>
    <w:rsid w:val="0AA12680"/>
    <w:rsid w:val="0ACD69C7"/>
    <w:rsid w:val="0AED147A"/>
    <w:rsid w:val="0AED4CFD"/>
    <w:rsid w:val="0AF8308E"/>
    <w:rsid w:val="0B041882"/>
    <w:rsid w:val="0B0D77B0"/>
    <w:rsid w:val="0B1957C1"/>
    <w:rsid w:val="0B322488"/>
    <w:rsid w:val="0B7061D0"/>
    <w:rsid w:val="0B7B7DE4"/>
    <w:rsid w:val="0BBA0BCE"/>
    <w:rsid w:val="0BDC6B84"/>
    <w:rsid w:val="0BF32F26"/>
    <w:rsid w:val="0C337593"/>
    <w:rsid w:val="0C493935"/>
    <w:rsid w:val="0C5F0057"/>
    <w:rsid w:val="0CA11DC5"/>
    <w:rsid w:val="0CAB26D5"/>
    <w:rsid w:val="0CAB5147"/>
    <w:rsid w:val="0CB50A66"/>
    <w:rsid w:val="0CC0267A"/>
    <w:rsid w:val="0CE0512D"/>
    <w:rsid w:val="0D0230E3"/>
    <w:rsid w:val="0D4C5AE1"/>
    <w:rsid w:val="0D647905"/>
    <w:rsid w:val="0D6E3A97"/>
    <w:rsid w:val="0DBA2892"/>
    <w:rsid w:val="0DE46F59"/>
    <w:rsid w:val="0E3015D7"/>
    <w:rsid w:val="0E52758D"/>
    <w:rsid w:val="0E5C591E"/>
    <w:rsid w:val="0E722040"/>
    <w:rsid w:val="0E871FE6"/>
    <w:rsid w:val="0E910D55"/>
    <w:rsid w:val="0EEA0A05"/>
    <w:rsid w:val="0EEE140B"/>
    <w:rsid w:val="0EF56D96"/>
    <w:rsid w:val="0EFF5127"/>
    <w:rsid w:val="0EFF5A98"/>
    <w:rsid w:val="0F3218D0"/>
    <w:rsid w:val="0F6B5ADC"/>
    <w:rsid w:val="0F7F45C1"/>
    <w:rsid w:val="10254F0A"/>
    <w:rsid w:val="105A7962"/>
    <w:rsid w:val="10705587"/>
    <w:rsid w:val="107A5C99"/>
    <w:rsid w:val="10863CAA"/>
    <w:rsid w:val="109A1D74"/>
    <w:rsid w:val="10B04B1B"/>
    <w:rsid w:val="10F20DDB"/>
    <w:rsid w:val="11296D36"/>
    <w:rsid w:val="11807745"/>
    <w:rsid w:val="11853D3E"/>
    <w:rsid w:val="11AB3E0C"/>
    <w:rsid w:val="11CC653F"/>
    <w:rsid w:val="11D113C2"/>
    <w:rsid w:val="122D0B62"/>
    <w:rsid w:val="124D3615"/>
    <w:rsid w:val="124F3295"/>
    <w:rsid w:val="1279795D"/>
    <w:rsid w:val="128666E6"/>
    <w:rsid w:val="128E407F"/>
    <w:rsid w:val="12A44024"/>
    <w:rsid w:val="12D0036B"/>
    <w:rsid w:val="12E54A8E"/>
    <w:rsid w:val="131C7166"/>
    <w:rsid w:val="1331710B"/>
    <w:rsid w:val="13370C17"/>
    <w:rsid w:val="13997857"/>
    <w:rsid w:val="13B43E61"/>
    <w:rsid w:val="13BF21F2"/>
    <w:rsid w:val="13DF0529"/>
    <w:rsid w:val="13F94070"/>
    <w:rsid w:val="14214815"/>
    <w:rsid w:val="142B2BA6"/>
    <w:rsid w:val="147719A1"/>
    <w:rsid w:val="149D2429"/>
    <w:rsid w:val="14A44CEC"/>
    <w:rsid w:val="14C3401F"/>
    <w:rsid w:val="14E32355"/>
    <w:rsid w:val="15044A88"/>
    <w:rsid w:val="1505030B"/>
    <w:rsid w:val="150F669C"/>
    <w:rsid w:val="151226ED"/>
    <w:rsid w:val="15360ADA"/>
    <w:rsid w:val="154410F5"/>
    <w:rsid w:val="155C679B"/>
    <w:rsid w:val="158717DE"/>
    <w:rsid w:val="15A77B14"/>
    <w:rsid w:val="15D43E5C"/>
    <w:rsid w:val="15EF211A"/>
    <w:rsid w:val="15F42192"/>
    <w:rsid w:val="161E6859"/>
    <w:rsid w:val="16327EBE"/>
    <w:rsid w:val="163F0F8C"/>
    <w:rsid w:val="165F72C3"/>
    <w:rsid w:val="1696199B"/>
    <w:rsid w:val="16AA29C8"/>
    <w:rsid w:val="16C16063"/>
    <w:rsid w:val="16E2350D"/>
    <w:rsid w:val="16ED23AA"/>
    <w:rsid w:val="171966F1"/>
    <w:rsid w:val="17442DB9"/>
    <w:rsid w:val="177A5491"/>
    <w:rsid w:val="17830BD4"/>
    <w:rsid w:val="178570A5"/>
    <w:rsid w:val="179A37C7"/>
    <w:rsid w:val="17A51B58"/>
    <w:rsid w:val="17C77B0F"/>
    <w:rsid w:val="17FC2567"/>
    <w:rsid w:val="18324C3F"/>
    <w:rsid w:val="183D6854"/>
    <w:rsid w:val="187212AC"/>
    <w:rsid w:val="18AB3604"/>
    <w:rsid w:val="18B51996"/>
    <w:rsid w:val="190C23A4"/>
    <w:rsid w:val="192C06DB"/>
    <w:rsid w:val="194C6A11"/>
    <w:rsid w:val="196D1144"/>
    <w:rsid w:val="197874D5"/>
    <w:rsid w:val="198D747A"/>
    <w:rsid w:val="19A37420"/>
    <w:rsid w:val="19DA1AF8"/>
    <w:rsid w:val="1A1041D0"/>
    <w:rsid w:val="1A264176"/>
    <w:rsid w:val="1A722F70"/>
    <w:rsid w:val="1ADB7AD1"/>
    <w:rsid w:val="1AF57CC6"/>
    <w:rsid w:val="1B155FFD"/>
    <w:rsid w:val="1B165C7C"/>
    <w:rsid w:val="1B1F438E"/>
    <w:rsid w:val="1B2A271F"/>
    <w:rsid w:val="1B6D1F0E"/>
    <w:rsid w:val="1B80312D"/>
    <w:rsid w:val="1B822DAD"/>
    <w:rsid w:val="1BD73B3C"/>
    <w:rsid w:val="1BD937BC"/>
    <w:rsid w:val="1BE31B4D"/>
    <w:rsid w:val="1BEC49DB"/>
    <w:rsid w:val="1BEE7EDE"/>
    <w:rsid w:val="1C0E1A98"/>
    <w:rsid w:val="1C1945A6"/>
    <w:rsid w:val="1C2361BA"/>
    <w:rsid w:val="1C3041CB"/>
    <w:rsid w:val="1C700838"/>
    <w:rsid w:val="1CA62F10"/>
    <w:rsid w:val="1CBB7632"/>
    <w:rsid w:val="1CFD391F"/>
    <w:rsid w:val="1D291FA4"/>
    <w:rsid w:val="1D345FF7"/>
    <w:rsid w:val="1D5A22CF"/>
    <w:rsid w:val="1D9D21A3"/>
    <w:rsid w:val="1DAB4D3C"/>
    <w:rsid w:val="1DB530CD"/>
    <w:rsid w:val="1DCA77EF"/>
    <w:rsid w:val="1DEC57A6"/>
    <w:rsid w:val="1DEE0CA9"/>
    <w:rsid w:val="1E011EC8"/>
    <w:rsid w:val="1E0C3ADC"/>
    <w:rsid w:val="1E6D287C"/>
    <w:rsid w:val="1E846C1E"/>
    <w:rsid w:val="1E8F0832"/>
    <w:rsid w:val="1EAF32E5"/>
    <w:rsid w:val="1EB02F65"/>
    <w:rsid w:val="1F111D05"/>
    <w:rsid w:val="1F271CAA"/>
    <w:rsid w:val="1F5E4382"/>
    <w:rsid w:val="1FF322BA"/>
    <w:rsid w:val="1FF45B7B"/>
    <w:rsid w:val="20AE4FA9"/>
    <w:rsid w:val="20EE1616"/>
    <w:rsid w:val="211A595D"/>
    <w:rsid w:val="211F7C40"/>
    <w:rsid w:val="21372D0F"/>
    <w:rsid w:val="213A3C94"/>
    <w:rsid w:val="21664758"/>
    <w:rsid w:val="21C734F7"/>
    <w:rsid w:val="223F1EBC"/>
    <w:rsid w:val="225B6153"/>
    <w:rsid w:val="225F01F3"/>
    <w:rsid w:val="22A10C5C"/>
    <w:rsid w:val="22E24F49"/>
    <w:rsid w:val="23443CE8"/>
    <w:rsid w:val="234E207A"/>
    <w:rsid w:val="236E03B0"/>
    <w:rsid w:val="23796741"/>
    <w:rsid w:val="23B00E19"/>
    <w:rsid w:val="23D16DD0"/>
    <w:rsid w:val="23DC5161"/>
    <w:rsid w:val="23F15106"/>
    <w:rsid w:val="241C17CD"/>
    <w:rsid w:val="24335B6F"/>
    <w:rsid w:val="24482291"/>
    <w:rsid w:val="247F01ED"/>
    <w:rsid w:val="2491720E"/>
    <w:rsid w:val="24D37C77"/>
    <w:rsid w:val="24E06F8D"/>
    <w:rsid w:val="24EB0BA1"/>
    <w:rsid w:val="24F56F32"/>
    <w:rsid w:val="250B3654"/>
    <w:rsid w:val="25171665"/>
    <w:rsid w:val="253B27E5"/>
    <w:rsid w:val="25575CD2"/>
    <w:rsid w:val="25633CE3"/>
    <w:rsid w:val="25832019"/>
    <w:rsid w:val="25AE66E1"/>
    <w:rsid w:val="25D971A5"/>
    <w:rsid w:val="260E5A46"/>
    <w:rsid w:val="26467B59"/>
    <w:rsid w:val="26665E8F"/>
    <w:rsid w:val="269221D6"/>
    <w:rsid w:val="26B655DF"/>
    <w:rsid w:val="26D32C40"/>
    <w:rsid w:val="26FF6F87"/>
    <w:rsid w:val="27156F2D"/>
    <w:rsid w:val="271F52BE"/>
    <w:rsid w:val="272A364F"/>
    <w:rsid w:val="273F5F9F"/>
    <w:rsid w:val="27AD03A5"/>
    <w:rsid w:val="27C2034A"/>
    <w:rsid w:val="28021134"/>
    <w:rsid w:val="282370EA"/>
    <w:rsid w:val="2839380C"/>
    <w:rsid w:val="283A348C"/>
    <w:rsid w:val="284035F2"/>
    <w:rsid w:val="2845181D"/>
    <w:rsid w:val="28657B53"/>
    <w:rsid w:val="287054CF"/>
    <w:rsid w:val="289C222B"/>
    <w:rsid w:val="289D572F"/>
    <w:rsid w:val="28D14C84"/>
    <w:rsid w:val="28E11370"/>
    <w:rsid w:val="28E64C29"/>
    <w:rsid w:val="29275693"/>
    <w:rsid w:val="2969197F"/>
    <w:rsid w:val="29BB5F06"/>
    <w:rsid w:val="29BF696B"/>
    <w:rsid w:val="29C0238E"/>
    <w:rsid w:val="29D56AB0"/>
    <w:rsid w:val="29D76730"/>
    <w:rsid w:val="2A6D37AC"/>
    <w:rsid w:val="2AA42601"/>
    <w:rsid w:val="2AAF4215"/>
    <w:rsid w:val="2AB925A6"/>
    <w:rsid w:val="2AC11AE6"/>
    <w:rsid w:val="2ACF254B"/>
    <w:rsid w:val="2ADB055C"/>
    <w:rsid w:val="2AFB6893"/>
    <w:rsid w:val="2B47568D"/>
    <w:rsid w:val="2B7319D4"/>
    <w:rsid w:val="2B9A0C77"/>
    <w:rsid w:val="2B9B1035"/>
    <w:rsid w:val="2BEA0719"/>
    <w:rsid w:val="2BFF4E3C"/>
    <w:rsid w:val="2CDC42BE"/>
    <w:rsid w:val="2D3A4BC3"/>
    <w:rsid w:val="2D665687"/>
    <w:rsid w:val="2D8639BE"/>
    <w:rsid w:val="2DB00085"/>
    <w:rsid w:val="2DBD6096"/>
    <w:rsid w:val="2DFD2703"/>
    <w:rsid w:val="2E070A94"/>
    <w:rsid w:val="2E296A4A"/>
    <w:rsid w:val="2E334DDB"/>
    <w:rsid w:val="2E3E316C"/>
    <w:rsid w:val="2E7510C8"/>
    <w:rsid w:val="2ED843A3"/>
    <w:rsid w:val="2F112E96"/>
    <w:rsid w:val="2F324CFE"/>
    <w:rsid w:val="2F6376CB"/>
    <w:rsid w:val="2F642F4F"/>
    <w:rsid w:val="2F752AEC"/>
    <w:rsid w:val="2F9959A7"/>
    <w:rsid w:val="2FBA00DA"/>
    <w:rsid w:val="2FCE048A"/>
    <w:rsid w:val="2FDC6090"/>
    <w:rsid w:val="2FE07B7F"/>
    <w:rsid w:val="30062758"/>
    <w:rsid w:val="30260A8E"/>
    <w:rsid w:val="302C2998"/>
    <w:rsid w:val="30316E1F"/>
    <w:rsid w:val="30486A45"/>
    <w:rsid w:val="304F76D1"/>
    <w:rsid w:val="305D3167"/>
    <w:rsid w:val="306814F8"/>
    <w:rsid w:val="30A957E4"/>
    <w:rsid w:val="30C14E91"/>
    <w:rsid w:val="30C93B1B"/>
    <w:rsid w:val="30DE023D"/>
    <w:rsid w:val="30E57AFE"/>
    <w:rsid w:val="31152915"/>
    <w:rsid w:val="312E53DA"/>
    <w:rsid w:val="314C4FED"/>
    <w:rsid w:val="31884330"/>
    <w:rsid w:val="31AE7611"/>
    <w:rsid w:val="31B823A9"/>
    <w:rsid w:val="31B859A2"/>
    <w:rsid w:val="31C33D33"/>
    <w:rsid w:val="31E41CE9"/>
    <w:rsid w:val="31F9640B"/>
    <w:rsid w:val="31FA3731"/>
    <w:rsid w:val="32506E1A"/>
    <w:rsid w:val="3264567D"/>
    <w:rsid w:val="32921AA6"/>
    <w:rsid w:val="32A77828"/>
    <w:rsid w:val="32D76116"/>
    <w:rsid w:val="32DE1F01"/>
    <w:rsid w:val="32E93B15"/>
    <w:rsid w:val="32FE0237"/>
    <w:rsid w:val="33244B81"/>
    <w:rsid w:val="334A28B5"/>
    <w:rsid w:val="33C259F7"/>
    <w:rsid w:val="33CC3D88"/>
    <w:rsid w:val="33F73CD2"/>
    <w:rsid w:val="343200F9"/>
    <w:rsid w:val="34650A83"/>
    <w:rsid w:val="34C67823"/>
    <w:rsid w:val="352630BF"/>
    <w:rsid w:val="352743C4"/>
    <w:rsid w:val="352765C3"/>
    <w:rsid w:val="356E34B4"/>
    <w:rsid w:val="359E36CF"/>
    <w:rsid w:val="35B516AA"/>
    <w:rsid w:val="35DC4FA1"/>
    <w:rsid w:val="35ED0D79"/>
    <w:rsid w:val="36173CCD"/>
    <w:rsid w:val="362C03EF"/>
    <w:rsid w:val="36B934D6"/>
    <w:rsid w:val="36C41867"/>
    <w:rsid w:val="36E5781D"/>
    <w:rsid w:val="37472B15"/>
    <w:rsid w:val="37667E45"/>
    <w:rsid w:val="376748F3"/>
    <w:rsid w:val="37A8535D"/>
    <w:rsid w:val="380A7980"/>
    <w:rsid w:val="3860038E"/>
    <w:rsid w:val="389771E3"/>
    <w:rsid w:val="38CC54BF"/>
    <w:rsid w:val="38E31861"/>
    <w:rsid w:val="39037B98"/>
    <w:rsid w:val="390E5F29"/>
    <w:rsid w:val="39255B4E"/>
    <w:rsid w:val="39440601"/>
    <w:rsid w:val="394F2215"/>
    <w:rsid w:val="395A05A6"/>
    <w:rsid w:val="398648EE"/>
    <w:rsid w:val="398C207A"/>
    <w:rsid w:val="399F5BF2"/>
    <w:rsid w:val="39A62C24"/>
    <w:rsid w:val="39DD52FC"/>
    <w:rsid w:val="39FE250D"/>
    <w:rsid w:val="3A127D55"/>
    <w:rsid w:val="3A3E409C"/>
    <w:rsid w:val="3A833317"/>
    <w:rsid w:val="3ACB7183"/>
    <w:rsid w:val="3AD60D98"/>
    <w:rsid w:val="3ADF71D3"/>
    <w:rsid w:val="3AF07A10"/>
    <w:rsid w:val="3AF46DB2"/>
    <w:rsid w:val="3B181801"/>
    <w:rsid w:val="3B227B92"/>
    <w:rsid w:val="3B2D17A6"/>
    <w:rsid w:val="3B4C771B"/>
    <w:rsid w:val="3B4E3ED9"/>
    <w:rsid w:val="3B6E2210"/>
    <w:rsid w:val="3B7905A1"/>
    <w:rsid w:val="3B8E4CC3"/>
    <w:rsid w:val="3BFC52F7"/>
    <w:rsid w:val="3C063688"/>
    <w:rsid w:val="3C202033"/>
    <w:rsid w:val="3C682428"/>
    <w:rsid w:val="3CF5550F"/>
    <w:rsid w:val="3D004F11"/>
    <w:rsid w:val="3D263D3A"/>
    <w:rsid w:val="3D307C72"/>
    <w:rsid w:val="3D7E7E76"/>
    <w:rsid w:val="3D8C258A"/>
    <w:rsid w:val="3D98059B"/>
    <w:rsid w:val="3DB8304E"/>
    <w:rsid w:val="3DCD7770"/>
    <w:rsid w:val="3DEF0FAA"/>
    <w:rsid w:val="3DFB03D8"/>
    <w:rsid w:val="3E0456CC"/>
    <w:rsid w:val="3E1A5671"/>
    <w:rsid w:val="3E263682"/>
    <w:rsid w:val="3E301A13"/>
    <w:rsid w:val="3E7C4091"/>
    <w:rsid w:val="3EA70758"/>
    <w:rsid w:val="3EC4238F"/>
    <w:rsid w:val="3EC76A8F"/>
    <w:rsid w:val="3ED24E20"/>
    <w:rsid w:val="3EF717DC"/>
    <w:rsid w:val="3EF75F59"/>
    <w:rsid w:val="3F2A54AE"/>
    <w:rsid w:val="3F453306"/>
    <w:rsid w:val="3F9F0D3F"/>
    <w:rsid w:val="3FA141F3"/>
    <w:rsid w:val="3FC06CA7"/>
    <w:rsid w:val="40DC06F8"/>
    <w:rsid w:val="40E66A89"/>
    <w:rsid w:val="40E77E18"/>
    <w:rsid w:val="40F14E1A"/>
    <w:rsid w:val="41321107"/>
    <w:rsid w:val="413D7498"/>
    <w:rsid w:val="419E6238"/>
    <w:rsid w:val="41F56C46"/>
    <w:rsid w:val="42212F8E"/>
    <w:rsid w:val="42585666"/>
    <w:rsid w:val="4278399C"/>
    <w:rsid w:val="428D00BE"/>
    <w:rsid w:val="429960CF"/>
    <w:rsid w:val="42AF6075"/>
    <w:rsid w:val="42BB00C0"/>
    <w:rsid w:val="42C42797"/>
    <w:rsid w:val="42CE0B28"/>
    <w:rsid w:val="42D32DB1"/>
    <w:rsid w:val="43104E14"/>
    <w:rsid w:val="4345786D"/>
    <w:rsid w:val="435C6144"/>
    <w:rsid w:val="43675823"/>
    <w:rsid w:val="43B37EA1"/>
    <w:rsid w:val="43BD29AF"/>
    <w:rsid w:val="43F30C8A"/>
    <w:rsid w:val="44293363"/>
    <w:rsid w:val="446012BE"/>
    <w:rsid w:val="446B3DCC"/>
    <w:rsid w:val="446B764F"/>
    <w:rsid w:val="447659E0"/>
    <w:rsid w:val="448D669E"/>
    <w:rsid w:val="44C147DB"/>
    <w:rsid w:val="44C2005E"/>
    <w:rsid w:val="44D84400"/>
    <w:rsid w:val="44EA599F"/>
    <w:rsid w:val="453E5C4E"/>
    <w:rsid w:val="45425BEC"/>
    <w:rsid w:val="455A14D6"/>
    <w:rsid w:val="45845B9E"/>
    <w:rsid w:val="4586581D"/>
    <w:rsid w:val="4592661E"/>
    <w:rsid w:val="45BB0276"/>
    <w:rsid w:val="45C66607"/>
    <w:rsid w:val="45D101D8"/>
    <w:rsid w:val="4613276C"/>
    <w:rsid w:val="461E6C96"/>
    <w:rsid w:val="463078E7"/>
    <w:rsid w:val="463E4FCC"/>
    <w:rsid w:val="467F5A35"/>
    <w:rsid w:val="46942157"/>
    <w:rsid w:val="469F3D6C"/>
    <w:rsid w:val="46B53D11"/>
    <w:rsid w:val="4714279A"/>
    <w:rsid w:val="47210E42"/>
    <w:rsid w:val="4757351A"/>
    <w:rsid w:val="477914D1"/>
    <w:rsid w:val="47993F84"/>
    <w:rsid w:val="47D01EDF"/>
    <w:rsid w:val="48054938"/>
    <w:rsid w:val="48112949"/>
    <w:rsid w:val="482C47F7"/>
    <w:rsid w:val="485C5346"/>
    <w:rsid w:val="4888168E"/>
    <w:rsid w:val="48D43D0B"/>
    <w:rsid w:val="48E9042E"/>
    <w:rsid w:val="48F5643E"/>
    <w:rsid w:val="49154775"/>
    <w:rsid w:val="492A0E97"/>
    <w:rsid w:val="492B471A"/>
    <w:rsid w:val="494A71CD"/>
    <w:rsid w:val="4961356F"/>
    <w:rsid w:val="49B87801"/>
    <w:rsid w:val="49BA7481"/>
    <w:rsid w:val="49C3230F"/>
    <w:rsid w:val="4A2F2CC3"/>
    <w:rsid w:val="4A500C79"/>
    <w:rsid w:val="4A660C1F"/>
    <w:rsid w:val="4A70372C"/>
    <w:rsid w:val="4A7B5341"/>
    <w:rsid w:val="4A841EEE"/>
    <w:rsid w:val="4A8536D2"/>
    <w:rsid w:val="4AA71688"/>
    <w:rsid w:val="4B1E4B4A"/>
    <w:rsid w:val="4B35476F"/>
    <w:rsid w:val="4B552AA6"/>
    <w:rsid w:val="4B857541"/>
    <w:rsid w:val="4BAB34B4"/>
    <w:rsid w:val="4BC909A5"/>
    <w:rsid w:val="4BED3F1E"/>
    <w:rsid w:val="4C0D2254"/>
    <w:rsid w:val="4C2E4987"/>
    <w:rsid w:val="4C613EDC"/>
    <w:rsid w:val="4C787385"/>
    <w:rsid w:val="4C906FAA"/>
    <w:rsid w:val="4CD17A13"/>
    <w:rsid w:val="4CE679B9"/>
    <w:rsid w:val="4D280422"/>
    <w:rsid w:val="4D524AEA"/>
    <w:rsid w:val="4D8971C2"/>
    <w:rsid w:val="4DA13AC3"/>
    <w:rsid w:val="4DC0189A"/>
    <w:rsid w:val="4E21063A"/>
    <w:rsid w:val="4E614CA7"/>
    <w:rsid w:val="4EC436C7"/>
    <w:rsid w:val="4EC549CB"/>
    <w:rsid w:val="4F355850"/>
    <w:rsid w:val="4F754DE4"/>
    <w:rsid w:val="4F871206"/>
    <w:rsid w:val="4FBE7162"/>
    <w:rsid w:val="4FC854F3"/>
    <w:rsid w:val="4FD33884"/>
    <w:rsid w:val="4FE83829"/>
    <w:rsid w:val="501F5F01"/>
    <w:rsid w:val="508B3032"/>
    <w:rsid w:val="508C2CB2"/>
    <w:rsid w:val="50935EC0"/>
    <w:rsid w:val="50AB1369"/>
    <w:rsid w:val="50C20F8E"/>
    <w:rsid w:val="50FC116F"/>
    <w:rsid w:val="515A2406"/>
    <w:rsid w:val="51976CDE"/>
    <w:rsid w:val="51A45A9B"/>
    <w:rsid w:val="51D058C8"/>
    <w:rsid w:val="51F2387E"/>
    <w:rsid w:val="52295F56"/>
    <w:rsid w:val="523E5EFC"/>
    <w:rsid w:val="5249428D"/>
    <w:rsid w:val="5253261E"/>
    <w:rsid w:val="52AA302D"/>
    <w:rsid w:val="52B513BE"/>
    <w:rsid w:val="52B940B1"/>
    <w:rsid w:val="52D67374"/>
    <w:rsid w:val="52EB3A96"/>
    <w:rsid w:val="53376114"/>
    <w:rsid w:val="533A056A"/>
    <w:rsid w:val="534244A5"/>
    <w:rsid w:val="53772781"/>
    <w:rsid w:val="53994EB3"/>
    <w:rsid w:val="540264B2"/>
    <w:rsid w:val="54664607"/>
    <w:rsid w:val="54684287"/>
    <w:rsid w:val="54886D3A"/>
    <w:rsid w:val="5492094F"/>
    <w:rsid w:val="549D6CE0"/>
    <w:rsid w:val="54BD5016"/>
    <w:rsid w:val="54C93027"/>
    <w:rsid w:val="551556A5"/>
    <w:rsid w:val="55BF4839"/>
    <w:rsid w:val="55CD4E53"/>
    <w:rsid w:val="55D3478A"/>
    <w:rsid w:val="56443B98"/>
    <w:rsid w:val="564F1F29"/>
    <w:rsid w:val="567B29ED"/>
    <w:rsid w:val="56864602"/>
    <w:rsid w:val="56C7506B"/>
    <w:rsid w:val="56E83021"/>
    <w:rsid w:val="56FD52FB"/>
    <w:rsid w:val="573E3DB0"/>
    <w:rsid w:val="5785380D"/>
    <w:rsid w:val="57A9077A"/>
    <w:rsid w:val="57E16E3D"/>
    <w:rsid w:val="57F731DF"/>
    <w:rsid w:val="584E3BED"/>
    <w:rsid w:val="58591F7E"/>
    <w:rsid w:val="58633B93"/>
    <w:rsid w:val="586E1F24"/>
    <w:rsid w:val="587902B5"/>
    <w:rsid w:val="588562C6"/>
    <w:rsid w:val="58BA0D1E"/>
    <w:rsid w:val="59270919"/>
    <w:rsid w:val="592F4F24"/>
    <w:rsid w:val="59350668"/>
    <w:rsid w:val="59487688"/>
    <w:rsid w:val="59522196"/>
    <w:rsid w:val="59525A19"/>
    <w:rsid w:val="59723D50"/>
    <w:rsid w:val="59754CD5"/>
    <w:rsid w:val="597D20E1"/>
    <w:rsid w:val="59A92BA5"/>
    <w:rsid w:val="59D20BCC"/>
    <w:rsid w:val="59E74C9B"/>
    <w:rsid w:val="59F55223"/>
    <w:rsid w:val="5A153559"/>
    <w:rsid w:val="5A21156A"/>
    <w:rsid w:val="5A4178A0"/>
    <w:rsid w:val="5A4C14B5"/>
    <w:rsid w:val="5A567846"/>
    <w:rsid w:val="5AE4292D"/>
    <w:rsid w:val="5AF9704F"/>
    <w:rsid w:val="5B287894"/>
    <w:rsid w:val="5B301727"/>
    <w:rsid w:val="5B507A5E"/>
    <w:rsid w:val="5B872136"/>
    <w:rsid w:val="5BA7046C"/>
    <w:rsid w:val="5BB167FD"/>
    <w:rsid w:val="5BDD2B45"/>
    <w:rsid w:val="5BE84759"/>
    <w:rsid w:val="5BF32AEA"/>
    <w:rsid w:val="5C1B0D0B"/>
    <w:rsid w:val="5C1F35AE"/>
    <w:rsid w:val="5C3F18E4"/>
    <w:rsid w:val="5C3F5168"/>
    <w:rsid w:val="5C4A34F9"/>
    <w:rsid w:val="5C72719B"/>
    <w:rsid w:val="5C767840"/>
    <w:rsid w:val="5C9522F3"/>
    <w:rsid w:val="5CC2663A"/>
    <w:rsid w:val="5D187049"/>
    <w:rsid w:val="5D1928CC"/>
    <w:rsid w:val="5D2D376B"/>
    <w:rsid w:val="5D335644"/>
    <w:rsid w:val="5D385380"/>
    <w:rsid w:val="5D5A3336"/>
    <w:rsid w:val="5D7F0FB0"/>
    <w:rsid w:val="5D9B3D9F"/>
    <w:rsid w:val="5DDB040C"/>
    <w:rsid w:val="5E4951BD"/>
    <w:rsid w:val="5E53354E"/>
    <w:rsid w:val="5E687C70"/>
    <w:rsid w:val="5E731884"/>
    <w:rsid w:val="5E885FA6"/>
    <w:rsid w:val="5E9F5BCB"/>
    <w:rsid w:val="5EAD75B7"/>
    <w:rsid w:val="5EBE6691"/>
    <w:rsid w:val="5F0B2CFC"/>
    <w:rsid w:val="5F4146C0"/>
    <w:rsid w:val="5F8D7DD2"/>
    <w:rsid w:val="5FAE5D89"/>
    <w:rsid w:val="5FC56141"/>
    <w:rsid w:val="5FD621A4"/>
    <w:rsid w:val="5FF067F2"/>
    <w:rsid w:val="600E5966"/>
    <w:rsid w:val="601C2B39"/>
    <w:rsid w:val="60467201"/>
    <w:rsid w:val="604D7859"/>
    <w:rsid w:val="60620F67"/>
    <w:rsid w:val="6079276C"/>
    <w:rsid w:val="60B37BB5"/>
    <w:rsid w:val="60D422E8"/>
    <w:rsid w:val="610905C4"/>
    <w:rsid w:val="614B102D"/>
    <w:rsid w:val="615F35A8"/>
    <w:rsid w:val="61751BC2"/>
    <w:rsid w:val="619736AB"/>
    <w:rsid w:val="61D84114"/>
    <w:rsid w:val="620D6B6D"/>
    <w:rsid w:val="621442AA"/>
    <w:rsid w:val="62246792"/>
    <w:rsid w:val="62441245"/>
    <w:rsid w:val="62444AC8"/>
    <w:rsid w:val="6264757B"/>
    <w:rsid w:val="626671FB"/>
    <w:rsid w:val="62780B04"/>
    <w:rsid w:val="62A63868"/>
    <w:rsid w:val="62B01BF9"/>
    <w:rsid w:val="62DC5F40"/>
    <w:rsid w:val="63072608"/>
    <w:rsid w:val="636813A7"/>
    <w:rsid w:val="636A1027"/>
    <w:rsid w:val="639456EF"/>
    <w:rsid w:val="63CB0B5F"/>
    <w:rsid w:val="63D619DB"/>
    <w:rsid w:val="64072356"/>
    <w:rsid w:val="64374EF8"/>
    <w:rsid w:val="644E4B1D"/>
    <w:rsid w:val="645371E5"/>
    <w:rsid w:val="64DA7F84"/>
    <w:rsid w:val="64E46315"/>
    <w:rsid w:val="651A4A76"/>
    <w:rsid w:val="6567306B"/>
    <w:rsid w:val="658713A2"/>
    <w:rsid w:val="65DE1DB1"/>
    <w:rsid w:val="65FF44E4"/>
    <w:rsid w:val="660A60F8"/>
    <w:rsid w:val="663F0B50"/>
    <w:rsid w:val="66564EF2"/>
    <w:rsid w:val="666C4E98"/>
    <w:rsid w:val="669811DF"/>
    <w:rsid w:val="66AD5901"/>
    <w:rsid w:val="66C258A6"/>
    <w:rsid w:val="66CF38B7"/>
    <w:rsid w:val="66D91C48"/>
    <w:rsid w:val="66ED18C1"/>
    <w:rsid w:val="66EF1BEE"/>
    <w:rsid w:val="66F97F7F"/>
    <w:rsid w:val="67041B93"/>
    <w:rsid w:val="67045C5E"/>
    <w:rsid w:val="6745287D"/>
    <w:rsid w:val="67456D79"/>
    <w:rsid w:val="67693AB6"/>
    <w:rsid w:val="67D15A64"/>
    <w:rsid w:val="67D356E3"/>
    <w:rsid w:val="6808013C"/>
    <w:rsid w:val="6814614D"/>
    <w:rsid w:val="68490BA5"/>
    <w:rsid w:val="684A4429"/>
    <w:rsid w:val="68754EED"/>
    <w:rsid w:val="688E2A48"/>
    <w:rsid w:val="68953223"/>
    <w:rsid w:val="68A04E37"/>
    <w:rsid w:val="68AB31C8"/>
    <w:rsid w:val="68D77510"/>
    <w:rsid w:val="68EC3C32"/>
    <w:rsid w:val="691702F9"/>
    <w:rsid w:val="692E469B"/>
    <w:rsid w:val="694E29D2"/>
    <w:rsid w:val="696E0D08"/>
    <w:rsid w:val="697A6D19"/>
    <w:rsid w:val="69A433E0"/>
    <w:rsid w:val="69E7212C"/>
    <w:rsid w:val="69FB3DEF"/>
    <w:rsid w:val="6A071E00"/>
    <w:rsid w:val="6A120191"/>
    <w:rsid w:val="6A321D4B"/>
    <w:rsid w:val="6A3264C7"/>
    <w:rsid w:val="6ABA083E"/>
    <w:rsid w:val="6AD51554"/>
    <w:rsid w:val="6ADF78E5"/>
    <w:rsid w:val="6B011DD2"/>
    <w:rsid w:val="6B0B3C2C"/>
    <w:rsid w:val="6B107E05"/>
    <w:rsid w:val="6B416685"/>
    <w:rsid w:val="6BD04C6F"/>
    <w:rsid w:val="6C303D8F"/>
    <w:rsid w:val="6C5164C2"/>
    <w:rsid w:val="6C662BE4"/>
    <w:rsid w:val="6C9D0B3F"/>
    <w:rsid w:val="6C9F2875"/>
    <w:rsid w:val="6CA86ED0"/>
    <w:rsid w:val="6CB31830"/>
    <w:rsid w:val="6CB94BEC"/>
    <w:rsid w:val="6CBD35F3"/>
    <w:rsid w:val="6CFB5AC0"/>
    <w:rsid w:val="6D400349"/>
    <w:rsid w:val="6D60667F"/>
    <w:rsid w:val="6D756624"/>
    <w:rsid w:val="6D7E14B2"/>
    <w:rsid w:val="6DA1296C"/>
    <w:rsid w:val="6DED00D0"/>
    <w:rsid w:val="6DED1766"/>
    <w:rsid w:val="6E023C8A"/>
    <w:rsid w:val="6E5122D2"/>
    <w:rsid w:val="6E6404AB"/>
    <w:rsid w:val="6EA64798"/>
    <w:rsid w:val="6ED2525C"/>
    <w:rsid w:val="6EFC51A7"/>
    <w:rsid w:val="6F3275E5"/>
    <w:rsid w:val="6F4E3F0C"/>
    <w:rsid w:val="6F532332"/>
    <w:rsid w:val="6F5B5953"/>
    <w:rsid w:val="6F94661F"/>
    <w:rsid w:val="6FB65630"/>
    <w:rsid w:val="6FF653BE"/>
    <w:rsid w:val="700233CF"/>
    <w:rsid w:val="701A2263"/>
    <w:rsid w:val="70221706"/>
    <w:rsid w:val="704241B9"/>
    <w:rsid w:val="70593DDE"/>
    <w:rsid w:val="708304A5"/>
    <w:rsid w:val="70C50F0F"/>
    <w:rsid w:val="7105557C"/>
    <w:rsid w:val="71245BFC"/>
    <w:rsid w:val="71E91071"/>
    <w:rsid w:val="7220374A"/>
    <w:rsid w:val="724A7E11"/>
    <w:rsid w:val="724C7A91"/>
    <w:rsid w:val="72B84BC2"/>
    <w:rsid w:val="72CD4B67"/>
    <w:rsid w:val="730E55D1"/>
    <w:rsid w:val="73360D13"/>
    <w:rsid w:val="737B5F85"/>
    <w:rsid w:val="73FD7457"/>
    <w:rsid w:val="7408106C"/>
    <w:rsid w:val="741D578E"/>
    <w:rsid w:val="742873A2"/>
    <w:rsid w:val="744124CA"/>
    <w:rsid w:val="74697E0C"/>
    <w:rsid w:val="74A024E4"/>
    <w:rsid w:val="74D74BBC"/>
    <w:rsid w:val="74E267D1"/>
    <w:rsid w:val="74F72EF3"/>
    <w:rsid w:val="75011284"/>
    <w:rsid w:val="750477ED"/>
    <w:rsid w:val="752175BA"/>
    <w:rsid w:val="752E55CB"/>
    <w:rsid w:val="75845FDA"/>
    <w:rsid w:val="759A5F7F"/>
    <w:rsid w:val="75F1698E"/>
    <w:rsid w:val="76072D30"/>
    <w:rsid w:val="76122651"/>
    <w:rsid w:val="76271066"/>
    <w:rsid w:val="763D608D"/>
    <w:rsid w:val="76936197"/>
    <w:rsid w:val="769E7DAB"/>
    <w:rsid w:val="76CA086F"/>
    <w:rsid w:val="76DF0815"/>
    <w:rsid w:val="76EA6BA6"/>
    <w:rsid w:val="76F44F37"/>
    <w:rsid w:val="76FF6B4B"/>
    <w:rsid w:val="77162EED"/>
    <w:rsid w:val="77361223"/>
    <w:rsid w:val="774175B4"/>
    <w:rsid w:val="774A7EC4"/>
    <w:rsid w:val="778979A9"/>
    <w:rsid w:val="77A45FD4"/>
    <w:rsid w:val="77CE269B"/>
    <w:rsid w:val="77FA69E3"/>
    <w:rsid w:val="783A3050"/>
    <w:rsid w:val="787C3AB9"/>
    <w:rsid w:val="78861E4A"/>
    <w:rsid w:val="78A17628"/>
    <w:rsid w:val="78FD0B8F"/>
    <w:rsid w:val="79343267"/>
    <w:rsid w:val="796055D9"/>
    <w:rsid w:val="79A10018"/>
    <w:rsid w:val="79C1634F"/>
    <w:rsid w:val="79CC46E0"/>
    <w:rsid w:val="79D762F4"/>
    <w:rsid w:val="79E34305"/>
    <w:rsid w:val="79ED2696"/>
    <w:rsid w:val="7A5977C7"/>
    <w:rsid w:val="7A6F776C"/>
    <w:rsid w:val="7A9E3C93"/>
    <w:rsid w:val="7ABB1DEA"/>
    <w:rsid w:val="7B074467"/>
    <w:rsid w:val="7B6A1D1B"/>
    <w:rsid w:val="7B731598"/>
    <w:rsid w:val="7B8A593A"/>
    <w:rsid w:val="7BAA3C71"/>
    <w:rsid w:val="7BBB6EC7"/>
    <w:rsid w:val="7BC71395"/>
    <w:rsid w:val="7BCB7A29"/>
    <w:rsid w:val="7BD40338"/>
    <w:rsid w:val="7BED25F2"/>
    <w:rsid w:val="7BFA7754"/>
    <w:rsid w:val="7C57508E"/>
    <w:rsid w:val="7C5A180E"/>
    <w:rsid w:val="7C8E7766"/>
    <w:rsid w:val="7CBA3AAE"/>
    <w:rsid w:val="7CC006A1"/>
    <w:rsid w:val="7CCF2C93"/>
    <w:rsid w:val="7D3B7560"/>
    <w:rsid w:val="7D5B6EBA"/>
    <w:rsid w:val="7D66524B"/>
    <w:rsid w:val="7D7D15ED"/>
    <w:rsid w:val="7D883202"/>
    <w:rsid w:val="7D921593"/>
    <w:rsid w:val="7D9D7924"/>
    <w:rsid w:val="7DA75CB5"/>
    <w:rsid w:val="7DB2145D"/>
    <w:rsid w:val="7DC11C5D"/>
    <w:rsid w:val="7DDE038D"/>
    <w:rsid w:val="7E20467A"/>
    <w:rsid w:val="7E5570D2"/>
    <w:rsid w:val="7E566D52"/>
    <w:rsid w:val="7E813419"/>
    <w:rsid w:val="7E8B17AA"/>
    <w:rsid w:val="7E8C502E"/>
    <w:rsid w:val="7EB85AF2"/>
    <w:rsid w:val="7EBA4FFF"/>
    <w:rsid w:val="7ECD2214"/>
    <w:rsid w:val="7EE221B9"/>
    <w:rsid w:val="7EF8215F"/>
    <w:rsid w:val="7F04016F"/>
    <w:rsid w:val="7F194892"/>
    <w:rsid w:val="7F1C5816"/>
    <w:rsid w:val="7F392BC8"/>
    <w:rsid w:val="7F524A36"/>
    <w:rsid w:val="7F7B6EB5"/>
    <w:rsid w:val="7FDE1DC7"/>
    <w:rsid w:val="7FE83C65"/>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2">
    <w:name w:val="heading 1"/>
    <w:basedOn w:val="1"/>
    <w:next w:val="1"/>
    <w:qFormat/>
    <w:uiPriority w:val="0"/>
    <w:pPr>
      <w:widowControl/>
      <w:spacing w:before="100" w:beforeAutospacing="1" w:after="100" w:afterAutospacing="1"/>
      <w:jc w:val="left"/>
      <w:outlineLvl w:val="0"/>
    </w:pPr>
    <w:rPr>
      <w:rFonts w:ascii="宋体" w:hAnsi="宋体" w:cs="宋体"/>
      <w:b/>
      <w:bCs/>
      <w:kern w:val="36"/>
      <w:sz w:val="48"/>
      <w:szCs w:val="48"/>
    </w:rPr>
  </w:style>
  <w:style w:type="character" w:default="1" w:styleId="9">
    <w:name w:val="Default Paragraph Font"/>
    <w:semiHidden/>
    <w:qFormat/>
    <w:uiPriority w:val="0"/>
  </w:style>
  <w:style w:type="table" w:default="1" w:styleId="15">
    <w:name w:val="Normal Table"/>
    <w:semiHidden/>
    <w:qFormat/>
    <w:uiPriority w:val="0"/>
    <w:tblPr>
      <w:tblCellMar>
        <w:top w:w="0" w:type="dxa"/>
        <w:left w:w="108" w:type="dxa"/>
        <w:bottom w:w="0" w:type="dxa"/>
        <w:right w:w="108" w:type="dxa"/>
      </w:tblCellMar>
    </w:tblPr>
  </w:style>
  <w:style w:type="paragraph" w:styleId="3">
    <w:name w:val="Body Text"/>
    <w:basedOn w:val="1"/>
    <w:qFormat/>
    <w:uiPriority w:val="0"/>
    <w:pPr>
      <w:jc w:val="center"/>
    </w:pPr>
    <w:rPr>
      <w:rFonts w:eastAsia="黑体"/>
      <w:sz w:val="44"/>
    </w:rPr>
  </w:style>
  <w:style w:type="paragraph" w:styleId="4">
    <w:name w:val="Body Text Indent"/>
    <w:basedOn w:val="1"/>
    <w:qFormat/>
    <w:uiPriority w:val="0"/>
    <w:pPr>
      <w:ind w:firstLine="435"/>
    </w:pPr>
    <w:rPr>
      <w:rFonts w:ascii="楷体_GB2312" w:eastAsia="楷体_GB2312"/>
      <w:sz w:val="28"/>
      <w:szCs w:val="24"/>
    </w:rPr>
  </w:style>
  <w:style w:type="paragraph" w:styleId="5">
    <w:name w:val="Body Text Indent 2"/>
    <w:basedOn w:val="1"/>
    <w:qFormat/>
    <w:uiPriority w:val="0"/>
    <w:pPr>
      <w:spacing w:line="660" w:lineRule="exact"/>
      <w:ind w:firstLine="645"/>
    </w:pPr>
    <w:rPr>
      <w:rFonts w:ascii="仿宋_GB2312"/>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Normal (Web)"/>
    <w:basedOn w:val="1"/>
    <w:qFormat/>
    <w:uiPriority w:val="0"/>
    <w:pPr>
      <w:spacing w:before="100" w:beforeAutospacing="1" w:after="100" w:afterAutospacing="1"/>
      <w:ind w:left="0" w:right="0"/>
      <w:jc w:val="left"/>
    </w:pPr>
    <w:rPr>
      <w:kern w:val="0"/>
      <w:sz w:val="24"/>
      <w:lang w:val="en-US" w:eastAsia="zh-CN" w:bidi="ar"/>
    </w:rPr>
  </w:style>
  <w:style w:type="character" w:styleId="10">
    <w:name w:val="Strong"/>
    <w:basedOn w:val="9"/>
    <w:qFormat/>
    <w:uiPriority w:val="0"/>
  </w:style>
  <w:style w:type="character" w:styleId="11">
    <w:name w:val="page number"/>
    <w:basedOn w:val="9"/>
    <w:qFormat/>
    <w:uiPriority w:val="0"/>
  </w:style>
  <w:style w:type="character" w:styleId="12">
    <w:name w:val="FollowedHyperlink"/>
    <w:basedOn w:val="9"/>
    <w:qFormat/>
    <w:uiPriority w:val="0"/>
    <w:rPr>
      <w:color w:val="494949"/>
      <w:u w:val="none"/>
    </w:rPr>
  </w:style>
  <w:style w:type="character" w:styleId="13">
    <w:name w:val="Emphasis"/>
    <w:basedOn w:val="9"/>
    <w:qFormat/>
    <w:uiPriority w:val="0"/>
    <w:rPr>
      <w:i/>
    </w:rPr>
  </w:style>
  <w:style w:type="character" w:styleId="14">
    <w:name w:val="Hyperlink"/>
    <w:basedOn w:val="9"/>
    <w:qFormat/>
    <w:uiPriority w:val="0"/>
    <w:rPr>
      <w:color w:val="494949"/>
      <w:u w:val="none"/>
    </w:rPr>
  </w:style>
  <w:style w:type="table" w:styleId="16">
    <w:name w:val="Table Grid"/>
    <w:basedOn w:val="15"/>
    <w:qFormat/>
    <w:uiPriority w:val="0"/>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7">
    <w:name w:val="icon30-renren-b"/>
    <w:basedOn w:val="9"/>
    <w:qFormat/>
    <w:uiPriority w:val="0"/>
  </w:style>
  <w:style w:type="character" w:customStyle="1" w:styleId="18">
    <w:name w:val="icon-sohu-click-b"/>
    <w:basedOn w:val="9"/>
    <w:qFormat/>
    <w:uiPriority w:val="0"/>
  </w:style>
  <w:style w:type="character" w:customStyle="1" w:styleId="19">
    <w:name w:val="title-word-bg2"/>
    <w:basedOn w:val="9"/>
    <w:qFormat/>
    <w:uiPriority w:val="0"/>
    <w:rPr>
      <w:color w:val="FFDCD3"/>
    </w:rPr>
  </w:style>
  <w:style w:type="character" w:customStyle="1" w:styleId="20">
    <w:name w:val="icon-qq-b"/>
    <w:basedOn w:val="9"/>
    <w:qFormat/>
    <w:uiPriority w:val="0"/>
  </w:style>
  <w:style w:type="character" w:customStyle="1" w:styleId="21">
    <w:name w:val="icon30-sina-b7"/>
    <w:basedOn w:val="9"/>
    <w:qFormat/>
    <w:uiPriority w:val="0"/>
  </w:style>
  <w:style w:type="character" w:customStyle="1" w:styleId="22">
    <w:name w:val="icon-renren-click-b"/>
    <w:basedOn w:val="9"/>
    <w:qFormat/>
    <w:uiPriority w:val="0"/>
  </w:style>
  <w:style w:type="character" w:customStyle="1" w:styleId="23">
    <w:name w:val="prompt-empty-w"/>
    <w:basedOn w:val="9"/>
    <w:qFormat/>
    <w:uiPriority w:val="0"/>
    <w:rPr>
      <w:color w:val="EE542A"/>
      <w:shd w:val="clear" w:color="auto" w:fill="FEF2E1"/>
    </w:rPr>
  </w:style>
  <w:style w:type="character" w:customStyle="1" w:styleId="24">
    <w:name w:val="icon-qq-click-b"/>
    <w:basedOn w:val="9"/>
    <w:qFormat/>
    <w:uiPriority w:val="0"/>
  </w:style>
  <w:style w:type="character" w:customStyle="1" w:styleId="25">
    <w:name w:val="icon30-renren-b1"/>
    <w:basedOn w:val="9"/>
    <w:qFormat/>
    <w:uiPriority w:val="0"/>
  </w:style>
  <w:style w:type="character" w:customStyle="1" w:styleId="26">
    <w:name w:val="user-floor-gw2"/>
    <w:basedOn w:val="9"/>
    <w:qFormat/>
    <w:uiPriority w:val="0"/>
    <w:rPr>
      <w:sz w:val="22"/>
      <w:szCs w:val="22"/>
    </w:rPr>
  </w:style>
  <w:style w:type="character" w:customStyle="1" w:styleId="27">
    <w:name w:val="icon-sina-b2"/>
    <w:basedOn w:val="9"/>
    <w:qFormat/>
    <w:uiPriority w:val="0"/>
  </w:style>
  <w:style w:type="character" w:customStyle="1" w:styleId="28">
    <w:name w:val="icon-sohu-b2"/>
    <w:basedOn w:val="9"/>
    <w:qFormat/>
    <w:uiPriority w:val="0"/>
  </w:style>
  <w:style w:type="character" w:customStyle="1" w:styleId="29">
    <w:name w:val="icon-renren-cancel-b"/>
    <w:basedOn w:val="9"/>
    <w:qFormat/>
    <w:uiPriority w:val="0"/>
  </w:style>
  <w:style w:type="character" w:customStyle="1" w:styleId="30">
    <w:name w:val="btn-load-bf1"/>
    <w:basedOn w:val="9"/>
    <w:qFormat/>
    <w:uiPriority w:val="0"/>
  </w:style>
  <w:style w:type="character" w:customStyle="1" w:styleId="31">
    <w:name w:val="icon30-visitor-b"/>
    <w:basedOn w:val="9"/>
    <w:uiPriority w:val="0"/>
  </w:style>
  <w:style w:type="character" w:customStyle="1" w:styleId="32">
    <w:name w:val="icon-sohu-b"/>
    <w:basedOn w:val="9"/>
    <w:uiPriority w:val="0"/>
  </w:style>
  <w:style w:type="character" w:customStyle="1" w:styleId="33">
    <w:name w:val="icon-sina-cancel-b"/>
    <w:basedOn w:val="9"/>
    <w:uiPriority w:val="0"/>
  </w:style>
  <w:style w:type="character" w:customStyle="1" w:styleId="34">
    <w:name w:val="bsharetext"/>
    <w:basedOn w:val="9"/>
    <w:uiPriority w:val="0"/>
  </w:style>
  <w:style w:type="character" w:customStyle="1" w:styleId="35">
    <w:name w:val="icon-qq-cancel-b"/>
    <w:basedOn w:val="9"/>
    <w:qFormat/>
    <w:uiPriority w:val="0"/>
  </w:style>
  <w:style w:type="character" w:customStyle="1" w:styleId="36">
    <w:name w:val="prompt-succeed-w"/>
    <w:basedOn w:val="9"/>
    <w:uiPriority w:val="0"/>
  </w:style>
  <w:style w:type="character" w:customStyle="1" w:styleId="37">
    <w:name w:val="btn-load-bf2"/>
    <w:basedOn w:val="9"/>
    <w:qFormat/>
    <w:uiPriority w:val="0"/>
    <w:rPr>
      <w:bdr w:val="single" w:color="CCD4D9" w:sz="12" w:space="0"/>
    </w:rPr>
  </w:style>
  <w:style w:type="character" w:customStyle="1" w:styleId="38">
    <w:name w:val="icon-qq-click-b2"/>
    <w:basedOn w:val="9"/>
    <w:uiPriority w:val="0"/>
  </w:style>
  <w:style w:type="character" w:customStyle="1" w:styleId="39">
    <w:name w:val="15"/>
    <w:basedOn w:val="9"/>
    <w:uiPriority w:val="0"/>
    <w:rPr>
      <w:rFonts w:hint="default" w:ascii="Times New Roman" w:hAnsi="Times New Roman" w:cs="Times New Roman"/>
    </w:rPr>
  </w:style>
  <w:style w:type="character" w:customStyle="1" w:styleId="40">
    <w:name w:val="icon-sina-click-b1"/>
    <w:basedOn w:val="9"/>
    <w:qFormat/>
    <w:uiPriority w:val="0"/>
  </w:style>
  <w:style w:type="character" w:customStyle="1" w:styleId="41">
    <w:name w:val="icon-sohu-b1"/>
    <w:basedOn w:val="9"/>
    <w:qFormat/>
    <w:uiPriority w:val="0"/>
  </w:style>
  <w:style w:type="character" w:customStyle="1" w:styleId="42">
    <w:name w:val="icon-sina-b"/>
    <w:basedOn w:val="9"/>
    <w:qFormat/>
    <w:uiPriority w:val="0"/>
  </w:style>
  <w:style w:type="character" w:customStyle="1" w:styleId="43">
    <w:name w:val="icon-qq-cancel-b1"/>
    <w:basedOn w:val="9"/>
    <w:qFormat/>
    <w:uiPriority w:val="0"/>
  </w:style>
  <w:style w:type="character" w:customStyle="1" w:styleId="44">
    <w:name w:val="icon30-sohu-b7"/>
    <w:basedOn w:val="9"/>
    <w:qFormat/>
    <w:uiPriority w:val="0"/>
  </w:style>
  <w:style w:type="character" w:customStyle="1" w:styleId="45">
    <w:name w:val="wrap-join-b"/>
    <w:basedOn w:val="9"/>
    <w:qFormat/>
    <w:uiPriority w:val="0"/>
    <w:rPr>
      <w:color w:val="333333"/>
    </w:rPr>
  </w:style>
  <w:style w:type="character" w:customStyle="1" w:styleId="46">
    <w:name w:val="icon-renren-click-b1"/>
    <w:basedOn w:val="9"/>
    <w:qFormat/>
    <w:uiPriority w:val="0"/>
  </w:style>
  <w:style w:type="character" w:customStyle="1" w:styleId="47">
    <w:name w:val="10"/>
    <w:basedOn w:val="9"/>
    <w:qFormat/>
    <w:uiPriority w:val="0"/>
    <w:rPr>
      <w:rFonts w:hint="default" w:ascii="Times New Roman" w:hAnsi="Times New Roman" w:cs="Times New Roman"/>
    </w:rPr>
  </w:style>
  <w:style w:type="character" w:customStyle="1" w:styleId="48">
    <w:name w:val="icon-sohu-cancel-b1"/>
    <w:basedOn w:val="9"/>
    <w:uiPriority w:val="0"/>
  </w:style>
  <w:style w:type="character" w:customStyle="1" w:styleId="49">
    <w:name w:val="icon-qzone-b1"/>
    <w:basedOn w:val="9"/>
    <w:qFormat/>
    <w:uiPriority w:val="0"/>
  </w:style>
  <w:style w:type="character" w:customStyle="1" w:styleId="50">
    <w:name w:val="icon-sina-cancel-b1"/>
    <w:basedOn w:val="9"/>
    <w:qFormat/>
    <w:uiPriority w:val="0"/>
  </w:style>
  <w:style w:type="character" w:customStyle="1" w:styleId="51">
    <w:name w:val="icon-qzone-b2"/>
    <w:basedOn w:val="9"/>
    <w:qFormat/>
    <w:uiPriority w:val="0"/>
  </w:style>
  <w:style w:type="character" w:customStyle="1" w:styleId="52">
    <w:name w:val="icon-sina-click-b2"/>
    <w:basedOn w:val="9"/>
    <w:uiPriority w:val="0"/>
  </w:style>
  <w:style w:type="character" w:customStyle="1" w:styleId="53">
    <w:name w:val="icon-renren-click-b2"/>
    <w:basedOn w:val="9"/>
    <w:uiPriority w:val="0"/>
  </w:style>
  <w:style w:type="character" w:customStyle="1" w:styleId="54">
    <w:name w:val="icon30-renren-b2"/>
    <w:basedOn w:val="9"/>
    <w:uiPriority w:val="0"/>
  </w:style>
  <w:style w:type="character" w:customStyle="1" w:styleId="55">
    <w:name w:val="user-top-gw"/>
    <w:basedOn w:val="9"/>
    <w:uiPriority w:val="0"/>
    <w:rPr>
      <w:vanish/>
    </w:rPr>
  </w:style>
  <w:style w:type="character" w:customStyle="1" w:styleId="56">
    <w:name w:val="icon-qzone-b"/>
    <w:basedOn w:val="9"/>
    <w:uiPriority w:val="0"/>
  </w:style>
  <w:style w:type="character" w:customStyle="1" w:styleId="57">
    <w:name w:val="icon30-sina-b8"/>
    <w:basedOn w:val="9"/>
    <w:uiPriority w:val="0"/>
  </w:style>
  <w:style w:type="character" w:customStyle="1" w:styleId="58">
    <w:name w:val="user-time-gw"/>
    <w:basedOn w:val="9"/>
    <w:uiPriority w:val="0"/>
    <w:rPr>
      <w:vanish/>
    </w:rPr>
  </w:style>
  <w:style w:type="character" w:customStyle="1" w:styleId="59">
    <w:name w:val="icon-qq-cancel-b2"/>
    <w:basedOn w:val="9"/>
    <w:uiPriority w:val="0"/>
  </w:style>
  <w:style w:type="character" w:customStyle="1" w:styleId="60">
    <w:name w:val="icon-renren-cancel-b2"/>
    <w:basedOn w:val="9"/>
    <w:uiPriority w:val="0"/>
  </w:style>
  <w:style w:type="character" w:customStyle="1" w:styleId="61">
    <w:name w:val="icon-renren-b"/>
    <w:basedOn w:val="9"/>
    <w:uiPriority w:val="0"/>
  </w:style>
  <w:style w:type="character" w:customStyle="1" w:styleId="62">
    <w:name w:val="icon-sina-b1"/>
    <w:basedOn w:val="9"/>
    <w:uiPriority w:val="0"/>
  </w:style>
  <w:style w:type="character" w:customStyle="1" w:styleId="63">
    <w:name w:val="icon30-sohu-b6"/>
    <w:basedOn w:val="9"/>
    <w:uiPriority w:val="0"/>
  </w:style>
  <w:style w:type="character" w:customStyle="1" w:styleId="64">
    <w:name w:val="btn-fw5"/>
    <w:basedOn w:val="9"/>
    <w:uiPriority w:val="0"/>
  </w:style>
  <w:style w:type="character" w:customStyle="1" w:styleId="65">
    <w:name w:val="icon-qq-click-b1"/>
    <w:basedOn w:val="9"/>
    <w:uiPriority w:val="0"/>
  </w:style>
  <w:style w:type="character" w:customStyle="1" w:styleId="66">
    <w:name w:val="icon-qq-b1"/>
    <w:basedOn w:val="9"/>
    <w:uiPriority w:val="0"/>
  </w:style>
  <w:style w:type="character" w:customStyle="1" w:styleId="67">
    <w:name w:val="btn-fw6"/>
    <w:basedOn w:val="9"/>
    <w:uiPriority w:val="0"/>
  </w:style>
  <w:style w:type="character" w:customStyle="1" w:styleId="68">
    <w:name w:val="icon30-qq-b1"/>
    <w:basedOn w:val="9"/>
    <w:uiPriority w:val="0"/>
  </w:style>
  <w:style w:type="character" w:customStyle="1" w:styleId="69">
    <w:name w:val="icon-sohu-cancel-b"/>
    <w:basedOn w:val="9"/>
    <w:uiPriority w:val="0"/>
  </w:style>
  <w:style w:type="character" w:customStyle="1" w:styleId="70">
    <w:name w:val="icon30-sina-b6"/>
    <w:basedOn w:val="9"/>
    <w:uiPriority w:val="0"/>
  </w:style>
  <w:style w:type="character" w:customStyle="1" w:styleId="71">
    <w:name w:val="active1"/>
    <w:basedOn w:val="9"/>
    <w:uiPriority w:val="0"/>
    <w:rPr>
      <w:b/>
      <w:color w:val="FFFFFF"/>
      <w:shd w:val="clear" w:color="auto" w:fill="000000"/>
    </w:rPr>
  </w:style>
  <w:style w:type="character" w:customStyle="1" w:styleId="72">
    <w:name w:val="fenye_02"/>
    <w:basedOn w:val="9"/>
    <w:uiPriority w:val="0"/>
    <w:rPr>
      <w:b/>
      <w:color w:val="CC0000"/>
      <w:sz w:val="21"/>
      <w:szCs w:val="21"/>
    </w:rPr>
  </w:style>
  <w:style w:type="character" w:customStyle="1" w:styleId="73">
    <w:name w:val="icon-sohu-cancel-b2"/>
    <w:basedOn w:val="9"/>
    <w:uiPriority w:val="0"/>
  </w:style>
  <w:style w:type="character" w:customStyle="1" w:styleId="74">
    <w:name w:val="title-name-gw2"/>
    <w:basedOn w:val="9"/>
    <w:uiPriority w:val="0"/>
  </w:style>
  <w:style w:type="character" w:customStyle="1" w:styleId="75">
    <w:name w:val="icon-sina-cancel-b2"/>
    <w:basedOn w:val="9"/>
    <w:uiPriority w:val="0"/>
  </w:style>
  <w:style w:type="character" w:customStyle="1" w:styleId="76">
    <w:name w:val="icon-sina-click-b"/>
    <w:basedOn w:val="9"/>
    <w:qFormat/>
    <w:uiPriority w:val="0"/>
  </w:style>
  <w:style w:type="character" w:customStyle="1" w:styleId="77">
    <w:name w:val="title-word-gw2"/>
    <w:basedOn w:val="9"/>
    <w:uiPriority w:val="0"/>
    <w:rPr>
      <w:sz w:val="18"/>
      <w:szCs w:val="18"/>
    </w:rPr>
  </w:style>
  <w:style w:type="character" w:customStyle="1" w:styleId="78">
    <w:name w:val="icon30-sohu-b8"/>
    <w:basedOn w:val="9"/>
    <w:uiPriority w:val="0"/>
  </w:style>
  <w:style w:type="character" w:customStyle="1" w:styleId="79">
    <w:name w:val="btn-load-bf3"/>
    <w:basedOn w:val="9"/>
    <w:uiPriority w:val="0"/>
    <w:rPr>
      <w:bdr w:val="single" w:color="CCD4D9" w:sz="12" w:space="0"/>
    </w:rPr>
  </w:style>
  <w:style w:type="character" w:customStyle="1" w:styleId="80">
    <w:name w:val="btn-load-bf"/>
    <w:basedOn w:val="9"/>
    <w:uiPriority w:val="0"/>
  </w:style>
  <w:style w:type="character" w:customStyle="1" w:styleId="81">
    <w:name w:val="title-name-bg"/>
    <w:basedOn w:val="9"/>
    <w:uiPriority w:val="0"/>
  </w:style>
  <w:style w:type="character" w:customStyle="1" w:styleId="82">
    <w:name w:val="icon-renren-b1"/>
    <w:basedOn w:val="9"/>
    <w:uiPriority w:val="0"/>
  </w:style>
  <w:style w:type="character" w:customStyle="1" w:styleId="83">
    <w:name w:val="icon-renren-b2"/>
    <w:basedOn w:val="9"/>
    <w:uiPriority w:val="0"/>
  </w:style>
  <w:style w:type="character" w:customStyle="1" w:styleId="84">
    <w:name w:val="icon-qq-b2"/>
    <w:basedOn w:val="9"/>
    <w:uiPriority w:val="0"/>
  </w:style>
  <w:style w:type="character" w:customStyle="1" w:styleId="85">
    <w:name w:val="icon-renren-cancel-b1"/>
    <w:basedOn w:val="9"/>
    <w:uiPriority w:val="0"/>
  </w:style>
  <w:style w:type="character" w:customStyle="1" w:styleId="86">
    <w:name w:val="icon30-qq-b"/>
    <w:basedOn w:val="9"/>
    <w:uiPriority w:val="0"/>
  </w:style>
  <w:style w:type="character" w:customStyle="1" w:styleId="87">
    <w:name w:val="fenye_01"/>
    <w:basedOn w:val="9"/>
    <w:uiPriority w:val="0"/>
    <w:rPr>
      <w:b/>
      <w:color w:val="CC0000"/>
      <w:sz w:val="21"/>
      <w:szCs w:val="21"/>
    </w:rPr>
  </w:style>
  <w:style w:type="paragraph" w:customStyle="1" w:styleId="88">
    <w:name w:val="List Paragraph"/>
    <w:basedOn w:val="1"/>
    <w:qFormat/>
    <w:uiPriority w:val="34"/>
    <w:pPr>
      <w:ind w:firstLine="420" w:firstLineChars="200"/>
    </w:pPr>
  </w:style>
  <w:style w:type="paragraph" w:customStyle="1" w:styleId="89">
    <w:name w:val="正文样式"/>
    <w:basedOn w:val="1"/>
    <w:qFormat/>
    <w:uiPriority w:val="0"/>
    <w:pPr>
      <w:spacing w:line="596" w:lineRule="exact"/>
      <w:ind w:firstLine="200" w:firstLineChars="200"/>
    </w:pPr>
    <w:rPr>
      <w:rFonts w:eastAsia="仿宋_GB2312"/>
      <w:sz w:val="32"/>
    </w:rPr>
  </w:style>
  <w:style w:type="paragraph" w:customStyle="1" w:styleId="90">
    <w:name w:val="Default"/>
    <w:uiPriority w:val="0"/>
    <w:pPr>
      <w:widowControl w:val="0"/>
      <w:autoSpaceDE w:val="0"/>
      <w:autoSpaceDN w:val="0"/>
      <w:adjustRightInd w:val="0"/>
    </w:pPr>
    <w:rPr>
      <w:rFonts w:ascii="Arial Unicode MS" w:hAnsi="Calibri" w:eastAsia="Times New Roman" w:cs="Arial Unicode MS"/>
      <w:color w:val="000000"/>
      <w:sz w:val="24"/>
      <w:szCs w:val="24"/>
      <w:lang w:val="en-US" w:eastAsia="zh-CN" w:bidi="ar-SA"/>
    </w:rPr>
  </w:style>
  <w:style w:type="paragraph" w:customStyle="1" w:styleId="91">
    <w:name w:val="_Style 90"/>
    <w:basedOn w:val="1"/>
    <w:next w:val="1"/>
    <w:qFormat/>
    <w:uiPriority w:val="0"/>
    <w:pPr>
      <w:pBdr>
        <w:top w:val="single" w:color="auto" w:sz="6" w:space="1"/>
      </w:pBdr>
      <w:jc w:val="center"/>
    </w:pPr>
    <w:rPr>
      <w:rFonts w:ascii="Arial" w:eastAsia="宋体"/>
      <w:vanish/>
      <w:sz w:val="16"/>
    </w:rPr>
  </w:style>
  <w:style w:type="paragraph" w:customStyle="1" w:styleId="92">
    <w:name w:val="正文1"/>
    <w:basedOn w:val="1"/>
    <w:qFormat/>
    <w:uiPriority w:val="0"/>
    <w:pPr>
      <w:spacing w:line="596" w:lineRule="exact"/>
      <w:ind w:firstLine="640" w:firstLineChars="200"/>
    </w:pPr>
    <w:rPr>
      <w:rFonts w:ascii="仿宋_GB2312" w:hAnsi="Times New Roman" w:eastAsia="仿宋_GB2312"/>
      <w:sz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Pages>
  <Words>10639</Words>
  <Characters>60648</Characters>
  <Lines>505</Lines>
  <Paragraphs>142</Paragraphs>
  <ScaleCrop>false</ScaleCrop>
  <LinksUpToDate>false</LinksUpToDate>
  <CharactersWithSpaces>71145</CharactersWithSpaces>
  <Application>WPS Office_4.0.0.6524_F1E327BC-269C-435d-A152-05C5408002CA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2018-11-21T02:48:00Z</dcterms:created>
  <dc:creator>new</dc:creator>
  <cp:lastModifiedBy>huangminghao</cp:lastModifiedBy>
  <cp:lastPrinted>2016-01-15T07:35:00Z</cp:lastPrinted>
  <dcterms:modified xsi:type="dcterms:W3CDTF">2022-03-16T15:34:09Z</dcterms:modified>
  <dc:title>长沙市国民经济和社会发展</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2052-4.0.0.6524</vt:lpwstr>
  </property>
  <property fmtid="{D5CDD505-2E9C-101B-9397-08002B2CF9AE}" pid="3" name="ICV">
    <vt:lpwstr>D11A14C2F5DC43A99AF387A9D946C4E2</vt:lpwstr>
  </property>
</Properties>
</file>