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600" w:lineRule="exact"/>
        <w:rPr>
          <w:rFonts w:eastAsia="黑体"/>
          <w:sz w:val="32"/>
          <w:szCs w:val="32"/>
        </w:rPr>
      </w:pPr>
      <w:r>
        <w:rPr>
          <w:rFonts w:ascii="黑体" w:hAnsi="黑体" w:eastAsia="黑体"/>
          <w:sz w:val="32"/>
          <w:szCs w:val="32"/>
        </w:rPr>
        <w:t>附件</w:t>
      </w:r>
      <w:r>
        <w:rPr>
          <w:rFonts w:hint="eastAsia" w:eastAsia="黑体"/>
          <w:sz w:val="32"/>
          <w:szCs w:val="32"/>
        </w:rPr>
        <w:t>4</w:t>
      </w:r>
    </w:p>
    <w:p>
      <w:pPr>
        <w:autoSpaceDE w:val="0"/>
        <w:spacing w:line="600" w:lineRule="exact"/>
        <w:rPr>
          <w:rFonts w:eastAsia="黑体"/>
          <w:sz w:val="28"/>
          <w:szCs w:val="28"/>
        </w:rPr>
      </w:pPr>
      <w:r>
        <w:rPr>
          <w:rFonts w:eastAsia="黑体"/>
          <w:sz w:val="28"/>
          <w:szCs w:val="28"/>
        </w:rPr>
        <w:t xml:space="preserve"> </w:t>
      </w:r>
    </w:p>
    <w:p>
      <w:pPr>
        <w:autoSpaceDE w:val="0"/>
        <w:spacing w:line="600" w:lineRule="exact"/>
        <w:rPr>
          <w:rFonts w:eastAsia="黑体"/>
          <w:sz w:val="28"/>
          <w:szCs w:val="28"/>
        </w:rPr>
      </w:pPr>
      <w:r>
        <w:rPr>
          <w:rFonts w:eastAsia="黑体"/>
          <w:sz w:val="28"/>
          <w:szCs w:val="28"/>
        </w:rPr>
        <w:t xml:space="preserve"> </w:t>
      </w:r>
    </w:p>
    <w:p>
      <w:pPr>
        <w:autoSpaceDE w:val="0"/>
        <w:spacing w:line="600" w:lineRule="exact"/>
        <w:jc w:val="center"/>
        <w:rPr>
          <w:rFonts w:hint="eastAsia" w:ascii="宋体" w:hAnsi="宋体" w:cs="宋体"/>
          <w:sz w:val="44"/>
          <w:szCs w:val="44"/>
        </w:rPr>
      </w:pPr>
      <w:r>
        <w:rPr>
          <w:rFonts w:eastAsia="方正小标宋简体"/>
          <w:sz w:val="44"/>
          <w:szCs w:val="44"/>
        </w:rPr>
        <w:t>2022</w:t>
      </w:r>
      <w:r>
        <w:rPr>
          <w:rFonts w:hint="eastAsia" w:ascii="宋体" w:hAnsi="宋体" w:cs="宋体"/>
          <w:sz w:val="44"/>
          <w:szCs w:val="44"/>
        </w:rPr>
        <w:t>年度</w:t>
      </w:r>
      <w:r>
        <w:rPr>
          <w:rFonts w:hint="eastAsia" w:asciiTheme="minorEastAsia" w:hAnsiTheme="minorEastAsia" w:eastAsiaTheme="minorEastAsia"/>
          <w:sz w:val="44"/>
          <w:szCs w:val="44"/>
        </w:rPr>
        <w:t>湖南</w:t>
      </w:r>
      <w:r>
        <w:rPr>
          <w:rFonts w:hint="eastAsia" w:ascii="宋体" w:hAnsi="宋体" w:cs="宋体"/>
          <w:sz w:val="44"/>
          <w:szCs w:val="44"/>
        </w:rPr>
        <w:t>信息职业技术学院</w:t>
      </w:r>
    </w:p>
    <w:p>
      <w:pPr>
        <w:autoSpaceDE w:val="0"/>
        <w:spacing w:line="600" w:lineRule="exact"/>
        <w:jc w:val="center"/>
        <w:rPr>
          <w:rFonts w:hint="eastAsia" w:ascii="宋体" w:hAnsi="宋体" w:cs="宋体"/>
          <w:sz w:val="44"/>
          <w:szCs w:val="44"/>
        </w:rPr>
      </w:pPr>
      <w:r>
        <w:rPr>
          <w:rFonts w:hint="eastAsia" w:ascii="宋体" w:hAnsi="宋体" w:cs="宋体"/>
          <w:sz w:val="44"/>
          <w:szCs w:val="44"/>
        </w:rPr>
        <w:t>整体支出绩效自评报告</w:t>
      </w:r>
    </w:p>
    <w:p>
      <w:pPr>
        <w:jc w:val="center"/>
        <w:rPr>
          <w:rFonts w:eastAsia="楷体_GB2312"/>
          <w:b/>
          <w:bCs/>
          <w:sz w:val="32"/>
          <w:szCs w:val="32"/>
        </w:rPr>
      </w:pPr>
      <w:r>
        <w:rPr>
          <w:rFonts w:eastAsia="楷体_GB2312"/>
          <w:b/>
          <w:bCs/>
          <w:sz w:val="32"/>
          <w:szCs w:val="32"/>
        </w:rPr>
        <w:t xml:space="preserve"> </w:t>
      </w:r>
    </w:p>
    <w:p>
      <w:pPr>
        <w:jc w:val="center"/>
        <w:rPr>
          <w:rFonts w:eastAsia="楷体_GB2312"/>
          <w:b/>
          <w:bCs/>
          <w:sz w:val="32"/>
          <w:szCs w:val="32"/>
        </w:rPr>
      </w:pPr>
      <w:r>
        <w:rPr>
          <w:rFonts w:ascii="楷体_GB2312" w:hAnsi="楷体_GB2312" w:eastAsia="楷体_GB2312"/>
          <w:b/>
          <w:bCs/>
          <w:sz w:val="32"/>
          <w:szCs w:val="32"/>
        </w:rPr>
        <w:t>（参考格式</w:t>
      </w:r>
      <w:r>
        <w:rPr>
          <w:rFonts w:hint="eastAsia" w:ascii="宋体" w:hAnsi="宋体" w:cs="宋体"/>
          <w:b/>
          <w:bCs/>
          <w:sz w:val="32"/>
          <w:szCs w:val="32"/>
        </w:rPr>
        <w:t>）</w:t>
      </w:r>
      <w:bookmarkStart w:id="0" w:name="_GoBack"/>
      <w:bookmarkEnd w:id="0"/>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rPr>
          <w:rFonts w:eastAsia="黑体"/>
          <w:sz w:val="44"/>
          <w:szCs w:val="44"/>
        </w:rPr>
      </w:pPr>
      <w:r>
        <w:rPr>
          <w:rFonts w:eastAsia="黑体"/>
          <w:sz w:val="44"/>
          <w:szCs w:val="44"/>
        </w:rPr>
        <w:t xml:space="preserve"> </w:t>
      </w:r>
    </w:p>
    <w:p>
      <w:pPr>
        <w:ind w:firstLine="880" w:firstLineChars="200"/>
        <w:jc w:val="center"/>
        <w:rPr>
          <w:rFonts w:eastAsia="黑体"/>
          <w:sz w:val="44"/>
          <w:szCs w:val="44"/>
        </w:rPr>
      </w:pPr>
      <w:r>
        <w:rPr>
          <w:rFonts w:eastAsia="黑体"/>
          <w:sz w:val="44"/>
          <w:szCs w:val="44"/>
        </w:rPr>
        <w:t xml:space="preserve"> </w:t>
      </w:r>
    </w:p>
    <w:p>
      <w:pPr>
        <w:ind w:firstLine="880" w:firstLineChars="200"/>
        <w:jc w:val="center"/>
        <w:rPr>
          <w:rFonts w:eastAsia="黑体"/>
          <w:sz w:val="44"/>
          <w:szCs w:val="44"/>
        </w:rPr>
      </w:pPr>
      <w:r>
        <w:rPr>
          <w:rFonts w:eastAsia="黑体"/>
          <w:sz w:val="44"/>
          <w:szCs w:val="44"/>
        </w:rPr>
        <w:t xml:space="preserve"> </w:t>
      </w:r>
    </w:p>
    <w:p>
      <w:pPr>
        <w:ind w:firstLine="880" w:firstLineChars="200"/>
        <w:jc w:val="center"/>
        <w:rPr>
          <w:rFonts w:eastAsia="黑体"/>
          <w:sz w:val="44"/>
          <w:szCs w:val="44"/>
        </w:rPr>
      </w:pPr>
      <w:r>
        <w:rPr>
          <w:rFonts w:eastAsia="黑体"/>
          <w:sz w:val="44"/>
          <w:szCs w:val="44"/>
        </w:rPr>
        <w:t xml:space="preserve"> </w:t>
      </w:r>
    </w:p>
    <w:p>
      <w:pPr>
        <w:ind w:firstLine="880" w:firstLineChars="200"/>
        <w:jc w:val="center"/>
        <w:rPr>
          <w:rFonts w:eastAsia="黑体"/>
          <w:sz w:val="44"/>
          <w:szCs w:val="44"/>
        </w:rPr>
      </w:pPr>
      <w:r>
        <w:rPr>
          <w:rFonts w:eastAsia="黑体"/>
          <w:sz w:val="44"/>
          <w:szCs w:val="44"/>
        </w:rPr>
        <w:t xml:space="preserve"> </w:t>
      </w:r>
    </w:p>
    <w:p>
      <w:pPr>
        <w:jc w:val="center"/>
        <w:rPr>
          <w:rFonts w:eastAsia="黑体"/>
          <w:sz w:val="36"/>
          <w:szCs w:val="36"/>
        </w:rPr>
      </w:pPr>
      <w:r>
        <w:rPr>
          <w:rFonts w:ascii="黑体" w:hAnsi="黑体" w:eastAsia="黑体"/>
          <w:sz w:val="36"/>
          <w:szCs w:val="36"/>
        </w:rPr>
        <w:t>单位名称（盖章）：</w:t>
      </w:r>
    </w:p>
    <w:p>
      <w:pPr>
        <w:jc w:val="center"/>
        <w:rPr>
          <w:rFonts w:eastAsia="黑体"/>
          <w:sz w:val="36"/>
          <w:szCs w:val="36"/>
        </w:rPr>
      </w:pPr>
      <w:r>
        <w:rPr>
          <w:rFonts w:eastAsia="黑体"/>
          <w:sz w:val="36"/>
          <w:szCs w:val="36"/>
        </w:rPr>
        <w:t xml:space="preserve"> </w:t>
      </w:r>
    </w:p>
    <w:p>
      <w:pPr>
        <w:jc w:val="center"/>
        <w:rPr>
          <w:rFonts w:eastAsia="黑体"/>
          <w:sz w:val="32"/>
          <w:szCs w:val="32"/>
        </w:rPr>
      </w:pPr>
      <w:r>
        <w:rPr>
          <w:rFonts w:eastAsia="黑体"/>
          <w:sz w:val="32"/>
          <w:szCs w:val="32"/>
        </w:rPr>
        <w:t xml:space="preserve"> </w:t>
      </w:r>
    </w:p>
    <w:p>
      <w:pPr>
        <w:rPr>
          <w:rFonts w:eastAsia="黑体"/>
          <w:sz w:val="32"/>
          <w:szCs w:val="32"/>
        </w:rPr>
      </w:pPr>
      <w:r>
        <w:rPr>
          <w:rFonts w:eastAsia="黑体"/>
          <w:sz w:val="32"/>
          <w:szCs w:val="32"/>
        </w:rPr>
        <w:t xml:space="preserve"> </w:t>
      </w:r>
    </w:p>
    <w:p>
      <w:pPr>
        <w:jc w:val="center"/>
        <w:rPr>
          <w:rFonts w:eastAsia="仿宋_GB2312"/>
          <w:sz w:val="32"/>
          <w:szCs w:val="32"/>
        </w:rPr>
      </w:pPr>
      <w:r>
        <w:rPr>
          <w:rFonts w:ascii="仿宋_GB2312" w:hAnsi="仿宋_GB2312" w:eastAsia="仿宋_GB2312"/>
          <w:sz w:val="32"/>
          <w:szCs w:val="32"/>
        </w:rPr>
        <w:t>（此页为封面</w:t>
      </w:r>
      <w:r>
        <w:rPr>
          <w:rFonts w:hint="eastAsia" w:ascii="宋体" w:hAnsi="宋体" w:cs="宋体"/>
          <w:sz w:val="32"/>
          <w:szCs w:val="32"/>
        </w:rPr>
        <w:t>）</w:t>
      </w:r>
    </w:p>
    <w:p>
      <w:pPr>
        <w:autoSpaceDE w:val="0"/>
        <w:spacing w:line="640" w:lineRule="exact"/>
        <w:ind w:firstLine="640" w:firstLineChars="200"/>
        <w:rPr>
          <w:rFonts w:ascii="黑体" w:hAnsi="黑体" w:eastAsia="黑体"/>
          <w:sz w:val="32"/>
          <w:szCs w:val="32"/>
        </w:rPr>
      </w:pPr>
      <w:r>
        <w:rPr>
          <w:rFonts w:eastAsia="仿宋_GB2312"/>
          <w:sz w:val="32"/>
          <w:szCs w:val="32"/>
        </w:rPr>
        <w:br w:type="page"/>
      </w:r>
      <w:r>
        <w:rPr>
          <w:rFonts w:ascii="黑体" w:hAnsi="黑体" w:eastAsia="黑体"/>
          <w:sz w:val="32"/>
          <w:szCs w:val="32"/>
        </w:rPr>
        <w:t>一、部门概况</w:t>
      </w:r>
    </w:p>
    <w:p>
      <w:pPr>
        <w:autoSpaceDE w:val="0"/>
        <w:spacing w:line="640" w:lineRule="exact"/>
        <w:ind w:firstLine="641" w:firstLineChars="200"/>
        <w:rPr>
          <w:rFonts w:ascii="华文楷体" w:hAnsi="华文楷体" w:eastAsia="华文楷体" w:cs="宋体"/>
          <w:b/>
          <w:bCs/>
          <w:sz w:val="32"/>
          <w:szCs w:val="32"/>
        </w:rPr>
      </w:pPr>
      <w:r>
        <w:rPr>
          <w:rFonts w:ascii="华文楷体" w:hAnsi="华文楷体" w:eastAsia="华文楷体"/>
          <w:b/>
          <w:bCs/>
          <w:sz w:val="32"/>
          <w:szCs w:val="32"/>
        </w:rPr>
        <w:t>（一）部门（单位）基本情况</w:t>
      </w:r>
    </w:p>
    <w:p>
      <w:pPr>
        <w:widowControl/>
        <w:spacing w:line="640" w:lineRule="exact"/>
        <w:ind w:firstLine="640" w:firstLineChars="200"/>
        <w:jc w:val="left"/>
        <w:rPr>
          <w:rFonts w:ascii="仿宋" w:hAnsi="仿宋" w:eastAsia="仿宋" w:cs="宋体"/>
          <w:sz w:val="32"/>
          <w:szCs w:val="32"/>
          <w:lang w:val="zh-TW" w:eastAsia="zh-TW" w:bidi="zh-TW"/>
        </w:rPr>
      </w:pPr>
      <w:r>
        <w:rPr>
          <w:rFonts w:hint="eastAsia" w:ascii="仿宋" w:hAnsi="仿宋" w:eastAsia="仿宋" w:cs="宋体"/>
          <w:sz w:val="32"/>
          <w:szCs w:val="32"/>
          <w:lang w:val="zh-TW" w:eastAsia="zh-TW" w:bidi="zh-TW"/>
        </w:rPr>
        <w:t>湖南信息职业技术学院（一下简称“学院”）是由长沙市人民政府主办，湖南省教育厅业务主管的全日制高等职业院校。学院办学始于1975年，前身是长沙市“七二一”电子技术工人大学和第四机械工业部怀化无线电技工学校。1999年，两校合并成立湖南信息职业技术学院，成为湖南省首批经教育部批准的高职院校之一。学院地处长沙市望城区，风景优美，环境宜人，交通便捷；现有在校学生12351人，教职员工578人，其中副高以上职称182人，具有硕士学位以上教师417人。</w:t>
      </w:r>
    </w:p>
    <w:p>
      <w:pPr>
        <w:widowControl/>
        <w:spacing w:line="640" w:lineRule="exact"/>
        <w:ind w:firstLine="640" w:firstLineChars="200"/>
        <w:jc w:val="left"/>
        <w:rPr>
          <w:rFonts w:ascii="仿宋" w:hAnsi="仿宋" w:eastAsia="仿宋" w:cs="宋体"/>
          <w:sz w:val="32"/>
          <w:szCs w:val="32"/>
          <w:lang w:val="zh-TW" w:eastAsia="zh-TW" w:bidi="zh-TW"/>
        </w:rPr>
      </w:pPr>
      <w:r>
        <w:rPr>
          <w:rFonts w:hint="eastAsia" w:ascii="仿宋" w:hAnsi="仿宋" w:eastAsia="仿宋" w:cs="宋体"/>
          <w:sz w:val="32"/>
          <w:szCs w:val="32"/>
          <w:lang w:val="zh-TW" w:eastAsia="zh-TW" w:bidi="zh-TW"/>
        </w:rPr>
        <w:t>学院秉承“家国共担、手脑并用”的校训，以“服务国家战略，培养技术英才”为办学使命，以打造“信息技术应用先锋，智能制造人才培育基地”为行为导向。办学40余载，先后荣获“教育部高职高专人才培养工作水平评估优秀院校”、“湖南省示范性高等职业学院”、“湖南省文明校园”、湖南省“绿色学校”、湖南省“平安建设示范校”、湖南省“楚怡”示范性职业教育集团等50余项省级以上荣誉，学院发展成为湖南信息产业职教集团理事长单位，湖南省3D数字化技术制造战略联盟牵头单位，湖南省电子学会、湖南省无线电学会和湖南省机器人与人工智能推广学会的理事长单位，为信息产业和地方经济发展培养了近7万名高素质技术技能人才，被誉为湖南信息技术人才的“黄埔军校”和“信息湘军”的摇篮。</w:t>
      </w:r>
    </w:p>
    <w:p>
      <w:pPr>
        <w:widowControl/>
        <w:spacing w:line="640" w:lineRule="exact"/>
        <w:ind w:firstLine="640" w:firstLineChars="200"/>
        <w:jc w:val="left"/>
        <w:rPr>
          <w:rFonts w:ascii="仿宋" w:hAnsi="仿宋" w:eastAsia="仿宋" w:cs="宋体"/>
          <w:sz w:val="32"/>
          <w:szCs w:val="32"/>
          <w:lang w:val="zh-TW" w:eastAsia="zh-TW" w:bidi="zh-TW"/>
        </w:rPr>
      </w:pPr>
      <w:r>
        <w:rPr>
          <w:rFonts w:hint="eastAsia" w:ascii="仿宋" w:hAnsi="仿宋" w:eastAsia="仿宋" w:cs="宋体"/>
          <w:sz w:val="32"/>
          <w:szCs w:val="32"/>
          <w:lang w:val="zh-TW" w:eastAsia="zh-TW" w:bidi="zh-TW"/>
        </w:rPr>
        <w:t>特色立校，名师荟萃。学院聚焦信息技术应用与服务，开设了机器人技术应用、智能制造技术应用、移动互联技术应用、网络空间安全技术应用、电子商务技术与服务、文化传播与艺术设计六大专业群，涵盖了市场热门的35个专业。拥有全国优秀教师1人、省级教学团队2个、省级名师1人，省级专业带头人4人，省级青年骨干教师15人，国内访问学者58人；打造了电子信息工程技术2个湖南省“楚怡”高水平高职专业群，移动互联技术应用、智能制造技术应用2个省级一流特色专业群，移动互联技术应用省级示范性特色专业群；拥有数控技术、电子商务2个国家级重点建设专业，软件技术、电气自动化技术2个教育部骨干专业，软件技术、电子信息工程技术省级示范性特色专业，软件技术、电气自动化技术2个省级特色专业，软件技术、应用电子技术、电子信息工程技术、机械设计与制造、计算机网络技术5个省级精品专业；以及国家精品课程1门、国家精品资源共享课1门、职业教育国家在线精品课程2门、省级精品在线开放课程23门。</w:t>
      </w:r>
    </w:p>
    <w:p>
      <w:pPr>
        <w:widowControl/>
        <w:spacing w:line="640" w:lineRule="exact"/>
        <w:ind w:firstLine="640" w:firstLineChars="200"/>
        <w:jc w:val="left"/>
        <w:rPr>
          <w:rFonts w:ascii="仿宋" w:hAnsi="仿宋" w:eastAsia="仿宋" w:cs="宋体"/>
          <w:sz w:val="32"/>
          <w:szCs w:val="32"/>
          <w:lang w:val="zh-TW" w:eastAsia="zh-TW" w:bidi="zh-TW"/>
        </w:rPr>
      </w:pPr>
      <w:r>
        <w:rPr>
          <w:rFonts w:hint="eastAsia" w:ascii="仿宋" w:hAnsi="仿宋" w:eastAsia="仿宋" w:cs="宋体"/>
          <w:sz w:val="32"/>
          <w:szCs w:val="32"/>
          <w:lang w:val="zh-TW" w:eastAsia="zh-TW" w:bidi="zh-TW"/>
        </w:rPr>
        <w:t>产教融合，就业导向。学院与长沙经开区、望城经开区、铜官工业园管委会、马栏山文创园、华为科技、中兴通讯、联想集团、三一重工、中联重科、威胜电子、宏梦卡通、华曙高科、长城信息等国内知名企业开展了多种形式的深度校企合作，建有各类各级实习实训基地148个，校外实训基地79个，其中中央财政支持的实习实训基地1个、教育部生产性实习实训基地1个、教育部双师性实习实训基地1个、湖南省“楚怡”产教融合实训基地1个，省级重点实训基地1个、省级生产性实习实训基地2个、省级校企合作生产性实习实训基地1个、省级及以上教师培训基地25个。同时积极与湖南省中小企业合作开展智能机器人技术、云计算技术与大数据技术、3D类数字化制造技术、电商技术开发与服务，技术推广达60余项，已建成“湖南省示范性职业教育集团”。</w:t>
      </w:r>
    </w:p>
    <w:p>
      <w:pPr>
        <w:widowControl/>
        <w:spacing w:line="640" w:lineRule="exact"/>
        <w:ind w:firstLine="640" w:firstLineChars="200"/>
        <w:jc w:val="left"/>
        <w:rPr>
          <w:rFonts w:ascii="仿宋" w:hAnsi="仿宋" w:eastAsia="仿宋" w:cs="宋体"/>
          <w:sz w:val="32"/>
          <w:szCs w:val="32"/>
          <w:lang w:val="zh-TW" w:eastAsia="zh-TW" w:bidi="zh-TW"/>
        </w:rPr>
      </w:pPr>
      <w:r>
        <w:rPr>
          <w:rFonts w:hint="eastAsia" w:ascii="仿宋" w:hAnsi="仿宋" w:eastAsia="仿宋" w:cs="宋体"/>
          <w:sz w:val="32"/>
          <w:szCs w:val="32"/>
          <w:lang w:val="zh-TW" w:eastAsia="zh-TW" w:bidi="zh-TW"/>
        </w:rPr>
        <w:t>学院凝练并实践了具有校本特色的就创业工作“三最”价值体系，形成了“五个纳入”工作体系，完善“一主线三贯通”教育体系，抓实“四率两度”考核，筑牢“五个保障”，近几年毕业生初次就业单位落实率在91%左右，省内毕业生就业单位落实率达70%以上，学院连续12年6次蝉联“湖南省高校毕业生就业创业工作‘一把手工程’先进单位”。</w:t>
      </w:r>
    </w:p>
    <w:p>
      <w:pPr>
        <w:autoSpaceDE w:val="0"/>
        <w:spacing w:line="640" w:lineRule="exact"/>
        <w:ind w:firstLine="641" w:firstLineChars="200"/>
        <w:rPr>
          <w:rFonts w:ascii="华文楷体" w:hAnsi="华文楷体" w:eastAsia="华文楷体"/>
          <w:b/>
          <w:bCs/>
          <w:sz w:val="32"/>
          <w:szCs w:val="32"/>
        </w:rPr>
      </w:pPr>
      <w:r>
        <w:rPr>
          <w:rFonts w:ascii="华文楷体" w:hAnsi="华文楷体" w:eastAsia="华文楷体"/>
          <w:b/>
          <w:bCs/>
          <w:sz w:val="32"/>
          <w:szCs w:val="32"/>
        </w:rPr>
        <w:t>（二）2022年学院工作指导思想及重点工作任务</w:t>
      </w:r>
    </w:p>
    <w:p>
      <w:pPr>
        <w:widowControl/>
        <w:spacing w:line="640" w:lineRule="exact"/>
        <w:ind w:firstLine="641" w:firstLineChars="200"/>
        <w:jc w:val="left"/>
        <w:rPr>
          <w:rFonts w:ascii="华文楷体" w:hAnsi="华文楷体" w:eastAsia="华文楷体"/>
          <w:b/>
          <w:bCs/>
          <w:sz w:val="32"/>
          <w:szCs w:val="32"/>
        </w:rPr>
      </w:pPr>
      <w:r>
        <w:rPr>
          <w:rFonts w:ascii="华文楷体" w:hAnsi="华文楷体" w:eastAsia="华文楷体"/>
          <w:b/>
          <w:bCs/>
          <w:sz w:val="32"/>
          <w:szCs w:val="32"/>
        </w:rPr>
        <w:t>1.</w:t>
      </w:r>
      <w:r>
        <w:rPr>
          <w:rFonts w:hint="eastAsia" w:ascii="华文楷体" w:hAnsi="华文楷体" w:eastAsia="华文楷体"/>
          <w:b/>
          <w:bCs/>
          <w:sz w:val="32"/>
          <w:szCs w:val="32"/>
        </w:rPr>
        <w:t>工作指导思想</w:t>
      </w:r>
    </w:p>
    <w:p>
      <w:pPr>
        <w:widowControl/>
        <w:spacing w:line="640" w:lineRule="exact"/>
        <w:ind w:firstLine="640" w:firstLineChars="200"/>
        <w:jc w:val="left"/>
        <w:rPr>
          <w:rFonts w:ascii="仿宋" w:hAnsi="仿宋" w:eastAsia="仿宋" w:cs="宋体"/>
          <w:sz w:val="32"/>
          <w:szCs w:val="32"/>
          <w:lang w:val="zh-TW" w:eastAsia="zh-TW" w:bidi="zh-TW"/>
        </w:rPr>
      </w:pPr>
      <w:r>
        <w:rPr>
          <w:rFonts w:hint="eastAsia" w:ascii="仿宋" w:hAnsi="仿宋" w:eastAsia="仿宋" w:cs="宋体"/>
          <w:sz w:val="32"/>
          <w:szCs w:val="32"/>
          <w:lang w:val="zh-TW" w:eastAsia="zh-TW" w:bidi="zh-TW"/>
        </w:rPr>
        <w:t>以习近平新时代中国特色社会主义思想为指导，深入学习贯 彻党的十九大和十九届历次全会精神，认真贯彻落实习近平总书记关于教育的重要论述，落实省市党代会精神，深刻认识“两个确立”的决定性意义，增强“四个意识”、坚定“四个自信”、做到“两个维护”，遵循思想政治教育规律、教书育人规律和学生成长成才规律，坚持社会主义办学方向，全面贯彻党的教育方针，守正创新不断深化“三全育人”改革，落实立德树人根本任务，践行为党育人、为国育才的教育使命，培养德智体美劳全面发展的社会主义建设者和接班人，为服务“三高四新”战略、实施“强省会”战略定位和使命任务、全面建设现代化新长沙定位和使命任务提供人才和智力支撑，以实干实绩迎接党的二十大胜利召开。</w:t>
      </w:r>
    </w:p>
    <w:p>
      <w:pPr>
        <w:widowControl/>
        <w:spacing w:line="640" w:lineRule="exact"/>
        <w:ind w:firstLine="641" w:firstLineChars="200"/>
        <w:jc w:val="left"/>
        <w:rPr>
          <w:rFonts w:ascii="华文楷体" w:hAnsi="华文楷体" w:eastAsia="华文楷体"/>
          <w:b/>
          <w:bCs/>
          <w:sz w:val="32"/>
          <w:szCs w:val="32"/>
        </w:rPr>
      </w:pPr>
      <w:r>
        <w:rPr>
          <w:rFonts w:hint="eastAsia" w:ascii="华文楷体" w:hAnsi="华文楷体" w:eastAsia="华文楷体"/>
          <w:b/>
          <w:bCs/>
          <w:sz w:val="32"/>
          <w:szCs w:val="32"/>
        </w:rPr>
        <w:t>2.年度重点工作任务</w:t>
      </w:r>
    </w:p>
    <w:p>
      <w:pPr>
        <w:widowControl/>
        <w:spacing w:line="640" w:lineRule="exact"/>
        <w:ind w:firstLine="640" w:firstLineChars="200"/>
        <w:jc w:val="left"/>
        <w:rPr>
          <w:rFonts w:ascii="仿宋" w:hAnsi="仿宋" w:eastAsia="仿宋" w:cs="宋体"/>
          <w:sz w:val="32"/>
          <w:szCs w:val="32"/>
          <w:lang w:val="zh-TW" w:eastAsia="zh-TW" w:bidi="zh-TW"/>
        </w:rPr>
      </w:pPr>
      <w:r>
        <w:rPr>
          <w:rFonts w:hint="eastAsia" w:ascii="仿宋" w:hAnsi="仿宋" w:eastAsia="仿宋" w:cs="宋体"/>
          <w:sz w:val="32"/>
          <w:szCs w:val="32"/>
          <w:lang w:val="zh-TW" w:eastAsia="zh-TW" w:bidi="zh-TW"/>
        </w:rPr>
        <w:t>一是党建聚合力办学育人专项计划，主要要点有：1.实施“政治领航”行动，增强党的政治领导力；2.实施喜迎二十大专项行动，宣贯协同迎接党的二十大；3.实施党史学习教育“三化三进”行动，巩固学习成果；4.实施“培根铸魂”行动，增强党的思想引领力；5.实施“强基赋能”行动，增强党的基层组织力；6.实施“头雁示范”行动，提升干部队伍政治力；7.实施“和谐善治”行动，增强党的社会凝聚力；8.实施“同心聚力”行动，增强党的队伍向心力；9.推进“清廉湘信”建设，巩固良好的育人环境与政治生态；10.实施党建带团建持续发力行动，推进从严治团建设。</w:t>
      </w:r>
    </w:p>
    <w:p>
      <w:pPr>
        <w:widowControl/>
        <w:spacing w:line="640" w:lineRule="exact"/>
        <w:ind w:firstLine="640" w:firstLineChars="200"/>
        <w:jc w:val="left"/>
        <w:rPr>
          <w:rFonts w:ascii="仿宋" w:hAnsi="仿宋" w:eastAsia="仿宋" w:cs="宋体"/>
          <w:sz w:val="32"/>
          <w:szCs w:val="32"/>
          <w:lang w:val="zh-TW" w:eastAsia="zh-TW" w:bidi="zh-TW"/>
        </w:rPr>
      </w:pPr>
      <w:r>
        <w:rPr>
          <w:rFonts w:ascii="仿宋" w:hAnsi="仿宋" w:eastAsia="仿宋" w:cs="宋体"/>
          <w:sz w:val="32"/>
          <w:szCs w:val="32"/>
          <w:lang w:val="zh-TW" w:eastAsia="zh-TW" w:bidi="zh-TW"/>
        </w:rPr>
        <w:t>二是</w:t>
      </w:r>
      <w:r>
        <w:rPr>
          <w:rFonts w:hint="eastAsia" w:ascii="仿宋" w:hAnsi="仿宋" w:eastAsia="仿宋" w:cs="宋体"/>
          <w:sz w:val="32"/>
          <w:szCs w:val="32"/>
          <w:lang w:val="zh-TW" w:eastAsia="zh-TW" w:bidi="zh-TW"/>
        </w:rPr>
        <w:t>核心目标战略引领专项计划，主要要点有：1.上下同欲、万众一心，确保两次评估通过；2.精准定位、科学谋划，做好顶层设计；3.靶向发力、攻坚克难，夯实办学条件；4.对接产业、提质培优，做好学科专业规划；5.对标对表，担当作为，做好师资储备；6.整合资源、搭建平台，深化产教融合；7.周密部署、有效有序，做好招生就业工作；8.整体规划、需求牵引，满足图书信息评估要求；9.服务下沉、全面支撑，提供资源保障；10.严明纪律，锻造作风，营造良好政治生态与育人环境。</w:t>
      </w:r>
    </w:p>
    <w:p>
      <w:pPr>
        <w:widowControl/>
        <w:spacing w:line="640" w:lineRule="exact"/>
        <w:ind w:firstLine="640" w:firstLineChars="200"/>
        <w:jc w:val="left"/>
        <w:rPr>
          <w:rFonts w:ascii="仿宋" w:hAnsi="仿宋" w:eastAsia="仿宋" w:cs="宋体"/>
          <w:sz w:val="32"/>
          <w:szCs w:val="32"/>
          <w:lang w:val="zh-TW" w:eastAsia="zh-TW" w:bidi="zh-TW"/>
        </w:rPr>
      </w:pPr>
      <w:r>
        <w:rPr>
          <w:rFonts w:ascii="仿宋" w:hAnsi="仿宋" w:eastAsia="仿宋" w:cs="宋体"/>
          <w:sz w:val="32"/>
          <w:szCs w:val="32"/>
          <w:lang w:val="zh-TW" w:eastAsia="zh-TW" w:bidi="zh-TW"/>
        </w:rPr>
        <w:t>三是</w:t>
      </w:r>
      <w:r>
        <w:rPr>
          <w:rFonts w:hint="eastAsia" w:ascii="仿宋" w:hAnsi="仿宋" w:eastAsia="仿宋" w:cs="宋体"/>
          <w:sz w:val="32"/>
          <w:szCs w:val="32"/>
          <w:lang w:val="zh-TW" w:eastAsia="zh-TW" w:bidi="zh-TW"/>
        </w:rPr>
        <w:t>内涵建设创新驱动专项计划，主要要点有：1.推进“三全育人”综合改革，完善育人体系；2.聚焦专业数字化改造升级，推进高水平专业（群）建设；3.以“三教改革”为抓手，建好教学标准体系；4.加强教师专业发展，强化教学团队建设；5.打造科研团队，形成科研创新服务合力；6.落实招培就联动工作，提升生源质量；7.强化创新创业联动机制，提升赛项竞争力；8.完善“岗课赛证”综合育人机制，提升人才培养质量；9.深化产教融合、校企合作，服务“强省会”战略；10.夯实信息化教学基础，探索智慧教育新模式。</w:t>
      </w:r>
    </w:p>
    <w:p>
      <w:pPr>
        <w:widowControl/>
        <w:spacing w:line="640" w:lineRule="exact"/>
        <w:ind w:firstLine="640" w:firstLineChars="200"/>
        <w:jc w:val="left"/>
        <w:rPr>
          <w:rFonts w:ascii="仿宋" w:hAnsi="仿宋" w:eastAsia="仿宋" w:cs="宋体"/>
          <w:sz w:val="32"/>
          <w:szCs w:val="32"/>
          <w:lang w:val="zh-TW" w:eastAsia="zh-TW" w:bidi="zh-TW"/>
        </w:rPr>
      </w:pPr>
      <w:r>
        <w:rPr>
          <w:rFonts w:ascii="仿宋" w:hAnsi="仿宋" w:eastAsia="仿宋" w:cs="宋体"/>
          <w:sz w:val="32"/>
          <w:szCs w:val="32"/>
          <w:lang w:val="zh-TW" w:eastAsia="zh-TW" w:bidi="zh-TW"/>
        </w:rPr>
        <w:t>四是</w:t>
      </w:r>
      <w:r>
        <w:rPr>
          <w:rFonts w:hint="eastAsia" w:ascii="仿宋" w:hAnsi="仿宋" w:eastAsia="仿宋" w:cs="宋体"/>
          <w:sz w:val="32"/>
          <w:szCs w:val="32"/>
          <w:lang w:val="zh-TW" w:eastAsia="zh-TW" w:bidi="zh-TW"/>
        </w:rPr>
        <w:t>治理现代化强基专项计划，主要工作要点有：1.持续推进依法治校，创建“依法治校示范学校”；2.巩固常态化长效化机制，落实课程认证与诊断改进常态化相融合；3.完成“立改废释”年度工作，构建高质量发展制度体系；4.严肃财经纪律，增强财经制度刚性约束力；5.健全内部控制体系，管控经济活动风险；6.强化行政督查和绩效管理，确保获得教育系统绩效考核“优秀”；7.创建三个“二十强”，高质量完成“三个质量报告”；8.依托信息技术支撑，提升学校整体治理效能；9.严格专项整治，创建省“平安高校示范校”；10.深化教育评价改革，构建高质量教育评价体系。</w:t>
      </w:r>
    </w:p>
    <w:p>
      <w:pPr>
        <w:widowControl/>
        <w:spacing w:line="640" w:lineRule="exact"/>
        <w:ind w:firstLine="640" w:firstLineChars="200"/>
        <w:jc w:val="left"/>
        <w:rPr>
          <w:rFonts w:ascii="仿宋" w:hAnsi="仿宋" w:eastAsia="仿宋" w:cs="宋体"/>
          <w:sz w:val="32"/>
          <w:szCs w:val="32"/>
          <w:lang w:val="zh-TW" w:eastAsia="zh-TW" w:bidi="zh-TW"/>
        </w:rPr>
      </w:pPr>
      <w:r>
        <w:rPr>
          <w:rFonts w:hint="eastAsia" w:ascii="仿宋" w:hAnsi="仿宋" w:eastAsia="仿宋" w:cs="宋体"/>
          <w:sz w:val="32"/>
          <w:szCs w:val="32"/>
          <w:lang w:val="zh-TW" w:eastAsia="zh-TW" w:bidi="zh-TW"/>
        </w:rPr>
        <w:t>五是校园民生实事暖心专项计划，主要工作要点有：1.推进文明创建常态化，创建长沙市无烟学校；2.深化“绿色校园”建设，提升环境育人效果；3.引领学生升学深造，扎实做好指导与服务；4.加大经费保障力度，促进人文、体育素养教育质量提升；5.全力以赴访企拓岗，千方百计促就业；6.大力推进智慧图书馆建设，实现“三量”提升；7.助力乡村振兴，落实支农惠农实事项目；8.真抓实干谋福利，提升教职员工幸福感满意度；9.创新举措完善机制，丰富校园文化生活；10.全员全过程全方位育人，助力学生成长成才。</w:t>
      </w:r>
    </w:p>
    <w:p>
      <w:pPr>
        <w:widowControl/>
        <w:spacing w:line="640" w:lineRule="exact"/>
        <w:jc w:val="left"/>
        <w:rPr>
          <w:rFonts w:ascii="仿宋" w:hAnsi="仿宋" w:eastAsia="仿宋" w:cs="宋体"/>
          <w:sz w:val="32"/>
          <w:szCs w:val="32"/>
          <w:lang w:val="zh-TW" w:eastAsia="zh-TW" w:bidi="zh-TW"/>
        </w:rPr>
      </w:pPr>
      <w:r>
        <w:rPr>
          <w:rFonts w:ascii="仿宋" w:hAnsi="仿宋" w:eastAsia="仿宋" w:cs="宋体"/>
          <w:sz w:val="32"/>
          <w:szCs w:val="32"/>
          <w:lang w:val="zh-TW" w:eastAsia="zh-TW" w:bidi="zh-TW"/>
        </w:rPr>
        <w:t>六是</w:t>
      </w:r>
      <w:r>
        <w:rPr>
          <w:rFonts w:hint="eastAsia" w:ascii="仿宋" w:hAnsi="仿宋" w:eastAsia="仿宋" w:cs="宋体"/>
          <w:sz w:val="32"/>
          <w:szCs w:val="32"/>
          <w:lang w:val="zh-TW" w:eastAsia="zh-TW" w:bidi="zh-TW"/>
        </w:rPr>
        <w:t xml:space="preserve">底线坚守 </w:t>
      </w:r>
      <w:r>
        <w:rPr>
          <w:rFonts w:hint="eastAsia" w:ascii="仿宋" w:hAnsi="仿宋" w:eastAsia="仿宋" w:cs="宋体"/>
          <w:sz w:val="32"/>
          <w:szCs w:val="32"/>
          <w:lang w:val="en-US" w:eastAsia="zh-CN" w:bidi="zh-TW"/>
        </w:rPr>
        <w:t>9</w:t>
      </w:r>
      <w:r>
        <w:rPr>
          <w:rFonts w:hint="eastAsia" w:ascii="仿宋" w:hAnsi="仿宋" w:eastAsia="仿宋" w:cs="宋体"/>
          <w:sz w:val="32"/>
          <w:szCs w:val="32"/>
          <w:lang w:val="zh-TW" w:eastAsia="zh-TW" w:bidi="zh-TW"/>
        </w:rPr>
        <w:t xml:space="preserve"> 项监测计划，主要工作要点有：</w:t>
      </w:r>
      <w:r>
        <w:rPr>
          <w:rFonts w:hint="eastAsia" w:ascii="仿宋" w:hAnsi="仿宋" w:eastAsia="仿宋" w:cs="宋体"/>
          <w:sz w:val="32"/>
          <w:szCs w:val="32"/>
          <w:lang w:val="en-US" w:eastAsia="zh-CN" w:bidi="zh-TW"/>
        </w:rPr>
        <w:t>1</w:t>
      </w:r>
      <w:r>
        <w:rPr>
          <w:rFonts w:hint="eastAsia" w:ascii="仿宋" w:hAnsi="仿宋" w:eastAsia="仿宋" w:cs="宋体"/>
          <w:sz w:val="32"/>
          <w:szCs w:val="32"/>
          <w:lang w:val="zh-TW" w:eastAsia="zh-TW" w:bidi="zh-TW"/>
        </w:rPr>
        <w:t>.落实全面从严治党、党风廉政建设和反腐败工作主体责任清单，年内党风廉政建设无受到上级通报批评，不发生影响学院评优评先“一票否决”的党纪政纪处分事件发生。</w:t>
      </w:r>
      <w:r>
        <w:rPr>
          <w:rFonts w:hint="eastAsia" w:ascii="仿宋" w:hAnsi="仿宋" w:eastAsia="仿宋" w:cs="宋体"/>
          <w:sz w:val="32"/>
          <w:szCs w:val="32"/>
          <w:lang w:val="en-US" w:eastAsia="zh-CN" w:bidi="zh-TW"/>
        </w:rPr>
        <w:t>2</w:t>
      </w:r>
      <w:r>
        <w:rPr>
          <w:rFonts w:hint="eastAsia" w:ascii="仿宋" w:hAnsi="仿宋" w:eastAsia="仿宋" w:cs="宋体"/>
          <w:sz w:val="32"/>
          <w:szCs w:val="32"/>
          <w:lang w:val="zh-TW" w:eastAsia="zh-TW" w:bidi="zh-TW"/>
        </w:rPr>
        <w:t>.校院两级落实“两个责任”“一岗双责”年内无危害国家安全和校园稳定的重大政治事件、重大负面舆情事件、集访和越级投诉事件以及非法集会、游行、示威及罢工罢课等社会安全类群体事件发生。</w:t>
      </w:r>
      <w:r>
        <w:rPr>
          <w:rFonts w:hint="eastAsia" w:ascii="仿宋" w:hAnsi="仿宋" w:eastAsia="仿宋" w:cs="宋体"/>
          <w:sz w:val="32"/>
          <w:szCs w:val="32"/>
          <w:lang w:val="en-US" w:eastAsia="zh-CN" w:bidi="zh-TW"/>
        </w:rPr>
        <w:t>3</w:t>
      </w:r>
      <w:r>
        <w:rPr>
          <w:rFonts w:hint="eastAsia" w:ascii="仿宋" w:hAnsi="仿宋" w:eastAsia="仿宋" w:cs="宋体"/>
          <w:sz w:val="32"/>
          <w:szCs w:val="32"/>
          <w:lang w:val="zh-TW" w:eastAsia="zh-TW" w:bidi="zh-TW"/>
        </w:rPr>
        <w:t>.无重大人员伤亡事故发生，无重大传染病和新冠疫情事件发生，无重大安全（含网络安全）事故发生，无重大“校园贷”事件发生，无传销事件、电诈事件发生，无非法传教和法轮功等邪教组织及活动的事件发生。</w:t>
      </w:r>
      <w:r>
        <w:rPr>
          <w:rFonts w:hint="eastAsia" w:ascii="仿宋" w:hAnsi="仿宋" w:eastAsia="仿宋" w:cs="宋体"/>
          <w:sz w:val="32"/>
          <w:szCs w:val="32"/>
          <w:lang w:val="en-US" w:eastAsia="zh-CN" w:bidi="zh-TW"/>
        </w:rPr>
        <w:t>4</w:t>
      </w:r>
      <w:r>
        <w:rPr>
          <w:rFonts w:hint="eastAsia" w:ascii="仿宋" w:hAnsi="仿宋" w:eastAsia="仿宋" w:cs="宋体"/>
          <w:sz w:val="32"/>
          <w:szCs w:val="32"/>
          <w:lang w:val="zh-TW" w:eastAsia="zh-TW" w:bidi="zh-TW"/>
        </w:rPr>
        <w:t>.无师生员工吸毒、涉毒、涉黄、涉赌和酒驾、毒驾等违法事件发生，无重大刑事案件、影响恶劣的治安事件和严重家庭暴力案（事）件发生，无暴力侵害师生生命财产和群死群伤的恶性事件发生。</w:t>
      </w:r>
      <w:r>
        <w:rPr>
          <w:rFonts w:hint="eastAsia" w:ascii="仿宋" w:hAnsi="仿宋" w:eastAsia="仿宋" w:cs="宋体"/>
          <w:sz w:val="32"/>
          <w:szCs w:val="32"/>
          <w:lang w:val="en-US" w:eastAsia="zh-CN" w:bidi="zh-TW"/>
        </w:rPr>
        <w:t>5</w:t>
      </w:r>
      <w:r>
        <w:rPr>
          <w:rFonts w:hint="eastAsia" w:ascii="仿宋" w:hAnsi="仿宋" w:eastAsia="仿宋" w:cs="宋体"/>
          <w:sz w:val="32"/>
          <w:szCs w:val="32"/>
          <w:lang w:val="zh-TW" w:eastAsia="zh-TW" w:bidi="zh-TW"/>
        </w:rPr>
        <w:t>.无违反教师师德禁行行为和社会主义核心价值观，以及公序良俗、公民道德负面事件发生。</w:t>
      </w:r>
      <w:r>
        <w:rPr>
          <w:rFonts w:hint="eastAsia" w:ascii="仿宋" w:hAnsi="仿宋" w:eastAsia="仿宋" w:cs="宋体"/>
          <w:sz w:val="32"/>
          <w:szCs w:val="32"/>
          <w:lang w:val="en-US" w:eastAsia="zh-CN" w:bidi="zh-TW"/>
        </w:rPr>
        <w:t>6</w:t>
      </w:r>
      <w:r>
        <w:rPr>
          <w:rFonts w:hint="eastAsia" w:ascii="仿宋" w:hAnsi="仿宋" w:eastAsia="仿宋" w:cs="宋体"/>
          <w:sz w:val="32"/>
          <w:szCs w:val="32"/>
          <w:lang w:val="zh-TW" w:eastAsia="zh-TW" w:bidi="zh-TW"/>
        </w:rPr>
        <w:t>.无违规收费、乱收费以及“小金库”现象发生。</w:t>
      </w:r>
      <w:r>
        <w:rPr>
          <w:rFonts w:hint="eastAsia" w:ascii="仿宋" w:hAnsi="仿宋" w:eastAsia="仿宋" w:cs="宋体"/>
          <w:sz w:val="32"/>
          <w:szCs w:val="32"/>
          <w:lang w:val="en-US" w:eastAsia="zh-CN" w:bidi="zh-TW"/>
        </w:rPr>
        <w:t>7</w:t>
      </w:r>
      <w:r>
        <w:rPr>
          <w:rFonts w:hint="eastAsia" w:ascii="仿宋" w:hAnsi="仿宋" w:eastAsia="仿宋" w:cs="宋体"/>
          <w:sz w:val="32"/>
          <w:szCs w:val="32"/>
          <w:lang w:val="zh-TW" w:eastAsia="zh-TW" w:bidi="zh-TW"/>
        </w:rPr>
        <w:t>.在招生录取、职称评审、人才引进和招聘、招标采购、评优评先、推优入党、落实扶贫济困政策、选人用人、项目托管等管理服务领域实现“零有责投诉”。</w:t>
      </w:r>
      <w:r>
        <w:rPr>
          <w:rFonts w:hint="eastAsia" w:ascii="仿宋" w:hAnsi="仿宋" w:eastAsia="仿宋" w:cs="宋体"/>
          <w:sz w:val="32"/>
          <w:szCs w:val="32"/>
          <w:lang w:val="en-US" w:eastAsia="zh-CN" w:bidi="zh-TW"/>
        </w:rPr>
        <w:t>8</w:t>
      </w:r>
      <w:r>
        <w:rPr>
          <w:rFonts w:hint="eastAsia" w:ascii="仿宋" w:hAnsi="仿宋" w:eastAsia="仿宋" w:cs="宋体"/>
          <w:sz w:val="32"/>
          <w:szCs w:val="32"/>
          <w:lang w:val="zh-TW" w:eastAsia="zh-TW" w:bidi="zh-TW"/>
        </w:rPr>
        <w:t>.无一例重大建设、采购项目的相应决策违反“三重一大”事件发生。</w:t>
      </w:r>
      <w:r>
        <w:rPr>
          <w:rFonts w:hint="eastAsia" w:ascii="仿宋" w:hAnsi="仿宋" w:eastAsia="仿宋" w:cs="宋体"/>
          <w:sz w:val="32"/>
          <w:szCs w:val="32"/>
          <w:lang w:val="en-US" w:eastAsia="zh-CN" w:bidi="zh-TW"/>
        </w:rPr>
        <w:t>9</w:t>
      </w:r>
      <w:r>
        <w:rPr>
          <w:rFonts w:hint="eastAsia" w:ascii="仿宋" w:hAnsi="仿宋" w:eastAsia="仿宋" w:cs="宋体"/>
          <w:sz w:val="32"/>
          <w:szCs w:val="32"/>
          <w:lang w:val="zh-TW" w:eastAsia="zh-TW" w:bidi="zh-TW"/>
        </w:rPr>
        <w:t>.全面落实学生奖、助、贷、补政策，年内无一例学生因贫困而辍学。按学院事业收入 4%足额提取经费，落实学生校本资助。</w:t>
      </w:r>
    </w:p>
    <w:p>
      <w:pPr>
        <w:widowControl/>
        <w:spacing w:line="640" w:lineRule="exact"/>
        <w:ind w:firstLine="641" w:firstLineChars="200"/>
        <w:jc w:val="left"/>
        <w:rPr>
          <w:rFonts w:ascii="华文楷体" w:hAnsi="华文楷体" w:eastAsia="华文楷体"/>
          <w:b/>
          <w:bCs/>
          <w:sz w:val="32"/>
          <w:szCs w:val="32"/>
        </w:rPr>
      </w:pPr>
      <w:r>
        <w:rPr>
          <w:rFonts w:hint="eastAsia" w:ascii="华文楷体" w:hAnsi="华文楷体" w:eastAsia="华文楷体" w:cs="宋体"/>
          <w:b/>
          <w:bCs/>
          <w:sz w:val="32"/>
          <w:szCs w:val="32"/>
        </w:rPr>
        <w:t>（三）部门（单位）整体支出规模、使用方向和主要内容、涉及范围等</w:t>
      </w:r>
    </w:p>
    <w:p>
      <w:pPr>
        <w:widowControl/>
        <w:spacing w:line="640" w:lineRule="exac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202</w:t>
      </w:r>
      <w:r>
        <w:rPr>
          <w:rFonts w:ascii="仿宋" w:hAnsi="仿宋" w:eastAsia="仿宋" w:cs="宋体"/>
          <w:color w:val="000000"/>
          <w:kern w:val="0"/>
          <w:sz w:val="32"/>
          <w:szCs w:val="32"/>
        </w:rPr>
        <w:t>2</w:t>
      </w:r>
      <w:r>
        <w:rPr>
          <w:rFonts w:hint="eastAsia" w:ascii="仿宋" w:hAnsi="仿宋" w:eastAsia="仿宋" w:cs="宋体"/>
          <w:color w:val="000000"/>
          <w:kern w:val="0"/>
          <w:sz w:val="32"/>
          <w:szCs w:val="32"/>
        </w:rPr>
        <w:t>年学院部门整体支出</w:t>
      </w:r>
      <w:r>
        <w:rPr>
          <w:rFonts w:ascii="仿宋" w:hAnsi="仿宋" w:eastAsia="仿宋" w:cs="宋体"/>
          <w:color w:val="000000"/>
          <w:kern w:val="0"/>
          <w:sz w:val="32"/>
          <w:szCs w:val="32"/>
        </w:rPr>
        <w:t>22215.97</w:t>
      </w:r>
      <w:r>
        <w:rPr>
          <w:rFonts w:hint="eastAsia" w:ascii="仿宋" w:hAnsi="仿宋" w:eastAsia="仿宋" w:cs="宋体"/>
          <w:color w:val="000000"/>
          <w:kern w:val="0"/>
          <w:sz w:val="32"/>
          <w:szCs w:val="32"/>
        </w:rPr>
        <w:t>万元，基本支出</w:t>
      </w:r>
      <w:r>
        <w:rPr>
          <w:rFonts w:ascii="仿宋" w:hAnsi="仿宋" w:eastAsia="仿宋" w:cs="宋体"/>
          <w:color w:val="000000"/>
          <w:kern w:val="0"/>
          <w:sz w:val="32"/>
          <w:szCs w:val="32"/>
        </w:rPr>
        <w:t>14211.66</w:t>
      </w:r>
      <w:r>
        <w:rPr>
          <w:rFonts w:hint="eastAsia" w:ascii="仿宋" w:hAnsi="仿宋" w:eastAsia="仿宋" w:cs="宋体"/>
          <w:color w:val="000000"/>
          <w:kern w:val="0"/>
          <w:sz w:val="32"/>
          <w:szCs w:val="32"/>
        </w:rPr>
        <w:t>万元，项目支出</w:t>
      </w:r>
      <w:r>
        <w:rPr>
          <w:rFonts w:ascii="仿宋" w:hAnsi="仿宋" w:eastAsia="仿宋" w:cs="宋体"/>
          <w:color w:val="000000"/>
          <w:kern w:val="0"/>
          <w:sz w:val="32"/>
          <w:szCs w:val="32"/>
        </w:rPr>
        <w:t>8004.31</w:t>
      </w:r>
      <w:r>
        <w:rPr>
          <w:rFonts w:hint="eastAsia" w:ascii="仿宋" w:hAnsi="仿宋" w:eastAsia="仿宋" w:cs="宋体"/>
          <w:color w:val="000000"/>
          <w:kern w:val="0"/>
          <w:sz w:val="32"/>
          <w:szCs w:val="32"/>
        </w:rPr>
        <w:t>万元。其中工资福利支出</w:t>
      </w:r>
      <w:r>
        <w:rPr>
          <w:rFonts w:ascii="仿宋" w:hAnsi="仿宋" w:eastAsia="仿宋" w:cs="宋体"/>
          <w:color w:val="000000"/>
          <w:kern w:val="0"/>
          <w:sz w:val="32"/>
          <w:szCs w:val="32"/>
          <w:highlight w:val="none"/>
        </w:rPr>
        <w:t>13767.26</w:t>
      </w:r>
      <w:r>
        <w:rPr>
          <w:rFonts w:hint="eastAsia" w:ascii="仿宋" w:hAnsi="仿宋" w:eastAsia="仿宋" w:cs="宋体"/>
          <w:color w:val="000000"/>
          <w:kern w:val="0"/>
          <w:sz w:val="32"/>
          <w:szCs w:val="32"/>
        </w:rPr>
        <w:t>万元，占总支出的</w:t>
      </w:r>
      <w:r>
        <w:rPr>
          <w:rFonts w:ascii="仿宋" w:hAnsi="仿宋" w:eastAsia="仿宋" w:cs="宋体"/>
          <w:color w:val="000000"/>
          <w:kern w:val="0"/>
          <w:sz w:val="32"/>
          <w:szCs w:val="32"/>
        </w:rPr>
        <w:t>61.98</w:t>
      </w:r>
      <w:r>
        <w:rPr>
          <w:rFonts w:hint="eastAsia" w:ascii="仿宋" w:hAnsi="仿宋" w:eastAsia="仿宋" w:cs="宋体"/>
          <w:color w:val="000000"/>
          <w:kern w:val="0"/>
          <w:sz w:val="32"/>
          <w:szCs w:val="32"/>
        </w:rPr>
        <w:t>%，主要用于学院教职工基本工资、津补贴、奖金、绩效工资、社保公积金缴费和其他工资福利支出等；商品和服务支出</w:t>
      </w:r>
      <w:r>
        <w:rPr>
          <w:rFonts w:ascii="仿宋" w:hAnsi="仿宋" w:eastAsia="仿宋" w:cs="宋体"/>
          <w:color w:val="000000"/>
          <w:kern w:val="0"/>
          <w:sz w:val="32"/>
          <w:szCs w:val="32"/>
        </w:rPr>
        <w:t>4153.36</w:t>
      </w:r>
      <w:r>
        <w:rPr>
          <w:rFonts w:hint="eastAsia" w:ascii="仿宋" w:hAnsi="仿宋" w:eastAsia="仿宋" w:cs="宋体"/>
          <w:color w:val="000000"/>
          <w:kern w:val="0"/>
          <w:sz w:val="32"/>
          <w:szCs w:val="32"/>
        </w:rPr>
        <w:t>万元，占总支出的</w:t>
      </w:r>
      <w:r>
        <w:rPr>
          <w:rFonts w:ascii="仿宋" w:hAnsi="仿宋" w:eastAsia="仿宋" w:cs="宋体"/>
          <w:color w:val="000000"/>
          <w:kern w:val="0"/>
          <w:sz w:val="32"/>
          <w:szCs w:val="32"/>
        </w:rPr>
        <w:t>18.69</w:t>
      </w:r>
      <w:r>
        <w:rPr>
          <w:rFonts w:hint="eastAsia" w:ascii="仿宋" w:hAnsi="仿宋" w:eastAsia="仿宋" w:cs="宋体"/>
          <w:color w:val="000000"/>
          <w:kern w:val="0"/>
          <w:sz w:val="32"/>
          <w:szCs w:val="32"/>
        </w:rPr>
        <w:t>%，主要用于保障学院教学、科研等各项活动正常运转所产生的水电费、物业管理费、维修（护）费、专用材料费、劳务费以及其他商品和服务支出等；对个人和家庭的补助</w:t>
      </w:r>
      <w:r>
        <w:rPr>
          <w:rFonts w:ascii="仿宋" w:hAnsi="仿宋" w:eastAsia="仿宋" w:cs="宋体"/>
          <w:color w:val="000000"/>
          <w:kern w:val="0"/>
          <w:sz w:val="32"/>
          <w:szCs w:val="32"/>
        </w:rPr>
        <w:t>2733.78</w:t>
      </w:r>
      <w:r>
        <w:rPr>
          <w:rFonts w:hint="eastAsia" w:ascii="仿宋" w:hAnsi="仿宋" w:eastAsia="仿宋" w:cs="宋体"/>
          <w:color w:val="000000"/>
          <w:kern w:val="0"/>
          <w:sz w:val="32"/>
          <w:szCs w:val="32"/>
        </w:rPr>
        <w:t>万元，占总支出的</w:t>
      </w:r>
      <w:r>
        <w:rPr>
          <w:rFonts w:ascii="仿宋" w:hAnsi="仿宋" w:eastAsia="仿宋" w:cs="宋体"/>
          <w:color w:val="000000"/>
          <w:kern w:val="0"/>
          <w:sz w:val="32"/>
          <w:szCs w:val="32"/>
        </w:rPr>
        <w:t>12.3</w:t>
      </w:r>
      <w:r>
        <w:rPr>
          <w:rFonts w:hint="eastAsia" w:ascii="仿宋" w:hAnsi="仿宋" w:eastAsia="仿宋" w:cs="宋体"/>
          <w:color w:val="000000"/>
          <w:kern w:val="0"/>
          <w:sz w:val="32"/>
          <w:szCs w:val="32"/>
        </w:rPr>
        <w:t>%，主要用于学院的退休费、生活补助，学生奖助学金以及其他对个人和家庭的补助等；资本性支出（基本建设）</w:t>
      </w:r>
      <w:r>
        <w:rPr>
          <w:rFonts w:ascii="仿宋" w:hAnsi="仿宋" w:eastAsia="仿宋" w:cs="宋体"/>
          <w:color w:val="000000"/>
          <w:kern w:val="0"/>
          <w:sz w:val="32"/>
          <w:szCs w:val="32"/>
        </w:rPr>
        <w:t>1561.57</w:t>
      </w:r>
      <w:r>
        <w:rPr>
          <w:rFonts w:hint="eastAsia" w:ascii="仿宋" w:hAnsi="仿宋" w:eastAsia="仿宋" w:cs="宋体"/>
          <w:color w:val="000000"/>
          <w:kern w:val="0"/>
          <w:sz w:val="32"/>
          <w:szCs w:val="32"/>
        </w:rPr>
        <w:t>万元，占总支出的</w:t>
      </w:r>
      <w:r>
        <w:rPr>
          <w:rFonts w:ascii="仿宋" w:hAnsi="仿宋" w:eastAsia="仿宋" w:cs="宋体"/>
          <w:color w:val="000000"/>
          <w:kern w:val="0"/>
          <w:sz w:val="32"/>
          <w:szCs w:val="32"/>
        </w:rPr>
        <w:t>7.03</w:t>
      </w:r>
      <w:r>
        <w:rPr>
          <w:rFonts w:hint="eastAsia" w:ascii="仿宋" w:hAnsi="仿宋" w:eastAsia="仿宋" w:cs="宋体"/>
          <w:color w:val="000000"/>
          <w:kern w:val="0"/>
          <w:sz w:val="32"/>
          <w:szCs w:val="32"/>
        </w:rPr>
        <w:t>%，主要用于学生实验实训更新改造等。</w:t>
      </w:r>
      <w:r>
        <w:rPr>
          <w:rFonts w:ascii="仿宋" w:hAnsi="仿宋" w:eastAsia="仿宋" w:cs="宋体"/>
          <w:color w:val="000000"/>
          <w:kern w:val="0"/>
          <w:sz w:val="32"/>
          <w:szCs w:val="32"/>
        </w:rPr>
        <w:t xml:space="preserve"> </w:t>
      </w:r>
    </w:p>
    <w:p>
      <w:pPr>
        <w:widowControl/>
        <w:spacing w:line="640" w:lineRule="exact"/>
        <w:ind w:firstLine="640" w:firstLineChars="200"/>
        <w:jc w:val="left"/>
        <w:rPr>
          <w:rFonts w:ascii="黑体" w:hAnsi="黑体" w:eastAsia="黑体"/>
          <w:sz w:val="32"/>
          <w:szCs w:val="32"/>
        </w:rPr>
      </w:pPr>
      <w:r>
        <w:rPr>
          <w:rFonts w:ascii="黑体" w:hAnsi="黑体" w:eastAsia="黑体"/>
          <w:sz w:val="32"/>
          <w:szCs w:val="32"/>
        </w:rPr>
        <w:t>二、一般公共预算支出情况</w:t>
      </w:r>
    </w:p>
    <w:p>
      <w:pPr>
        <w:widowControl/>
        <w:spacing w:line="640" w:lineRule="exact"/>
        <w:ind w:firstLine="420"/>
        <w:jc w:val="left"/>
        <w:rPr>
          <w:rFonts w:ascii="华文楷体" w:hAnsi="华文楷体" w:eastAsia="华文楷体" w:cs="宋体"/>
          <w:b/>
          <w:color w:val="000000"/>
          <w:kern w:val="0"/>
          <w:sz w:val="32"/>
          <w:szCs w:val="32"/>
        </w:rPr>
      </w:pPr>
      <w:r>
        <w:rPr>
          <w:rFonts w:hint="eastAsia" w:ascii="华文楷体" w:hAnsi="华文楷体" w:eastAsia="华文楷体" w:cs="宋体"/>
          <w:b/>
          <w:bCs/>
          <w:color w:val="000000"/>
          <w:kern w:val="0"/>
          <w:sz w:val="32"/>
          <w:szCs w:val="32"/>
        </w:rPr>
        <w:t>（一）基本支出</w:t>
      </w:r>
    </w:p>
    <w:p>
      <w:pPr>
        <w:widowControl/>
        <w:spacing w:line="64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202</w:t>
      </w:r>
      <w:r>
        <w:rPr>
          <w:rFonts w:ascii="仿宋" w:hAnsi="仿宋" w:eastAsia="仿宋" w:cs="宋体"/>
          <w:color w:val="000000"/>
          <w:kern w:val="0"/>
          <w:sz w:val="32"/>
          <w:szCs w:val="32"/>
        </w:rPr>
        <w:t>2</w:t>
      </w:r>
      <w:r>
        <w:rPr>
          <w:rFonts w:hint="eastAsia" w:ascii="仿宋" w:hAnsi="仿宋" w:eastAsia="仿宋" w:cs="宋体"/>
          <w:color w:val="000000"/>
          <w:kern w:val="0"/>
          <w:sz w:val="32"/>
          <w:szCs w:val="32"/>
        </w:rPr>
        <w:t>年学院一般公共预算支出基本支出年初预算数</w:t>
      </w:r>
      <w:r>
        <w:rPr>
          <w:rFonts w:ascii="仿宋" w:hAnsi="仿宋" w:eastAsia="仿宋" w:cs="宋体"/>
          <w:color w:val="000000"/>
          <w:kern w:val="0"/>
          <w:sz w:val="32"/>
          <w:szCs w:val="32"/>
        </w:rPr>
        <w:t>13458.38</w:t>
      </w:r>
      <w:r>
        <w:rPr>
          <w:rFonts w:hint="eastAsia" w:ascii="仿宋" w:hAnsi="仿宋" w:eastAsia="仿宋" w:cs="宋体"/>
          <w:color w:val="000000"/>
          <w:kern w:val="0"/>
          <w:sz w:val="32"/>
          <w:szCs w:val="32"/>
        </w:rPr>
        <w:t>万元，决算数</w:t>
      </w:r>
      <w:r>
        <w:rPr>
          <w:rFonts w:ascii="仿宋" w:hAnsi="仿宋" w:eastAsia="仿宋" w:cs="宋体"/>
          <w:color w:val="000000"/>
          <w:kern w:val="0"/>
          <w:sz w:val="32"/>
          <w:szCs w:val="32"/>
        </w:rPr>
        <w:t>13425.73</w:t>
      </w:r>
      <w:r>
        <w:rPr>
          <w:rFonts w:hint="eastAsia" w:ascii="仿宋" w:hAnsi="仿宋" w:eastAsia="仿宋" w:cs="宋体"/>
          <w:color w:val="000000"/>
          <w:kern w:val="0"/>
          <w:sz w:val="32"/>
          <w:szCs w:val="32"/>
        </w:rPr>
        <w:t>万元，实际支出较年初预算少</w:t>
      </w:r>
      <w:r>
        <w:rPr>
          <w:rFonts w:ascii="仿宋" w:hAnsi="仿宋" w:eastAsia="仿宋" w:cs="宋体"/>
          <w:color w:val="000000"/>
          <w:kern w:val="0"/>
          <w:sz w:val="32"/>
          <w:szCs w:val="32"/>
        </w:rPr>
        <w:t>32.65</w:t>
      </w:r>
      <w:r>
        <w:rPr>
          <w:rFonts w:hint="eastAsia" w:ascii="仿宋" w:hAnsi="仿宋" w:eastAsia="仿宋" w:cs="宋体"/>
          <w:color w:val="000000"/>
          <w:kern w:val="0"/>
          <w:sz w:val="32"/>
          <w:szCs w:val="32"/>
        </w:rPr>
        <w:t>万元。</w:t>
      </w:r>
    </w:p>
    <w:p>
      <w:pPr>
        <w:widowControl/>
        <w:spacing w:line="640" w:lineRule="exact"/>
        <w:ind w:firstLine="640" w:firstLineChars="200"/>
        <w:rPr>
          <w:rFonts w:hint="eastAsia" w:ascii="仿宋" w:hAnsi="仿宋" w:eastAsia="仿宋" w:cs="宋体"/>
          <w:color w:val="000000"/>
          <w:kern w:val="0"/>
          <w:sz w:val="32"/>
          <w:szCs w:val="32"/>
        </w:rPr>
      </w:pPr>
    </w:p>
    <w:p>
      <w:pPr>
        <w:widowControl/>
        <w:spacing w:line="640" w:lineRule="exact"/>
        <w:ind w:firstLine="420"/>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202</w:t>
      </w:r>
      <w:r>
        <w:rPr>
          <w:rFonts w:ascii="仿宋" w:hAnsi="仿宋" w:eastAsia="仿宋" w:cs="宋体"/>
          <w:color w:val="000000"/>
          <w:kern w:val="0"/>
          <w:sz w:val="32"/>
          <w:szCs w:val="32"/>
        </w:rPr>
        <w:t>2</w:t>
      </w:r>
      <w:r>
        <w:rPr>
          <w:rFonts w:hint="eastAsia" w:ascii="仿宋" w:hAnsi="仿宋" w:eastAsia="仿宋" w:cs="宋体"/>
          <w:color w:val="000000"/>
          <w:kern w:val="0"/>
          <w:sz w:val="32"/>
          <w:szCs w:val="32"/>
        </w:rPr>
        <w:t>年一般公共预算基本支出预决算对比数据表</w:t>
      </w:r>
    </w:p>
    <w:p>
      <w:pPr>
        <w:widowControl/>
        <w:spacing w:line="640" w:lineRule="exact"/>
        <w:ind w:firstLine="420"/>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rPr>
        <w:t>单位：万元</w:t>
      </w:r>
    </w:p>
    <w:tbl>
      <w:tblPr>
        <w:tblStyle w:val="9"/>
        <w:tblW w:w="8356"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1977"/>
        <w:gridCol w:w="1984"/>
        <w:gridCol w:w="2308"/>
        <w:gridCol w:w="2087"/>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77" w:type="dxa"/>
            <w:tcBorders>
              <w:top w:val="single" w:color="000000" w:sz="6" w:space="0"/>
              <w:left w:val="single" w:color="000000" w:sz="6" w:space="0"/>
              <w:bottom w:val="single" w:color="000000" w:sz="6" w:space="0"/>
              <w:right w:val="single" w:color="000000" w:sz="6" w:space="0"/>
            </w:tcBorders>
            <w:noWrap/>
            <w:tcMar>
              <w:top w:w="30" w:type="dxa"/>
              <w:left w:w="45" w:type="dxa"/>
              <w:bottom w:w="30" w:type="dxa"/>
              <w:right w:w="45" w:type="dxa"/>
            </w:tcMar>
            <w:vAlign w:val="center"/>
          </w:tcPr>
          <w:p>
            <w:pPr>
              <w:widowControl/>
              <w:spacing w:line="640" w:lineRule="exact"/>
              <w:jc w:val="center"/>
              <w:rPr>
                <w:rFonts w:ascii="仿宋" w:hAnsi="仿宋" w:eastAsia="仿宋" w:cs="宋体"/>
                <w:kern w:val="0"/>
                <w:sz w:val="32"/>
                <w:szCs w:val="32"/>
              </w:rPr>
            </w:pPr>
            <w:r>
              <w:rPr>
                <w:rFonts w:ascii="仿宋" w:hAnsi="仿宋" w:eastAsia="仿宋" w:cs="宋体"/>
                <w:color w:val="000000"/>
                <w:kern w:val="0"/>
                <w:sz w:val="32"/>
                <w:szCs w:val="32"/>
              </w:rPr>
              <w:t>项目</w:t>
            </w:r>
          </w:p>
        </w:tc>
        <w:tc>
          <w:tcPr>
            <w:tcW w:w="1984" w:type="dxa"/>
            <w:tcBorders>
              <w:top w:val="single" w:color="000000" w:sz="6" w:space="0"/>
              <w:left w:val="single" w:color="000000" w:sz="6" w:space="0"/>
              <w:bottom w:val="single" w:color="000000" w:sz="6" w:space="0"/>
              <w:right w:val="single" w:color="000000" w:sz="6" w:space="0"/>
            </w:tcBorders>
            <w:noWrap/>
            <w:tcMar>
              <w:top w:w="30" w:type="dxa"/>
              <w:left w:w="45" w:type="dxa"/>
              <w:bottom w:w="30" w:type="dxa"/>
              <w:right w:w="45" w:type="dxa"/>
            </w:tcMar>
            <w:vAlign w:val="center"/>
          </w:tcPr>
          <w:p>
            <w:pPr>
              <w:widowControl/>
              <w:spacing w:line="640" w:lineRule="exact"/>
              <w:jc w:val="center"/>
              <w:rPr>
                <w:rFonts w:ascii="仿宋" w:hAnsi="仿宋" w:eastAsia="仿宋" w:cs="宋体"/>
                <w:kern w:val="0"/>
                <w:sz w:val="32"/>
                <w:szCs w:val="32"/>
              </w:rPr>
            </w:pPr>
            <w:r>
              <w:rPr>
                <w:rFonts w:ascii="仿宋" w:hAnsi="仿宋" w:eastAsia="仿宋" w:cs="宋体"/>
                <w:color w:val="000000"/>
                <w:kern w:val="0"/>
                <w:sz w:val="32"/>
                <w:szCs w:val="32"/>
              </w:rPr>
              <w:t>2022年预算</w:t>
            </w:r>
          </w:p>
        </w:tc>
        <w:tc>
          <w:tcPr>
            <w:tcW w:w="2308" w:type="dxa"/>
            <w:tcBorders>
              <w:top w:val="single" w:color="000000" w:sz="6" w:space="0"/>
              <w:left w:val="single" w:color="000000" w:sz="6" w:space="0"/>
              <w:bottom w:val="single" w:color="000000" w:sz="6" w:space="0"/>
              <w:right w:val="single" w:color="000000" w:sz="6" w:space="0"/>
            </w:tcBorders>
            <w:noWrap/>
            <w:tcMar>
              <w:top w:w="30" w:type="dxa"/>
              <w:left w:w="45" w:type="dxa"/>
              <w:bottom w:w="30" w:type="dxa"/>
              <w:right w:w="45" w:type="dxa"/>
            </w:tcMar>
            <w:vAlign w:val="center"/>
          </w:tcPr>
          <w:p>
            <w:pPr>
              <w:widowControl/>
              <w:spacing w:line="640" w:lineRule="exact"/>
              <w:jc w:val="center"/>
              <w:rPr>
                <w:rFonts w:ascii="仿宋" w:hAnsi="仿宋" w:eastAsia="仿宋" w:cs="宋体"/>
                <w:kern w:val="0"/>
                <w:sz w:val="32"/>
                <w:szCs w:val="32"/>
              </w:rPr>
            </w:pPr>
            <w:r>
              <w:rPr>
                <w:rFonts w:ascii="仿宋" w:hAnsi="仿宋" w:eastAsia="仿宋" w:cs="宋体"/>
                <w:color w:val="000000"/>
                <w:kern w:val="0"/>
                <w:sz w:val="32"/>
                <w:szCs w:val="32"/>
              </w:rPr>
              <w:t>2022年决算</w:t>
            </w:r>
          </w:p>
        </w:tc>
        <w:tc>
          <w:tcPr>
            <w:tcW w:w="2087" w:type="dxa"/>
            <w:tcBorders>
              <w:top w:val="single" w:color="000000" w:sz="6" w:space="0"/>
              <w:left w:val="single" w:color="000000" w:sz="6" w:space="0"/>
              <w:bottom w:val="single" w:color="000000" w:sz="6" w:space="0"/>
              <w:right w:val="single" w:color="000000" w:sz="6" w:space="0"/>
            </w:tcBorders>
            <w:noWrap/>
            <w:tcMar>
              <w:top w:w="30" w:type="dxa"/>
              <w:left w:w="45" w:type="dxa"/>
              <w:bottom w:w="30" w:type="dxa"/>
              <w:right w:w="45" w:type="dxa"/>
            </w:tcMar>
            <w:vAlign w:val="center"/>
          </w:tcPr>
          <w:p>
            <w:pPr>
              <w:widowControl/>
              <w:spacing w:line="640" w:lineRule="exact"/>
              <w:jc w:val="center"/>
              <w:rPr>
                <w:rFonts w:ascii="仿宋" w:hAnsi="仿宋" w:eastAsia="仿宋" w:cs="宋体"/>
                <w:kern w:val="0"/>
                <w:sz w:val="32"/>
                <w:szCs w:val="32"/>
              </w:rPr>
            </w:pPr>
            <w:r>
              <w:rPr>
                <w:rFonts w:hint="eastAsia" w:ascii="仿宋" w:hAnsi="仿宋" w:eastAsia="仿宋" w:cs="宋体"/>
                <w:color w:val="000000"/>
                <w:kern w:val="0"/>
                <w:sz w:val="32"/>
                <w:szCs w:val="32"/>
              </w:rPr>
              <w:t>较</w:t>
            </w:r>
            <w:r>
              <w:rPr>
                <w:rFonts w:ascii="仿宋" w:hAnsi="仿宋" w:eastAsia="仿宋" w:cs="宋体"/>
                <w:color w:val="000000"/>
                <w:kern w:val="0"/>
                <w:sz w:val="32"/>
                <w:szCs w:val="32"/>
              </w:rPr>
              <w:t>预算增减额</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77" w:type="dxa"/>
            <w:tcBorders>
              <w:top w:val="single" w:color="000000" w:sz="6" w:space="0"/>
              <w:left w:val="single" w:color="000000" w:sz="6" w:space="0"/>
              <w:bottom w:val="single" w:color="000000" w:sz="6" w:space="0"/>
              <w:right w:val="single" w:color="000000" w:sz="6" w:space="0"/>
            </w:tcBorders>
            <w:noWrap/>
            <w:tcMar>
              <w:top w:w="30" w:type="dxa"/>
              <w:left w:w="45" w:type="dxa"/>
              <w:bottom w:w="30" w:type="dxa"/>
              <w:right w:w="45" w:type="dxa"/>
            </w:tcMar>
            <w:vAlign w:val="center"/>
          </w:tcPr>
          <w:p>
            <w:pPr>
              <w:widowControl/>
              <w:spacing w:line="640" w:lineRule="exact"/>
              <w:jc w:val="center"/>
              <w:rPr>
                <w:rFonts w:ascii="仿宋" w:hAnsi="仿宋" w:eastAsia="仿宋" w:cs="宋体"/>
                <w:kern w:val="0"/>
                <w:sz w:val="32"/>
                <w:szCs w:val="32"/>
              </w:rPr>
            </w:pPr>
            <w:r>
              <w:rPr>
                <w:rFonts w:ascii="仿宋" w:hAnsi="仿宋" w:eastAsia="仿宋" w:cs="宋体"/>
                <w:color w:val="000000"/>
                <w:kern w:val="0"/>
                <w:sz w:val="32"/>
                <w:szCs w:val="32"/>
              </w:rPr>
              <w:t>工资福利支出</w:t>
            </w:r>
          </w:p>
        </w:tc>
        <w:tc>
          <w:tcPr>
            <w:tcW w:w="1984" w:type="dxa"/>
            <w:tcBorders>
              <w:top w:val="single" w:color="000000" w:sz="6" w:space="0"/>
              <w:left w:val="single" w:color="000000" w:sz="6" w:space="0"/>
              <w:bottom w:val="single" w:color="000000" w:sz="6" w:space="0"/>
              <w:right w:val="single" w:color="000000" w:sz="6" w:space="0"/>
            </w:tcBorders>
            <w:noWrap/>
            <w:tcMar>
              <w:top w:w="30" w:type="dxa"/>
              <w:left w:w="45" w:type="dxa"/>
              <w:bottom w:w="30" w:type="dxa"/>
              <w:right w:w="45" w:type="dxa"/>
            </w:tcMar>
            <w:vAlign w:val="center"/>
          </w:tcPr>
          <w:p>
            <w:pPr>
              <w:widowControl/>
              <w:spacing w:line="640" w:lineRule="exact"/>
              <w:jc w:val="center"/>
              <w:rPr>
                <w:rFonts w:ascii="仿宋" w:hAnsi="仿宋" w:eastAsia="仿宋" w:cs="宋体"/>
                <w:kern w:val="0"/>
                <w:sz w:val="32"/>
                <w:szCs w:val="32"/>
              </w:rPr>
            </w:pPr>
            <w:r>
              <w:rPr>
                <w:rFonts w:ascii="仿宋" w:hAnsi="仿宋" w:eastAsia="仿宋" w:cs="宋体"/>
                <w:kern w:val="0"/>
                <w:sz w:val="32"/>
                <w:szCs w:val="32"/>
              </w:rPr>
              <w:t>12238.11</w:t>
            </w:r>
          </w:p>
        </w:tc>
        <w:tc>
          <w:tcPr>
            <w:tcW w:w="2308" w:type="dxa"/>
            <w:tcBorders>
              <w:top w:val="single" w:color="000000" w:sz="6" w:space="0"/>
              <w:left w:val="single" w:color="000000" w:sz="6" w:space="0"/>
              <w:bottom w:val="single" w:color="000000" w:sz="6" w:space="0"/>
              <w:right w:val="single" w:color="000000" w:sz="6" w:space="0"/>
            </w:tcBorders>
            <w:noWrap/>
            <w:tcMar>
              <w:top w:w="30" w:type="dxa"/>
              <w:left w:w="45" w:type="dxa"/>
              <w:bottom w:w="30" w:type="dxa"/>
              <w:right w:w="45" w:type="dxa"/>
            </w:tcMar>
            <w:vAlign w:val="center"/>
          </w:tcPr>
          <w:p>
            <w:pPr>
              <w:widowControl/>
              <w:spacing w:line="640" w:lineRule="exact"/>
              <w:jc w:val="center"/>
              <w:rPr>
                <w:rFonts w:ascii="仿宋" w:hAnsi="仿宋" w:eastAsia="仿宋" w:cs="宋体"/>
                <w:kern w:val="0"/>
                <w:sz w:val="32"/>
                <w:szCs w:val="32"/>
              </w:rPr>
            </w:pPr>
            <w:r>
              <w:rPr>
                <w:rFonts w:hint="eastAsia" w:ascii="仿宋" w:hAnsi="仿宋" w:eastAsia="仿宋" w:cs="宋体"/>
                <w:kern w:val="0"/>
                <w:sz w:val="32"/>
                <w:szCs w:val="32"/>
              </w:rPr>
              <w:t>12081.16</w:t>
            </w:r>
          </w:p>
        </w:tc>
        <w:tc>
          <w:tcPr>
            <w:tcW w:w="2087" w:type="dxa"/>
            <w:tcBorders>
              <w:top w:val="single" w:color="000000" w:sz="6" w:space="0"/>
              <w:left w:val="single" w:color="000000" w:sz="6" w:space="0"/>
              <w:bottom w:val="single" w:color="000000" w:sz="6" w:space="0"/>
              <w:right w:val="single" w:color="000000" w:sz="6" w:space="0"/>
            </w:tcBorders>
            <w:noWrap/>
            <w:tcMar>
              <w:top w:w="30" w:type="dxa"/>
              <w:left w:w="45" w:type="dxa"/>
              <w:bottom w:w="30" w:type="dxa"/>
              <w:right w:w="45" w:type="dxa"/>
            </w:tcMar>
            <w:vAlign w:val="center"/>
          </w:tcPr>
          <w:p>
            <w:pPr>
              <w:widowControl/>
              <w:spacing w:line="640" w:lineRule="exact"/>
              <w:jc w:val="center"/>
              <w:rPr>
                <w:rFonts w:ascii="仿宋" w:hAnsi="仿宋" w:eastAsia="仿宋" w:cs="宋体"/>
                <w:kern w:val="0"/>
                <w:sz w:val="32"/>
                <w:szCs w:val="32"/>
              </w:rPr>
            </w:pPr>
            <w:r>
              <w:rPr>
                <w:rFonts w:hint="eastAsia" w:ascii="仿宋" w:hAnsi="仿宋" w:eastAsia="仿宋" w:cs="宋体"/>
                <w:kern w:val="0"/>
                <w:sz w:val="32"/>
                <w:szCs w:val="32"/>
              </w:rPr>
              <w:t>-156.95</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77" w:type="dxa"/>
            <w:tcBorders>
              <w:top w:val="single" w:color="000000" w:sz="6" w:space="0"/>
              <w:left w:val="single" w:color="000000" w:sz="6" w:space="0"/>
              <w:bottom w:val="single" w:color="000000" w:sz="6" w:space="0"/>
              <w:right w:val="single" w:color="000000" w:sz="6" w:space="0"/>
            </w:tcBorders>
            <w:noWrap/>
            <w:tcMar>
              <w:top w:w="30" w:type="dxa"/>
              <w:left w:w="45" w:type="dxa"/>
              <w:bottom w:w="30" w:type="dxa"/>
              <w:right w:w="45" w:type="dxa"/>
            </w:tcMar>
            <w:vAlign w:val="center"/>
          </w:tcPr>
          <w:p>
            <w:pPr>
              <w:widowControl/>
              <w:spacing w:line="640" w:lineRule="exact"/>
              <w:jc w:val="center"/>
              <w:rPr>
                <w:rFonts w:ascii="仿宋" w:hAnsi="仿宋" w:eastAsia="仿宋" w:cs="宋体"/>
                <w:kern w:val="0"/>
                <w:sz w:val="32"/>
                <w:szCs w:val="32"/>
              </w:rPr>
            </w:pPr>
            <w:r>
              <w:rPr>
                <w:rFonts w:ascii="仿宋" w:hAnsi="仿宋" w:eastAsia="仿宋" w:cs="宋体"/>
                <w:color w:val="000000"/>
                <w:kern w:val="0"/>
                <w:sz w:val="32"/>
                <w:szCs w:val="32"/>
              </w:rPr>
              <w:t>商品和服务支出</w:t>
            </w:r>
          </w:p>
        </w:tc>
        <w:tc>
          <w:tcPr>
            <w:tcW w:w="1984" w:type="dxa"/>
            <w:tcBorders>
              <w:top w:val="single" w:color="000000" w:sz="6" w:space="0"/>
              <w:left w:val="single" w:color="000000" w:sz="6" w:space="0"/>
              <w:bottom w:val="single" w:color="000000" w:sz="6" w:space="0"/>
              <w:right w:val="single" w:color="000000" w:sz="6" w:space="0"/>
            </w:tcBorders>
            <w:noWrap/>
            <w:tcMar>
              <w:top w:w="30" w:type="dxa"/>
              <w:left w:w="45" w:type="dxa"/>
              <w:bottom w:w="30" w:type="dxa"/>
              <w:right w:w="45" w:type="dxa"/>
            </w:tcMar>
            <w:vAlign w:val="center"/>
          </w:tcPr>
          <w:p>
            <w:pPr>
              <w:widowControl/>
              <w:spacing w:line="640" w:lineRule="exact"/>
              <w:jc w:val="center"/>
              <w:rPr>
                <w:rFonts w:ascii="仿宋" w:hAnsi="仿宋" w:eastAsia="仿宋" w:cs="宋体"/>
                <w:kern w:val="0"/>
                <w:sz w:val="32"/>
                <w:szCs w:val="32"/>
              </w:rPr>
            </w:pPr>
            <w:r>
              <w:rPr>
                <w:rFonts w:ascii="仿宋" w:hAnsi="仿宋" w:eastAsia="仿宋" w:cs="宋体"/>
                <w:kern w:val="0"/>
                <w:sz w:val="32"/>
                <w:szCs w:val="32"/>
              </w:rPr>
              <w:t>376.71</w:t>
            </w:r>
          </w:p>
        </w:tc>
        <w:tc>
          <w:tcPr>
            <w:tcW w:w="2308" w:type="dxa"/>
            <w:tcBorders>
              <w:top w:val="single" w:color="000000" w:sz="6" w:space="0"/>
              <w:left w:val="single" w:color="000000" w:sz="6" w:space="0"/>
              <w:bottom w:val="single" w:color="000000" w:sz="6" w:space="0"/>
              <w:right w:val="single" w:color="000000" w:sz="6" w:space="0"/>
            </w:tcBorders>
            <w:noWrap/>
            <w:tcMar>
              <w:top w:w="30" w:type="dxa"/>
              <w:left w:w="45" w:type="dxa"/>
              <w:bottom w:w="30" w:type="dxa"/>
              <w:right w:w="45" w:type="dxa"/>
            </w:tcMar>
            <w:vAlign w:val="center"/>
          </w:tcPr>
          <w:p>
            <w:pPr>
              <w:widowControl/>
              <w:spacing w:line="640" w:lineRule="exact"/>
              <w:jc w:val="center"/>
              <w:rPr>
                <w:rFonts w:ascii="仿宋" w:hAnsi="仿宋" w:eastAsia="仿宋" w:cs="宋体"/>
                <w:kern w:val="0"/>
                <w:sz w:val="32"/>
                <w:szCs w:val="32"/>
              </w:rPr>
            </w:pPr>
            <w:r>
              <w:rPr>
                <w:rFonts w:hint="eastAsia" w:ascii="仿宋" w:hAnsi="仿宋" w:eastAsia="仿宋" w:cs="宋体"/>
                <w:kern w:val="0"/>
                <w:sz w:val="32"/>
                <w:szCs w:val="32"/>
              </w:rPr>
              <w:t>304.95</w:t>
            </w:r>
          </w:p>
        </w:tc>
        <w:tc>
          <w:tcPr>
            <w:tcW w:w="2087" w:type="dxa"/>
            <w:tcBorders>
              <w:top w:val="single" w:color="000000" w:sz="6" w:space="0"/>
              <w:left w:val="single" w:color="000000" w:sz="6" w:space="0"/>
              <w:bottom w:val="single" w:color="000000" w:sz="6" w:space="0"/>
              <w:right w:val="single" w:color="000000" w:sz="6" w:space="0"/>
            </w:tcBorders>
            <w:noWrap/>
            <w:tcMar>
              <w:top w:w="30" w:type="dxa"/>
              <w:left w:w="45" w:type="dxa"/>
              <w:bottom w:w="30" w:type="dxa"/>
              <w:right w:w="45" w:type="dxa"/>
            </w:tcMar>
            <w:vAlign w:val="center"/>
          </w:tcPr>
          <w:p>
            <w:pPr>
              <w:widowControl/>
              <w:spacing w:line="640" w:lineRule="exact"/>
              <w:jc w:val="center"/>
              <w:rPr>
                <w:rFonts w:ascii="仿宋" w:hAnsi="仿宋" w:eastAsia="仿宋" w:cs="宋体"/>
                <w:kern w:val="0"/>
                <w:sz w:val="32"/>
                <w:szCs w:val="32"/>
              </w:rPr>
            </w:pPr>
            <w:r>
              <w:rPr>
                <w:rFonts w:hint="eastAsia" w:ascii="仿宋" w:hAnsi="仿宋" w:eastAsia="仿宋" w:cs="宋体"/>
                <w:kern w:val="0"/>
                <w:sz w:val="32"/>
                <w:szCs w:val="32"/>
              </w:rPr>
              <w:t>-71.76</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77" w:type="dxa"/>
            <w:tcBorders>
              <w:top w:val="single" w:color="000000" w:sz="6" w:space="0"/>
              <w:left w:val="single" w:color="000000" w:sz="6" w:space="0"/>
              <w:bottom w:val="single" w:color="000000" w:sz="6" w:space="0"/>
              <w:right w:val="single" w:color="000000" w:sz="6" w:space="0"/>
            </w:tcBorders>
            <w:noWrap/>
            <w:tcMar>
              <w:top w:w="30" w:type="dxa"/>
              <w:left w:w="45" w:type="dxa"/>
              <w:bottom w:w="30" w:type="dxa"/>
              <w:right w:w="45" w:type="dxa"/>
            </w:tcMar>
            <w:vAlign w:val="center"/>
          </w:tcPr>
          <w:p>
            <w:pPr>
              <w:widowControl/>
              <w:spacing w:line="640" w:lineRule="exact"/>
              <w:jc w:val="center"/>
              <w:rPr>
                <w:rFonts w:ascii="仿宋" w:hAnsi="仿宋" w:eastAsia="仿宋" w:cs="宋体"/>
                <w:kern w:val="0"/>
                <w:sz w:val="32"/>
                <w:szCs w:val="32"/>
              </w:rPr>
            </w:pPr>
            <w:r>
              <w:rPr>
                <w:rFonts w:ascii="仿宋" w:hAnsi="仿宋" w:eastAsia="仿宋" w:cs="宋体"/>
                <w:color w:val="000000"/>
                <w:kern w:val="0"/>
                <w:sz w:val="32"/>
                <w:szCs w:val="32"/>
              </w:rPr>
              <w:t>对个人和家庭补助支出</w:t>
            </w:r>
          </w:p>
        </w:tc>
        <w:tc>
          <w:tcPr>
            <w:tcW w:w="1984" w:type="dxa"/>
            <w:tcBorders>
              <w:top w:val="single" w:color="000000" w:sz="6" w:space="0"/>
              <w:left w:val="single" w:color="000000" w:sz="6" w:space="0"/>
              <w:bottom w:val="single" w:color="000000" w:sz="6" w:space="0"/>
              <w:right w:val="single" w:color="000000" w:sz="6" w:space="0"/>
            </w:tcBorders>
            <w:noWrap/>
            <w:tcMar>
              <w:top w:w="30" w:type="dxa"/>
              <w:left w:w="45" w:type="dxa"/>
              <w:bottom w:w="30" w:type="dxa"/>
              <w:right w:w="45" w:type="dxa"/>
            </w:tcMar>
            <w:vAlign w:val="center"/>
          </w:tcPr>
          <w:p>
            <w:pPr>
              <w:widowControl/>
              <w:spacing w:line="640" w:lineRule="exact"/>
              <w:jc w:val="center"/>
              <w:rPr>
                <w:rFonts w:ascii="仿宋" w:hAnsi="仿宋" w:eastAsia="仿宋" w:cs="宋体"/>
                <w:kern w:val="0"/>
                <w:sz w:val="32"/>
                <w:szCs w:val="32"/>
              </w:rPr>
            </w:pPr>
            <w:r>
              <w:rPr>
                <w:rFonts w:ascii="仿宋" w:hAnsi="仿宋" w:eastAsia="仿宋" w:cs="宋体"/>
                <w:kern w:val="0"/>
                <w:sz w:val="32"/>
                <w:szCs w:val="32"/>
              </w:rPr>
              <w:t>843.56</w:t>
            </w:r>
          </w:p>
        </w:tc>
        <w:tc>
          <w:tcPr>
            <w:tcW w:w="2308" w:type="dxa"/>
            <w:tcBorders>
              <w:top w:val="single" w:color="000000" w:sz="6" w:space="0"/>
              <w:left w:val="single" w:color="000000" w:sz="6" w:space="0"/>
              <w:bottom w:val="single" w:color="000000" w:sz="6" w:space="0"/>
              <w:right w:val="single" w:color="000000" w:sz="6" w:space="0"/>
            </w:tcBorders>
            <w:noWrap/>
            <w:tcMar>
              <w:top w:w="30" w:type="dxa"/>
              <w:left w:w="45" w:type="dxa"/>
              <w:bottom w:w="30" w:type="dxa"/>
              <w:right w:w="45" w:type="dxa"/>
            </w:tcMar>
            <w:vAlign w:val="center"/>
          </w:tcPr>
          <w:p>
            <w:pPr>
              <w:widowControl/>
              <w:spacing w:line="640" w:lineRule="exact"/>
              <w:jc w:val="center"/>
              <w:rPr>
                <w:rFonts w:ascii="仿宋" w:hAnsi="仿宋" w:eastAsia="仿宋" w:cs="宋体"/>
                <w:kern w:val="0"/>
                <w:sz w:val="32"/>
                <w:szCs w:val="32"/>
              </w:rPr>
            </w:pPr>
            <w:r>
              <w:rPr>
                <w:rFonts w:hint="eastAsia" w:ascii="仿宋" w:hAnsi="仿宋" w:eastAsia="仿宋" w:cs="宋体"/>
                <w:kern w:val="0"/>
                <w:sz w:val="32"/>
                <w:szCs w:val="32"/>
              </w:rPr>
              <w:t>1039.62</w:t>
            </w:r>
          </w:p>
        </w:tc>
        <w:tc>
          <w:tcPr>
            <w:tcW w:w="2087" w:type="dxa"/>
            <w:tcBorders>
              <w:top w:val="single" w:color="000000" w:sz="6" w:space="0"/>
              <w:left w:val="single" w:color="000000" w:sz="6" w:space="0"/>
              <w:bottom w:val="single" w:color="000000" w:sz="6" w:space="0"/>
              <w:right w:val="single" w:color="000000" w:sz="6" w:space="0"/>
            </w:tcBorders>
            <w:noWrap/>
            <w:tcMar>
              <w:top w:w="30" w:type="dxa"/>
              <w:left w:w="45" w:type="dxa"/>
              <w:bottom w:w="30" w:type="dxa"/>
              <w:right w:w="45" w:type="dxa"/>
            </w:tcMar>
            <w:vAlign w:val="center"/>
          </w:tcPr>
          <w:p>
            <w:pPr>
              <w:widowControl/>
              <w:spacing w:line="640" w:lineRule="exact"/>
              <w:jc w:val="center"/>
              <w:rPr>
                <w:rFonts w:ascii="仿宋" w:hAnsi="仿宋" w:eastAsia="仿宋" w:cs="宋体"/>
                <w:kern w:val="0"/>
                <w:sz w:val="32"/>
                <w:szCs w:val="32"/>
              </w:rPr>
            </w:pPr>
            <w:r>
              <w:rPr>
                <w:rFonts w:hint="eastAsia" w:ascii="仿宋" w:hAnsi="仿宋" w:eastAsia="仿宋" w:cs="宋体"/>
                <w:kern w:val="0"/>
                <w:sz w:val="32"/>
                <w:szCs w:val="32"/>
              </w:rPr>
              <w:t>196.06</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977" w:type="dxa"/>
            <w:tcBorders>
              <w:top w:val="single" w:color="000000" w:sz="6" w:space="0"/>
              <w:left w:val="single" w:color="000000" w:sz="6" w:space="0"/>
              <w:bottom w:val="single" w:color="000000" w:sz="6" w:space="0"/>
              <w:right w:val="single" w:color="000000" w:sz="6" w:space="0"/>
            </w:tcBorders>
            <w:noWrap/>
            <w:tcMar>
              <w:top w:w="30" w:type="dxa"/>
              <w:left w:w="45" w:type="dxa"/>
              <w:bottom w:w="30" w:type="dxa"/>
              <w:right w:w="45" w:type="dxa"/>
            </w:tcMar>
            <w:vAlign w:val="center"/>
          </w:tcPr>
          <w:p>
            <w:pPr>
              <w:widowControl/>
              <w:spacing w:line="640" w:lineRule="exact"/>
              <w:jc w:val="center"/>
              <w:rPr>
                <w:rFonts w:ascii="仿宋" w:hAnsi="仿宋" w:eastAsia="仿宋" w:cs="宋体"/>
                <w:kern w:val="0"/>
                <w:sz w:val="32"/>
                <w:szCs w:val="32"/>
              </w:rPr>
            </w:pPr>
            <w:r>
              <w:rPr>
                <w:rFonts w:ascii="仿宋" w:hAnsi="仿宋" w:eastAsia="仿宋" w:cs="宋体"/>
                <w:color w:val="000000"/>
                <w:kern w:val="0"/>
                <w:sz w:val="32"/>
                <w:szCs w:val="32"/>
              </w:rPr>
              <w:t>合计</w:t>
            </w:r>
          </w:p>
        </w:tc>
        <w:tc>
          <w:tcPr>
            <w:tcW w:w="1984" w:type="dxa"/>
            <w:tcBorders>
              <w:top w:val="single" w:color="000000" w:sz="6" w:space="0"/>
              <w:left w:val="single" w:color="000000" w:sz="6" w:space="0"/>
              <w:bottom w:val="single" w:color="000000" w:sz="6" w:space="0"/>
              <w:right w:val="single" w:color="000000" w:sz="6" w:space="0"/>
            </w:tcBorders>
            <w:noWrap/>
            <w:tcMar>
              <w:top w:w="30" w:type="dxa"/>
              <w:left w:w="45" w:type="dxa"/>
              <w:bottom w:w="30" w:type="dxa"/>
              <w:right w:w="45" w:type="dxa"/>
            </w:tcMar>
            <w:vAlign w:val="center"/>
          </w:tcPr>
          <w:p>
            <w:pPr>
              <w:widowControl/>
              <w:spacing w:line="640" w:lineRule="exact"/>
              <w:jc w:val="center"/>
              <w:rPr>
                <w:rFonts w:ascii="仿宋" w:hAnsi="仿宋" w:eastAsia="仿宋" w:cs="宋体"/>
                <w:kern w:val="0"/>
                <w:sz w:val="32"/>
                <w:szCs w:val="32"/>
              </w:rPr>
            </w:pPr>
            <w:r>
              <w:rPr>
                <w:rFonts w:ascii="仿宋" w:hAnsi="仿宋" w:eastAsia="仿宋" w:cs="宋体"/>
                <w:kern w:val="0"/>
                <w:sz w:val="32"/>
                <w:szCs w:val="32"/>
              </w:rPr>
              <w:t>13458.38</w:t>
            </w:r>
          </w:p>
        </w:tc>
        <w:tc>
          <w:tcPr>
            <w:tcW w:w="2308" w:type="dxa"/>
            <w:tcBorders>
              <w:top w:val="single" w:color="000000" w:sz="6" w:space="0"/>
              <w:left w:val="single" w:color="000000" w:sz="6" w:space="0"/>
              <w:bottom w:val="single" w:color="000000" w:sz="6" w:space="0"/>
              <w:right w:val="single" w:color="000000" w:sz="6" w:space="0"/>
            </w:tcBorders>
            <w:noWrap/>
            <w:tcMar>
              <w:top w:w="30" w:type="dxa"/>
              <w:left w:w="45" w:type="dxa"/>
              <w:bottom w:w="30" w:type="dxa"/>
              <w:right w:w="45" w:type="dxa"/>
            </w:tcMar>
            <w:vAlign w:val="center"/>
          </w:tcPr>
          <w:p>
            <w:pPr>
              <w:widowControl/>
              <w:spacing w:line="640" w:lineRule="exact"/>
              <w:jc w:val="center"/>
              <w:rPr>
                <w:rFonts w:ascii="仿宋" w:hAnsi="仿宋" w:eastAsia="仿宋" w:cs="宋体"/>
                <w:kern w:val="0"/>
                <w:sz w:val="32"/>
                <w:szCs w:val="32"/>
              </w:rPr>
            </w:pPr>
            <w:r>
              <w:rPr>
                <w:rFonts w:hint="eastAsia" w:ascii="仿宋" w:hAnsi="仿宋" w:eastAsia="仿宋" w:cs="宋体"/>
                <w:kern w:val="0"/>
                <w:sz w:val="32"/>
                <w:szCs w:val="32"/>
              </w:rPr>
              <w:t>13425.73</w:t>
            </w:r>
          </w:p>
        </w:tc>
        <w:tc>
          <w:tcPr>
            <w:tcW w:w="2087" w:type="dxa"/>
            <w:tcBorders>
              <w:top w:val="single" w:color="000000" w:sz="6" w:space="0"/>
              <w:left w:val="single" w:color="000000" w:sz="6" w:space="0"/>
              <w:bottom w:val="single" w:color="000000" w:sz="6" w:space="0"/>
              <w:right w:val="single" w:color="000000" w:sz="6" w:space="0"/>
            </w:tcBorders>
            <w:noWrap/>
            <w:tcMar>
              <w:top w:w="30" w:type="dxa"/>
              <w:left w:w="45" w:type="dxa"/>
              <w:bottom w:w="30" w:type="dxa"/>
              <w:right w:w="45" w:type="dxa"/>
            </w:tcMar>
            <w:vAlign w:val="center"/>
          </w:tcPr>
          <w:p>
            <w:pPr>
              <w:widowControl/>
              <w:spacing w:line="640" w:lineRule="exact"/>
              <w:jc w:val="center"/>
              <w:rPr>
                <w:rFonts w:ascii="仿宋" w:hAnsi="仿宋" w:eastAsia="仿宋" w:cs="宋体"/>
                <w:kern w:val="0"/>
                <w:sz w:val="32"/>
                <w:szCs w:val="32"/>
              </w:rPr>
            </w:pPr>
            <w:r>
              <w:rPr>
                <w:rFonts w:hint="eastAsia" w:ascii="仿宋" w:hAnsi="仿宋" w:eastAsia="仿宋" w:cs="宋体"/>
                <w:kern w:val="0"/>
                <w:sz w:val="32"/>
                <w:szCs w:val="32"/>
              </w:rPr>
              <w:t>-32.65</w:t>
            </w:r>
          </w:p>
        </w:tc>
      </w:tr>
    </w:tbl>
    <w:p>
      <w:pPr>
        <w:widowControl/>
        <w:spacing w:line="640" w:lineRule="exact"/>
        <w:ind w:firstLine="640" w:firstLineChars="200"/>
        <w:jc w:val="left"/>
        <w:rPr>
          <w:rFonts w:ascii="仿宋" w:hAnsi="仿宋" w:eastAsia="仿宋" w:cs="宋体"/>
          <w:color w:val="FF0000"/>
          <w:kern w:val="0"/>
          <w:sz w:val="32"/>
          <w:szCs w:val="32"/>
        </w:rPr>
      </w:pPr>
    </w:p>
    <w:p>
      <w:pPr>
        <w:widowControl/>
        <w:spacing w:line="640" w:lineRule="exact"/>
        <w:ind w:firstLine="640" w:firstLineChars="200"/>
        <w:jc w:val="both"/>
        <w:rPr>
          <w:rFonts w:ascii="仿宋" w:hAnsi="仿宋" w:eastAsia="仿宋" w:cs="宋体"/>
          <w:color w:val="FF0000"/>
          <w:kern w:val="0"/>
          <w:sz w:val="32"/>
          <w:szCs w:val="32"/>
        </w:rPr>
      </w:pPr>
      <w:r>
        <w:rPr>
          <w:rFonts w:hint="eastAsia" w:ascii="仿宋" w:hAnsi="仿宋" w:eastAsia="仿宋" w:cs="宋体"/>
          <w:color w:val="FF0000"/>
          <w:kern w:val="0"/>
          <w:sz w:val="32"/>
          <w:szCs w:val="32"/>
        </w:rPr>
        <w:t>市财政局对学院目前实施的是财政生均拨款总额包干拨款机制，学院所有部门预算的调整，全部依据政策，报市财政相关部门审核批准后实施。学院202</w:t>
      </w:r>
      <w:r>
        <w:rPr>
          <w:rFonts w:ascii="仿宋" w:hAnsi="仿宋" w:eastAsia="仿宋" w:cs="宋体"/>
          <w:color w:val="FF0000"/>
          <w:kern w:val="0"/>
          <w:sz w:val="32"/>
          <w:szCs w:val="32"/>
        </w:rPr>
        <w:t>2</w:t>
      </w:r>
      <w:r>
        <w:rPr>
          <w:rFonts w:hint="eastAsia" w:ascii="仿宋" w:hAnsi="仿宋" w:eastAsia="仿宋" w:cs="宋体"/>
          <w:color w:val="FF0000"/>
          <w:kern w:val="0"/>
          <w:sz w:val="32"/>
          <w:szCs w:val="32"/>
        </w:rPr>
        <w:t>年一般公共预算基本支出增减变动的主要原因有：</w:t>
      </w:r>
    </w:p>
    <w:p>
      <w:pPr>
        <w:widowControl/>
        <w:spacing w:line="640" w:lineRule="exac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202</w:t>
      </w:r>
      <w:r>
        <w:rPr>
          <w:rFonts w:ascii="仿宋" w:hAnsi="仿宋" w:eastAsia="仿宋" w:cs="宋体"/>
          <w:color w:val="000000"/>
          <w:kern w:val="0"/>
          <w:sz w:val="32"/>
          <w:szCs w:val="32"/>
        </w:rPr>
        <w:t>2</w:t>
      </w:r>
      <w:r>
        <w:rPr>
          <w:rFonts w:hint="eastAsia" w:ascii="仿宋" w:hAnsi="仿宋" w:eastAsia="仿宋" w:cs="宋体"/>
          <w:color w:val="000000"/>
          <w:kern w:val="0"/>
          <w:sz w:val="32"/>
          <w:szCs w:val="32"/>
        </w:rPr>
        <w:t>年学院一般公共预算支出基本支出</w:t>
      </w:r>
      <w:r>
        <w:rPr>
          <w:rFonts w:ascii="仿宋" w:hAnsi="仿宋" w:eastAsia="仿宋" w:cs="宋体"/>
          <w:color w:val="000000"/>
          <w:kern w:val="0"/>
          <w:sz w:val="32"/>
          <w:szCs w:val="32"/>
        </w:rPr>
        <w:t>13425.</w:t>
      </w:r>
      <w:r>
        <w:rPr>
          <w:rFonts w:hint="eastAsia" w:ascii="仿宋" w:hAnsi="仿宋" w:eastAsia="仿宋" w:cs="宋体"/>
          <w:color w:val="000000"/>
          <w:kern w:val="0"/>
          <w:sz w:val="32"/>
          <w:szCs w:val="32"/>
        </w:rPr>
        <w:t>7</w:t>
      </w:r>
      <w:r>
        <w:rPr>
          <w:rFonts w:ascii="仿宋" w:hAnsi="仿宋" w:eastAsia="仿宋" w:cs="宋体"/>
          <w:color w:val="000000"/>
          <w:kern w:val="0"/>
          <w:sz w:val="32"/>
          <w:szCs w:val="32"/>
        </w:rPr>
        <w:t>3</w:t>
      </w:r>
      <w:r>
        <w:rPr>
          <w:rFonts w:hint="eastAsia" w:ascii="仿宋" w:hAnsi="仿宋" w:eastAsia="仿宋" w:cs="宋体"/>
          <w:color w:val="000000"/>
          <w:kern w:val="0"/>
          <w:sz w:val="32"/>
          <w:szCs w:val="32"/>
        </w:rPr>
        <w:t>万元，其中工资福利支出</w:t>
      </w:r>
      <w:r>
        <w:rPr>
          <w:rFonts w:hint="eastAsia" w:ascii="仿宋" w:hAnsi="仿宋" w:eastAsia="仿宋" w:cs="宋体"/>
          <w:kern w:val="0"/>
          <w:sz w:val="32"/>
          <w:szCs w:val="32"/>
        </w:rPr>
        <w:t>12081.16</w:t>
      </w:r>
      <w:r>
        <w:rPr>
          <w:rFonts w:hint="eastAsia" w:ascii="仿宋" w:hAnsi="仿宋" w:eastAsia="仿宋" w:cs="宋体"/>
          <w:color w:val="000000"/>
          <w:kern w:val="0"/>
          <w:sz w:val="32"/>
          <w:szCs w:val="32"/>
        </w:rPr>
        <w:t>万元，占基本支出的</w:t>
      </w:r>
      <w:r>
        <w:rPr>
          <w:rFonts w:ascii="仿宋" w:hAnsi="仿宋" w:eastAsia="仿宋" w:cs="宋体"/>
          <w:color w:val="000000"/>
          <w:kern w:val="0"/>
          <w:sz w:val="32"/>
          <w:szCs w:val="32"/>
        </w:rPr>
        <w:t>89.99</w:t>
      </w:r>
      <w:r>
        <w:rPr>
          <w:rFonts w:hint="eastAsia" w:ascii="仿宋" w:hAnsi="仿宋" w:eastAsia="仿宋" w:cs="宋体"/>
          <w:color w:val="000000"/>
          <w:kern w:val="0"/>
          <w:sz w:val="32"/>
          <w:szCs w:val="32"/>
        </w:rPr>
        <w:t>%，主要用于学院教职工基本工资、津补贴、绩效工资、奖金、社保公积金缴费以及其他工资福利支出等；商品和服务支出</w:t>
      </w:r>
      <w:r>
        <w:rPr>
          <w:rFonts w:hint="eastAsia" w:ascii="仿宋" w:hAnsi="仿宋" w:eastAsia="仿宋" w:cs="宋体"/>
          <w:kern w:val="0"/>
          <w:sz w:val="32"/>
          <w:szCs w:val="32"/>
        </w:rPr>
        <w:t>304.95</w:t>
      </w:r>
      <w:r>
        <w:rPr>
          <w:rFonts w:hint="eastAsia" w:ascii="仿宋" w:hAnsi="仿宋" w:eastAsia="仿宋" w:cs="宋体"/>
          <w:color w:val="000000"/>
          <w:kern w:val="0"/>
          <w:sz w:val="32"/>
          <w:szCs w:val="32"/>
        </w:rPr>
        <w:t>万元，占基本支出的2.</w:t>
      </w:r>
      <w:r>
        <w:rPr>
          <w:rFonts w:ascii="仿宋" w:hAnsi="仿宋" w:eastAsia="仿宋" w:cs="宋体"/>
          <w:color w:val="000000"/>
          <w:kern w:val="0"/>
          <w:sz w:val="32"/>
          <w:szCs w:val="32"/>
        </w:rPr>
        <w:t>27</w:t>
      </w:r>
      <w:r>
        <w:rPr>
          <w:rFonts w:hint="eastAsia" w:ascii="仿宋" w:hAnsi="仿宋" w:eastAsia="仿宋" w:cs="宋体"/>
          <w:color w:val="000000"/>
          <w:kern w:val="0"/>
          <w:sz w:val="32"/>
          <w:szCs w:val="32"/>
        </w:rPr>
        <w:t>%，主要用于学院的办公经费、工会经费、其他商品和服务支出以及“三公”经费等方面；对个人和家庭补助支出</w:t>
      </w:r>
      <w:r>
        <w:rPr>
          <w:rFonts w:hint="eastAsia" w:ascii="仿宋" w:hAnsi="仿宋" w:eastAsia="仿宋" w:cs="宋体"/>
          <w:kern w:val="0"/>
          <w:sz w:val="32"/>
          <w:szCs w:val="32"/>
        </w:rPr>
        <w:t>1039.62</w:t>
      </w:r>
      <w:r>
        <w:rPr>
          <w:rFonts w:hint="eastAsia" w:ascii="仿宋" w:hAnsi="仿宋" w:eastAsia="仿宋" w:cs="宋体"/>
          <w:color w:val="000000"/>
          <w:kern w:val="0"/>
          <w:sz w:val="32"/>
          <w:szCs w:val="32"/>
        </w:rPr>
        <w:t>万元，占基本支出的</w:t>
      </w:r>
      <w:r>
        <w:rPr>
          <w:rFonts w:ascii="仿宋" w:hAnsi="仿宋" w:eastAsia="仿宋" w:cs="宋体"/>
          <w:color w:val="000000"/>
          <w:kern w:val="0"/>
          <w:sz w:val="32"/>
          <w:szCs w:val="32"/>
        </w:rPr>
        <w:t>7.74</w:t>
      </w:r>
      <w:r>
        <w:rPr>
          <w:rFonts w:hint="eastAsia" w:ascii="仿宋" w:hAnsi="仿宋" w:eastAsia="仿宋" w:cs="宋体"/>
          <w:color w:val="000000"/>
          <w:kern w:val="0"/>
          <w:sz w:val="32"/>
          <w:szCs w:val="32"/>
        </w:rPr>
        <w:t>%，主要用于离休费、退休费、学生奖助学金和其他对个人和家庭的补助等方面。</w:t>
      </w:r>
    </w:p>
    <w:p>
      <w:pPr>
        <w:widowControl/>
        <w:spacing w:line="640" w:lineRule="exac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202</w:t>
      </w:r>
      <w:r>
        <w:rPr>
          <w:rFonts w:ascii="仿宋" w:hAnsi="仿宋" w:eastAsia="仿宋" w:cs="宋体"/>
          <w:color w:val="000000"/>
          <w:kern w:val="0"/>
          <w:sz w:val="32"/>
          <w:szCs w:val="32"/>
        </w:rPr>
        <w:t>2</w:t>
      </w:r>
      <w:r>
        <w:rPr>
          <w:rFonts w:hint="eastAsia" w:ascii="仿宋" w:hAnsi="仿宋" w:eastAsia="仿宋" w:cs="宋体"/>
          <w:color w:val="000000"/>
          <w:kern w:val="0"/>
          <w:sz w:val="32"/>
          <w:szCs w:val="32"/>
        </w:rPr>
        <w:t>年学院一般公共预算中“三公”经费预算数</w:t>
      </w:r>
      <w:r>
        <w:rPr>
          <w:rFonts w:ascii="仿宋" w:hAnsi="仿宋" w:eastAsia="仿宋" w:cs="宋体"/>
          <w:color w:val="000000"/>
          <w:kern w:val="0"/>
          <w:sz w:val="32"/>
          <w:szCs w:val="32"/>
        </w:rPr>
        <w:t>35.5</w:t>
      </w:r>
      <w:r>
        <w:rPr>
          <w:rFonts w:hint="eastAsia" w:ascii="仿宋" w:hAnsi="仿宋" w:eastAsia="仿宋" w:cs="宋体"/>
          <w:color w:val="000000"/>
          <w:kern w:val="0"/>
          <w:sz w:val="32"/>
          <w:szCs w:val="32"/>
        </w:rPr>
        <w:t>万元，实际支出数</w:t>
      </w:r>
      <w:r>
        <w:rPr>
          <w:rFonts w:ascii="仿宋" w:hAnsi="仿宋" w:eastAsia="仿宋" w:cs="宋体"/>
          <w:color w:val="000000"/>
          <w:kern w:val="0"/>
          <w:sz w:val="32"/>
          <w:szCs w:val="32"/>
        </w:rPr>
        <w:t>12.55</w:t>
      </w:r>
      <w:r>
        <w:rPr>
          <w:rFonts w:hint="eastAsia" w:ascii="仿宋" w:hAnsi="仿宋" w:eastAsia="仿宋" w:cs="宋体"/>
          <w:color w:val="000000"/>
          <w:kern w:val="0"/>
          <w:sz w:val="32"/>
          <w:szCs w:val="32"/>
        </w:rPr>
        <w:t>万元，实际支出数远低于年初预算数，同时也低于2021年实际支出数</w:t>
      </w:r>
      <w:r>
        <w:rPr>
          <w:rFonts w:hint="eastAsia" w:ascii="仿宋" w:hAnsi="仿宋" w:eastAsia="仿宋" w:cs="宋体"/>
          <w:color w:val="000000"/>
          <w:kern w:val="0"/>
          <w:sz w:val="32"/>
          <w:szCs w:val="32"/>
          <w:lang w:val="en-US" w:eastAsia="zh-CN"/>
        </w:rPr>
        <w:t>13.20</w:t>
      </w:r>
      <w:r>
        <w:rPr>
          <w:rFonts w:hint="eastAsia" w:ascii="仿宋" w:hAnsi="仿宋" w:eastAsia="仿宋" w:cs="宋体"/>
          <w:color w:val="000000"/>
          <w:kern w:val="0"/>
          <w:sz w:val="32"/>
          <w:szCs w:val="32"/>
        </w:rPr>
        <w:t>万元。202</w:t>
      </w:r>
      <w:r>
        <w:rPr>
          <w:rFonts w:ascii="仿宋" w:hAnsi="仿宋" w:eastAsia="仿宋" w:cs="宋体"/>
          <w:color w:val="000000"/>
          <w:kern w:val="0"/>
          <w:sz w:val="32"/>
          <w:szCs w:val="32"/>
        </w:rPr>
        <w:t>2</w:t>
      </w:r>
      <w:r>
        <w:rPr>
          <w:rFonts w:hint="eastAsia" w:ascii="仿宋" w:hAnsi="仿宋" w:eastAsia="仿宋" w:cs="宋体"/>
          <w:color w:val="000000"/>
          <w:kern w:val="0"/>
          <w:sz w:val="32"/>
          <w:szCs w:val="32"/>
        </w:rPr>
        <w:t>年受疫情影响，因公出国（境）费用0万元，较预算数</w:t>
      </w:r>
      <w:r>
        <w:rPr>
          <w:rFonts w:ascii="仿宋" w:hAnsi="仿宋" w:eastAsia="仿宋" w:cs="宋体"/>
          <w:color w:val="000000"/>
          <w:kern w:val="0"/>
          <w:sz w:val="32"/>
          <w:szCs w:val="32"/>
        </w:rPr>
        <w:t>4</w:t>
      </w:r>
      <w:r>
        <w:rPr>
          <w:rFonts w:hint="eastAsia" w:ascii="仿宋" w:hAnsi="仿宋" w:eastAsia="仿宋" w:cs="宋体"/>
          <w:color w:val="000000"/>
          <w:kern w:val="0"/>
          <w:sz w:val="32"/>
          <w:szCs w:val="32"/>
        </w:rPr>
        <w:t>.</w:t>
      </w:r>
      <w:r>
        <w:rPr>
          <w:rFonts w:ascii="仿宋" w:hAnsi="仿宋" w:eastAsia="仿宋" w:cs="宋体"/>
          <w:color w:val="000000"/>
          <w:kern w:val="0"/>
          <w:sz w:val="32"/>
          <w:szCs w:val="32"/>
        </w:rPr>
        <w:t>5</w:t>
      </w:r>
      <w:r>
        <w:rPr>
          <w:rFonts w:hint="eastAsia" w:ascii="仿宋" w:hAnsi="仿宋" w:eastAsia="仿宋" w:cs="宋体"/>
          <w:color w:val="000000"/>
          <w:kern w:val="0"/>
          <w:sz w:val="32"/>
          <w:szCs w:val="32"/>
        </w:rPr>
        <w:t>万元，减少100%；公务用车购置及运行维护费</w:t>
      </w:r>
      <w:r>
        <w:rPr>
          <w:rFonts w:ascii="仿宋" w:hAnsi="仿宋" w:eastAsia="仿宋" w:cs="宋体"/>
          <w:color w:val="000000"/>
          <w:kern w:val="0"/>
          <w:sz w:val="32"/>
          <w:szCs w:val="32"/>
        </w:rPr>
        <w:t>11.09</w:t>
      </w:r>
      <w:r>
        <w:rPr>
          <w:rFonts w:hint="eastAsia" w:ascii="仿宋" w:hAnsi="仿宋" w:eastAsia="仿宋" w:cs="宋体"/>
          <w:color w:val="000000"/>
          <w:kern w:val="0"/>
          <w:sz w:val="32"/>
          <w:szCs w:val="32"/>
        </w:rPr>
        <w:t>万元，较预算数</w:t>
      </w:r>
      <w:r>
        <w:rPr>
          <w:rFonts w:ascii="仿宋" w:hAnsi="仿宋" w:eastAsia="仿宋" w:cs="宋体"/>
          <w:color w:val="000000"/>
          <w:kern w:val="0"/>
          <w:sz w:val="32"/>
          <w:szCs w:val="32"/>
        </w:rPr>
        <w:t>26</w:t>
      </w:r>
      <w:r>
        <w:rPr>
          <w:rFonts w:hint="eastAsia" w:ascii="仿宋" w:hAnsi="仿宋" w:eastAsia="仿宋" w:cs="宋体"/>
          <w:color w:val="000000"/>
          <w:kern w:val="0"/>
          <w:sz w:val="32"/>
          <w:szCs w:val="32"/>
        </w:rPr>
        <w:t>万元，减少</w:t>
      </w:r>
      <w:r>
        <w:rPr>
          <w:rFonts w:ascii="仿宋" w:hAnsi="仿宋" w:eastAsia="仿宋" w:cs="宋体"/>
          <w:color w:val="000000"/>
          <w:kern w:val="0"/>
          <w:sz w:val="32"/>
          <w:szCs w:val="32"/>
        </w:rPr>
        <w:t>57.35</w:t>
      </w:r>
      <w:r>
        <w:rPr>
          <w:rFonts w:hint="eastAsia" w:ascii="仿宋" w:hAnsi="仿宋" w:eastAsia="仿宋" w:cs="宋体"/>
          <w:color w:val="000000"/>
          <w:kern w:val="0"/>
          <w:sz w:val="32"/>
          <w:szCs w:val="32"/>
        </w:rPr>
        <w:t>%；公务接待费1</w:t>
      </w:r>
      <w:r>
        <w:rPr>
          <w:rFonts w:ascii="仿宋" w:hAnsi="仿宋" w:eastAsia="仿宋" w:cs="宋体"/>
          <w:color w:val="000000"/>
          <w:kern w:val="0"/>
          <w:sz w:val="32"/>
          <w:szCs w:val="32"/>
        </w:rPr>
        <w:t>.46</w:t>
      </w:r>
      <w:r>
        <w:rPr>
          <w:rFonts w:hint="eastAsia" w:ascii="仿宋" w:hAnsi="仿宋" w:eastAsia="仿宋" w:cs="宋体"/>
          <w:color w:val="000000"/>
          <w:kern w:val="0"/>
          <w:sz w:val="32"/>
          <w:szCs w:val="32"/>
        </w:rPr>
        <w:t>万元，较预算数</w:t>
      </w:r>
      <w:r>
        <w:rPr>
          <w:rFonts w:ascii="仿宋" w:hAnsi="仿宋" w:eastAsia="仿宋" w:cs="宋体"/>
          <w:color w:val="000000"/>
          <w:kern w:val="0"/>
          <w:sz w:val="32"/>
          <w:szCs w:val="32"/>
        </w:rPr>
        <w:t>5</w:t>
      </w:r>
      <w:r>
        <w:rPr>
          <w:rFonts w:hint="eastAsia" w:ascii="仿宋" w:hAnsi="仿宋" w:eastAsia="仿宋" w:cs="宋体"/>
          <w:color w:val="000000"/>
          <w:kern w:val="0"/>
          <w:sz w:val="32"/>
          <w:szCs w:val="32"/>
        </w:rPr>
        <w:t>万元，减少</w:t>
      </w:r>
      <w:r>
        <w:rPr>
          <w:rFonts w:ascii="仿宋" w:hAnsi="仿宋" w:eastAsia="仿宋" w:cs="宋体"/>
          <w:color w:val="000000"/>
          <w:kern w:val="0"/>
          <w:sz w:val="32"/>
          <w:szCs w:val="32"/>
        </w:rPr>
        <w:t>70.8</w:t>
      </w:r>
      <w:r>
        <w:rPr>
          <w:rFonts w:hint="eastAsia" w:ascii="仿宋" w:hAnsi="仿宋" w:eastAsia="仿宋" w:cs="宋体"/>
          <w:color w:val="000000"/>
          <w:kern w:val="0"/>
          <w:sz w:val="32"/>
          <w:szCs w:val="32"/>
        </w:rPr>
        <w:t>%。</w:t>
      </w:r>
    </w:p>
    <w:p>
      <w:pPr>
        <w:widowControl/>
        <w:spacing w:line="640" w:lineRule="exact"/>
        <w:ind w:firstLine="640" w:firstLineChars="200"/>
        <w:jc w:val="left"/>
        <w:rPr>
          <w:rFonts w:ascii="仿宋" w:hAnsi="仿宋" w:eastAsia="仿宋" w:cs="宋体"/>
          <w:color w:val="FF0000"/>
          <w:kern w:val="0"/>
          <w:sz w:val="32"/>
          <w:szCs w:val="32"/>
        </w:rPr>
      </w:pPr>
      <w:r>
        <w:rPr>
          <w:rFonts w:hint="eastAsia" w:ascii="仿宋" w:hAnsi="仿宋" w:eastAsia="仿宋" w:cs="宋体"/>
          <w:color w:val="000000"/>
          <w:kern w:val="0"/>
          <w:sz w:val="32"/>
          <w:szCs w:val="32"/>
        </w:rPr>
        <w:t>学院严格按照中央八项规定及有关要求，切实加强“三公”经费管理，厉行勤俭节约，坚决反对铺张浪费，按要求制定了《湖南信息职业技术学院公务活动用餐管理办法（试行）》</w:t>
      </w:r>
      <w:r>
        <w:fldChar w:fldCharType="begin"/>
      </w:r>
      <w:r>
        <w:instrText xml:space="preserve"> HYPERLINK "https://www.hniu.cn/dzb/info/1052/1585.htm" \o "关于印发《湖南信息职业技术学院公务用车管理实施办法》的通知" </w:instrText>
      </w:r>
      <w:r>
        <w:fldChar w:fldCharType="separate"/>
      </w:r>
      <w:r>
        <w:rPr>
          <w:rFonts w:hint="eastAsia" w:ascii="仿宋" w:hAnsi="仿宋" w:eastAsia="仿宋" w:cs="宋体"/>
          <w:color w:val="000000"/>
          <w:kern w:val="0"/>
          <w:sz w:val="32"/>
          <w:szCs w:val="32"/>
        </w:rPr>
        <w:t>《湖南信息职业技术学院公务用车管理实施办法》</w:t>
      </w:r>
      <w:r>
        <w:rPr>
          <w:rFonts w:hint="eastAsia" w:ascii="仿宋" w:hAnsi="仿宋" w:eastAsia="仿宋" w:cs="宋体"/>
          <w:color w:val="000000"/>
          <w:kern w:val="0"/>
          <w:sz w:val="32"/>
          <w:szCs w:val="32"/>
        </w:rPr>
        <w:fldChar w:fldCharType="end"/>
      </w:r>
      <w:r>
        <w:rPr>
          <w:rFonts w:hint="eastAsia" w:ascii="仿宋" w:hAnsi="仿宋" w:eastAsia="仿宋" w:cs="宋体"/>
          <w:color w:val="000000"/>
          <w:kern w:val="0"/>
          <w:sz w:val="32"/>
          <w:szCs w:val="32"/>
        </w:rPr>
        <w:t>等一系列规章制度，严格按照制度管控公务接待、公务用车和因公出国（境）经费</w:t>
      </w:r>
      <w:r>
        <w:rPr>
          <w:rFonts w:hint="eastAsia" w:ascii="仿宋" w:hAnsi="仿宋" w:eastAsia="仿宋" w:cs="宋体"/>
          <w:color w:val="FF0000"/>
          <w:kern w:val="0"/>
          <w:sz w:val="32"/>
          <w:szCs w:val="32"/>
        </w:rPr>
        <w:t>。</w:t>
      </w:r>
    </w:p>
    <w:p>
      <w:pPr>
        <w:widowControl/>
        <w:spacing w:line="640" w:lineRule="exac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学院严格执行《长沙市市直机关会议费管理办法》、《长沙市市直机关培训费管理办法》的规定，并制定了《湖南信息职业技术学院差旅费管理办法》《湖南信息职业技术学院培训费管理办法》等规章制度，严格控制各类办公经费、差旅费、会议费和培训费开支，提倡少开会，开短会，提高会议效率，降低行政成本。</w:t>
      </w:r>
    </w:p>
    <w:p>
      <w:pPr>
        <w:widowControl/>
        <w:spacing w:line="640" w:lineRule="exact"/>
        <w:ind w:firstLine="420"/>
        <w:jc w:val="left"/>
        <w:rPr>
          <w:rFonts w:ascii="华文楷体" w:hAnsi="华文楷体" w:eastAsia="华文楷体" w:cs="宋体"/>
          <w:color w:val="000000"/>
          <w:kern w:val="0"/>
          <w:sz w:val="32"/>
          <w:szCs w:val="32"/>
        </w:rPr>
      </w:pPr>
      <w:r>
        <w:rPr>
          <w:rFonts w:hint="eastAsia" w:ascii="华文楷体" w:hAnsi="华文楷体" w:eastAsia="华文楷体" w:cs="宋体"/>
          <w:b/>
          <w:bCs/>
          <w:color w:val="000000"/>
          <w:kern w:val="0"/>
          <w:sz w:val="32"/>
          <w:szCs w:val="32"/>
        </w:rPr>
        <w:t>（二）项目支出</w:t>
      </w:r>
    </w:p>
    <w:p>
      <w:pPr>
        <w:widowControl/>
        <w:spacing w:line="640" w:lineRule="exact"/>
        <w:ind w:firstLine="641" w:firstLineChars="200"/>
        <w:jc w:val="left"/>
        <w:rPr>
          <w:rFonts w:ascii="华文楷体" w:hAnsi="华文楷体" w:eastAsia="华文楷体" w:cs="宋体"/>
          <w:b/>
          <w:color w:val="000000"/>
          <w:kern w:val="0"/>
          <w:sz w:val="32"/>
          <w:szCs w:val="32"/>
        </w:rPr>
      </w:pPr>
      <w:r>
        <w:rPr>
          <w:rFonts w:hint="eastAsia" w:ascii="华文楷体" w:hAnsi="华文楷体" w:eastAsia="华文楷体" w:cs="宋体"/>
          <w:b/>
          <w:color w:val="000000"/>
          <w:kern w:val="0"/>
          <w:sz w:val="32"/>
          <w:szCs w:val="32"/>
        </w:rPr>
        <w:t>1.项目资金安排落实、总投入情况</w:t>
      </w:r>
    </w:p>
    <w:p>
      <w:pPr>
        <w:widowControl/>
        <w:spacing w:line="640" w:lineRule="exact"/>
        <w:ind w:firstLine="640" w:firstLineChars="200"/>
        <w:jc w:val="left"/>
        <w:rPr>
          <w:rFonts w:ascii="仿宋" w:hAnsi="仿宋" w:eastAsia="仿宋" w:cs="宋体"/>
          <w:color w:val="FF0000"/>
          <w:kern w:val="0"/>
          <w:sz w:val="32"/>
          <w:szCs w:val="32"/>
        </w:rPr>
      </w:pPr>
      <w:r>
        <w:rPr>
          <w:rFonts w:hint="eastAsia" w:ascii="仿宋" w:hAnsi="仿宋" w:eastAsia="仿宋" w:cs="宋体"/>
          <w:color w:val="000000"/>
          <w:kern w:val="0"/>
          <w:sz w:val="32"/>
          <w:szCs w:val="32"/>
        </w:rPr>
        <w:t>202</w:t>
      </w:r>
      <w:r>
        <w:rPr>
          <w:rFonts w:ascii="仿宋" w:hAnsi="仿宋" w:eastAsia="仿宋" w:cs="宋体"/>
          <w:color w:val="000000"/>
          <w:kern w:val="0"/>
          <w:sz w:val="32"/>
          <w:szCs w:val="32"/>
        </w:rPr>
        <w:t>2</w:t>
      </w:r>
      <w:r>
        <w:rPr>
          <w:rFonts w:hint="eastAsia" w:ascii="仿宋" w:hAnsi="仿宋" w:eastAsia="仿宋" w:cs="宋体"/>
          <w:color w:val="000000"/>
          <w:kern w:val="0"/>
          <w:sz w:val="32"/>
          <w:szCs w:val="32"/>
        </w:rPr>
        <w:t>年学院一般公共预算支出项目支出预算数</w:t>
      </w:r>
      <w:r>
        <w:rPr>
          <w:rFonts w:ascii="仿宋" w:hAnsi="仿宋" w:eastAsia="仿宋" w:cs="宋体"/>
          <w:color w:val="000000"/>
          <w:kern w:val="0"/>
          <w:sz w:val="32"/>
          <w:szCs w:val="32"/>
        </w:rPr>
        <w:t>2611.62</w:t>
      </w:r>
      <w:r>
        <w:rPr>
          <w:rFonts w:hint="eastAsia" w:ascii="仿宋" w:hAnsi="仿宋" w:eastAsia="仿宋" w:cs="宋体"/>
          <w:color w:val="000000"/>
          <w:kern w:val="0"/>
          <w:sz w:val="32"/>
          <w:szCs w:val="32"/>
        </w:rPr>
        <w:t>万元，决算数</w:t>
      </w:r>
      <w:r>
        <w:rPr>
          <w:rFonts w:ascii="仿宋" w:hAnsi="仿宋" w:eastAsia="仿宋" w:cs="宋体"/>
          <w:color w:val="000000"/>
          <w:kern w:val="0"/>
          <w:sz w:val="32"/>
          <w:szCs w:val="32"/>
        </w:rPr>
        <w:t>4880.47</w:t>
      </w:r>
      <w:r>
        <w:rPr>
          <w:rFonts w:hint="eastAsia" w:ascii="仿宋" w:hAnsi="仿宋" w:eastAsia="仿宋" w:cs="宋体"/>
          <w:color w:val="000000"/>
          <w:kern w:val="0"/>
          <w:sz w:val="32"/>
          <w:szCs w:val="32"/>
        </w:rPr>
        <w:t>万元，实际项目支出比预算增加</w:t>
      </w:r>
      <w:r>
        <w:rPr>
          <w:rFonts w:ascii="仿宋" w:hAnsi="仿宋" w:eastAsia="仿宋" w:cs="宋体"/>
          <w:color w:val="000000"/>
          <w:kern w:val="0"/>
          <w:sz w:val="32"/>
          <w:szCs w:val="32"/>
        </w:rPr>
        <w:t>2268.85</w:t>
      </w:r>
      <w:r>
        <w:rPr>
          <w:rFonts w:hint="eastAsia" w:ascii="仿宋" w:hAnsi="仿宋" w:eastAsia="仿宋" w:cs="宋体"/>
          <w:color w:val="000000"/>
          <w:kern w:val="0"/>
          <w:sz w:val="32"/>
          <w:szCs w:val="32"/>
        </w:rPr>
        <w:t>万元。</w:t>
      </w:r>
      <w:r>
        <w:rPr>
          <w:rFonts w:hint="eastAsia" w:ascii="仿宋" w:hAnsi="仿宋" w:eastAsia="仿宋" w:cs="宋体"/>
          <w:color w:val="FF0000"/>
          <w:kern w:val="0"/>
          <w:sz w:val="32"/>
          <w:szCs w:val="32"/>
        </w:rPr>
        <w:t>两者差异主要是因为年初部门预算是市本级预算，没有包括上级专项收支、上年结转资金支出和转移支付等，而年终决算包括了上级专项收支、上年结转资金支出和转移支付等，因此202</w:t>
      </w:r>
      <w:r>
        <w:rPr>
          <w:rFonts w:ascii="仿宋" w:hAnsi="仿宋" w:eastAsia="仿宋" w:cs="宋体"/>
          <w:color w:val="FF0000"/>
          <w:kern w:val="0"/>
          <w:sz w:val="32"/>
          <w:szCs w:val="32"/>
        </w:rPr>
        <w:t>2</w:t>
      </w:r>
      <w:r>
        <w:rPr>
          <w:rFonts w:hint="eastAsia" w:ascii="仿宋" w:hAnsi="仿宋" w:eastAsia="仿宋" w:cs="宋体"/>
          <w:color w:val="FF0000"/>
          <w:kern w:val="0"/>
          <w:sz w:val="32"/>
          <w:szCs w:val="32"/>
        </w:rPr>
        <w:t>年决算数大于202</w:t>
      </w:r>
      <w:r>
        <w:rPr>
          <w:rFonts w:ascii="仿宋" w:hAnsi="仿宋" w:eastAsia="仿宋" w:cs="宋体"/>
          <w:color w:val="FF0000"/>
          <w:kern w:val="0"/>
          <w:sz w:val="32"/>
          <w:szCs w:val="32"/>
        </w:rPr>
        <w:t>2</w:t>
      </w:r>
      <w:r>
        <w:rPr>
          <w:rFonts w:hint="eastAsia" w:ascii="仿宋" w:hAnsi="仿宋" w:eastAsia="仿宋" w:cs="宋体"/>
          <w:color w:val="FF0000"/>
          <w:kern w:val="0"/>
          <w:sz w:val="32"/>
          <w:szCs w:val="32"/>
        </w:rPr>
        <w:t>年预算数。</w:t>
      </w:r>
    </w:p>
    <w:p>
      <w:pPr>
        <w:widowControl/>
        <w:spacing w:line="640" w:lineRule="exact"/>
        <w:ind w:firstLine="640" w:firstLineChars="200"/>
        <w:jc w:val="left"/>
        <w:rPr>
          <w:rFonts w:ascii="仿宋" w:hAnsi="仿宋" w:eastAsia="仿宋" w:cs="宋体"/>
          <w:color w:val="FF0000"/>
          <w:kern w:val="0"/>
          <w:sz w:val="32"/>
          <w:szCs w:val="32"/>
        </w:rPr>
      </w:pPr>
      <w:r>
        <w:rPr>
          <w:rFonts w:hint="eastAsia" w:ascii="仿宋" w:hAnsi="仿宋" w:eastAsia="仿宋" w:cs="宋体"/>
          <w:color w:val="000000"/>
          <w:kern w:val="0"/>
          <w:sz w:val="32"/>
          <w:szCs w:val="32"/>
        </w:rPr>
        <w:t>202</w:t>
      </w:r>
      <w:r>
        <w:rPr>
          <w:rFonts w:ascii="仿宋" w:hAnsi="仿宋" w:eastAsia="仿宋" w:cs="宋体"/>
          <w:color w:val="000000"/>
          <w:kern w:val="0"/>
          <w:sz w:val="32"/>
          <w:szCs w:val="32"/>
        </w:rPr>
        <w:t>2</w:t>
      </w:r>
      <w:r>
        <w:rPr>
          <w:rFonts w:hint="eastAsia" w:ascii="仿宋" w:hAnsi="仿宋" w:eastAsia="仿宋" w:cs="宋体"/>
          <w:color w:val="000000"/>
          <w:kern w:val="0"/>
          <w:sz w:val="32"/>
          <w:szCs w:val="32"/>
        </w:rPr>
        <w:t>年学院一般公共预算支出项目支出</w:t>
      </w:r>
      <w:r>
        <w:rPr>
          <w:rFonts w:ascii="仿宋" w:hAnsi="仿宋" w:eastAsia="仿宋" w:cs="宋体"/>
          <w:color w:val="000000"/>
          <w:kern w:val="0"/>
          <w:sz w:val="32"/>
          <w:szCs w:val="32"/>
        </w:rPr>
        <w:t>4880.47</w:t>
      </w:r>
      <w:r>
        <w:rPr>
          <w:rFonts w:hint="eastAsia" w:ascii="仿宋" w:hAnsi="仿宋" w:eastAsia="仿宋" w:cs="宋体"/>
          <w:color w:val="000000"/>
          <w:kern w:val="0"/>
          <w:sz w:val="32"/>
          <w:szCs w:val="32"/>
        </w:rPr>
        <w:t>万元，</w:t>
      </w:r>
      <w:r>
        <w:rPr>
          <w:rFonts w:ascii="仿宋" w:hAnsi="仿宋" w:eastAsia="仿宋" w:cs="宋体"/>
          <w:color w:val="000000"/>
          <w:kern w:val="0"/>
          <w:sz w:val="32"/>
          <w:szCs w:val="32"/>
        </w:rPr>
        <w:t>其中：年初部门预算1496.60</w:t>
      </w:r>
      <w:r>
        <w:rPr>
          <w:rFonts w:hint="eastAsia" w:ascii="仿宋" w:hAnsi="仿宋" w:eastAsia="仿宋" w:cs="宋体"/>
          <w:color w:val="000000"/>
          <w:kern w:val="0"/>
          <w:sz w:val="32"/>
          <w:szCs w:val="32"/>
        </w:rPr>
        <w:t>万元、公共项目</w:t>
      </w:r>
      <w:r>
        <w:rPr>
          <w:rFonts w:ascii="仿宋" w:hAnsi="仿宋" w:eastAsia="仿宋" w:cs="宋体"/>
          <w:color w:val="000000"/>
          <w:kern w:val="0"/>
          <w:sz w:val="32"/>
          <w:szCs w:val="32"/>
        </w:rPr>
        <w:t>483.68</w:t>
      </w:r>
      <w:r>
        <w:rPr>
          <w:rFonts w:hint="eastAsia" w:ascii="仿宋" w:hAnsi="仿宋" w:eastAsia="仿宋" w:cs="宋体"/>
          <w:color w:val="000000"/>
          <w:kern w:val="0"/>
          <w:sz w:val="32"/>
          <w:szCs w:val="32"/>
        </w:rPr>
        <w:t>万元、年终结转</w:t>
      </w:r>
      <w:r>
        <w:rPr>
          <w:rFonts w:ascii="仿宋" w:hAnsi="仿宋" w:eastAsia="仿宋" w:cs="宋体"/>
          <w:color w:val="000000"/>
          <w:kern w:val="0"/>
          <w:sz w:val="32"/>
          <w:szCs w:val="32"/>
        </w:rPr>
        <w:t>50.44</w:t>
      </w:r>
      <w:r>
        <w:rPr>
          <w:rFonts w:hint="eastAsia" w:ascii="仿宋" w:hAnsi="仿宋" w:eastAsia="仿宋" w:cs="宋体"/>
          <w:color w:val="000000"/>
          <w:kern w:val="0"/>
          <w:sz w:val="32"/>
          <w:szCs w:val="32"/>
        </w:rPr>
        <w:t>万元、上级专项本年安排</w:t>
      </w:r>
      <w:r>
        <w:rPr>
          <w:rFonts w:ascii="仿宋" w:hAnsi="仿宋" w:eastAsia="仿宋" w:cs="宋体"/>
          <w:color w:val="000000"/>
          <w:kern w:val="0"/>
          <w:sz w:val="32"/>
          <w:szCs w:val="32"/>
        </w:rPr>
        <w:t>158.65</w:t>
      </w:r>
      <w:r>
        <w:rPr>
          <w:rFonts w:hint="eastAsia" w:ascii="仿宋" w:hAnsi="仿宋" w:eastAsia="仿宋" w:cs="宋体"/>
          <w:color w:val="000000"/>
          <w:kern w:val="0"/>
          <w:sz w:val="32"/>
          <w:szCs w:val="32"/>
        </w:rPr>
        <w:t>万元，上级专项结转</w:t>
      </w:r>
      <w:r>
        <w:rPr>
          <w:rFonts w:ascii="仿宋" w:hAnsi="仿宋" w:eastAsia="仿宋" w:cs="宋体"/>
          <w:color w:val="000000"/>
          <w:kern w:val="0"/>
          <w:sz w:val="32"/>
          <w:szCs w:val="32"/>
        </w:rPr>
        <w:t>12.17</w:t>
      </w:r>
      <w:r>
        <w:rPr>
          <w:rFonts w:hint="eastAsia" w:ascii="仿宋" w:hAnsi="仿宋" w:eastAsia="仿宋" w:cs="宋体"/>
          <w:color w:val="000000"/>
          <w:kern w:val="0"/>
          <w:sz w:val="32"/>
          <w:szCs w:val="32"/>
        </w:rPr>
        <w:t>万元，转移支付本年安排</w:t>
      </w:r>
      <w:r>
        <w:rPr>
          <w:rFonts w:ascii="仿宋" w:hAnsi="仿宋" w:eastAsia="仿宋" w:cs="宋体"/>
          <w:color w:val="000000"/>
          <w:kern w:val="0"/>
          <w:sz w:val="32"/>
          <w:szCs w:val="32"/>
        </w:rPr>
        <w:t>2650.98</w:t>
      </w:r>
      <w:r>
        <w:rPr>
          <w:rFonts w:hint="eastAsia" w:ascii="仿宋" w:hAnsi="仿宋" w:eastAsia="仿宋" w:cs="宋体"/>
          <w:color w:val="000000"/>
          <w:kern w:val="0"/>
          <w:sz w:val="32"/>
          <w:szCs w:val="32"/>
        </w:rPr>
        <w:t>万元，转移支付上年结转</w:t>
      </w:r>
      <w:r>
        <w:rPr>
          <w:rFonts w:ascii="仿宋" w:hAnsi="仿宋" w:eastAsia="仿宋" w:cs="宋体"/>
          <w:color w:val="000000"/>
          <w:kern w:val="0"/>
          <w:sz w:val="32"/>
          <w:szCs w:val="32"/>
        </w:rPr>
        <w:t>27.94</w:t>
      </w:r>
      <w:r>
        <w:rPr>
          <w:rFonts w:hint="eastAsia" w:ascii="仿宋" w:hAnsi="仿宋" w:eastAsia="仿宋" w:cs="宋体"/>
          <w:color w:val="000000"/>
          <w:kern w:val="0"/>
          <w:sz w:val="32"/>
          <w:szCs w:val="32"/>
        </w:rPr>
        <w:t>万元，</w:t>
      </w:r>
      <w:r>
        <w:rPr>
          <w:rFonts w:hint="eastAsia" w:ascii="仿宋" w:hAnsi="仿宋" w:eastAsia="仿宋" w:cs="宋体"/>
          <w:color w:val="FF0000"/>
          <w:kern w:val="0"/>
          <w:sz w:val="32"/>
          <w:szCs w:val="32"/>
        </w:rPr>
        <w:t>以上各个来源的项目资金均以财政指标形式下达到学院，学院再通过国库集中支付系统</w:t>
      </w:r>
      <w:r>
        <w:rPr>
          <w:rFonts w:hint="eastAsia" w:ascii="仿宋" w:hAnsi="仿宋" w:eastAsia="仿宋" w:cs="宋体"/>
          <w:color w:val="FF0000"/>
          <w:kern w:val="0"/>
          <w:sz w:val="32"/>
          <w:szCs w:val="32"/>
          <w:lang w:val="en-US" w:eastAsia="zh-CN"/>
        </w:rPr>
        <w:t>按照</w:t>
      </w:r>
      <w:r>
        <w:rPr>
          <w:rFonts w:hint="eastAsia" w:ascii="仿宋" w:hAnsi="仿宋" w:eastAsia="仿宋" w:cs="宋体"/>
          <w:color w:val="FF0000"/>
          <w:kern w:val="0"/>
          <w:sz w:val="32"/>
          <w:szCs w:val="32"/>
        </w:rPr>
        <w:t>申报资金使用计划进行支付。其中部门预算为学院年初预算安排资金，公共预算为市级预算部门拨入的贫困学生补助、市级学生奖助学金拨款和科研项目资金等，上级专项和转移支付为省级和中央拨入的学生奖助学金、校园招聘补助资金等。</w:t>
      </w:r>
    </w:p>
    <w:p>
      <w:pPr>
        <w:widowControl/>
        <w:spacing w:line="640" w:lineRule="exact"/>
        <w:ind w:firstLine="641" w:firstLineChars="200"/>
        <w:jc w:val="left"/>
        <w:rPr>
          <w:rFonts w:ascii="华文楷体" w:hAnsi="华文楷体" w:eastAsia="华文楷体" w:cs="宋体"/>
          <w:b/>
          <w:color w:val="FF0000"/>
          <w:kern w:val="0"/>
          <w:sz w:val="32"/>
          <w:szCs w:val="32"/>
        </w:rPr>
      </w:pPr>
      <w:r>
        <w:rPr>
          <w:rFonts w:hint="eastAsia" w:ascii="华文楷体" w:hAnsi="华文楷体" w:eastAsia="华文楷体" w:cs="宋体"/>
          <w:b/>
          <w:color w:val="FF0000"/>
          <w:kern w:val="0"/>
          <w:sz w:val="32"/>
          <w:szCs w:val="32"/>
        </w:rPr>
        <w:t>2.项目资金使用情况</w:t>
      </w:r>
    </w:p>
    <w:p>
      <w:pPr>
        <w:widowControl/>
        <w:spacing w:line="640" w:lineRule="exact"/>
        <w:ind w:firstLine="640" w:firstLineChars="200"/>
        <w:jc w:val="left"/>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宋体"/>
          <w:color w:val="000000"/>
          <w:kern w:val="0"/>
          <w:sz w:val="32"/>
          <w:szCs w:val="32"/>
        </w:rPr>
        <w:t>202</w:t>
      </w:r>
      <w:r>
        <w:rPr>
          <w:rFonts w:ascii="仿宋" w:hAnsi="仿宋" w:eastAsia="仿宋" w:cs="宋体"/>
          <w:color w:val="000000"/>
          <w:kern w:val="0"/>
          <w:sz w:val="32"/>
          <w:szCs w:val="32"/>
        </w:rPr>
        <w:t>2</w:t>
      </w:r>
      <w:r>
        <w:rPr>
          <w:rFonts w:hint="eastAsia" w:ascii="仿宋" w:hAnsi="仿宋" w:eastAsia="仿宋" w:cs="宋体"/>
          <w:color w:val="000000"/>
          <w:kern w:val="0"/>
          <w:sz w:val="32"/>
          <w:szCs w:val="32"/>
        </w:rPr>
        <w:t>年学院一般公共预算支出项目支出</w:t>
      </w:r>
      <w:r>
        <w:rPr>
          <w:rFonts w:ascii="仿宋" w:hAnsi="仿宋" w:eastAsia="仿宋" w:cs="宋体"/>
          <w:color w:val="000000"/>
          <w:kern w:val="0"/>
          <w:sz w:val="32"/>
          <w:szCs w:val="32"/>
        </w:rPr>
        <w:t>4880.47</w:t>
      </w:r>
      <w:r>
        <w:rPr>
          <w:rFonts w:hint="eastAsia" w:ascii="仿宋" w:hAnsi="仿宋" w:eastAsia="仿宋" w:cs="宋体"/>
          <w:color w:val="000000"/>
          <w:kern w:val="0"/>
          <w:sz w:val="32"/>
          <w:szCs w:val="32"/>
        </w:rPr>
        <w:t>万元，主要包括:1.全省会计管理业务工作经费1.2万元;2.高校贫困生价格临时补贴3.96万元;3.长沙市高校国家助学金191.64万元；4.高职院校生均拨款奖补资金1641.94万元；5.预留经费1348.02万元；6.教学运行经费139.96万元；7.职业院校教师素质提高计划中央专项资金1</w:t>
      </w:r>
      <w:r>
        <w:rPr>
          <w:rFonts w:ascii="仿宋" w:hAnsi="仿宋" w:eastAsia="仿宋" w:cs="宋体"/>
          <w:color w:val="000000"/>
          <w:kern w:val="0"/>
          <w:sz w:val="32"/>
          <w:szCs w:val="32"/>
        </w:rPr>
        <w:t>.00</w:t>
      </w:r>
      <w:r>
        <w:rPr>
          <w:rFonts w:hint="eastAsia" w:ascii="仿宋" w:hAnsi="仿宋" w:eastAsia="仿宋" w:cs="宋体"/>
          <w:color w:val="000000"/>
          <w:kern w:val="0"/>
          <w:sz w:val="32"/>
          <w:szCs w:val="32"/>
        </w:rPr>
        <w:t>万元；8.</w:t>
      </w:r>
      <w:r>
        <w:rPr>
          <w:rFonts w:hint="eastAsia" w:ascii="仿宋" w:hAnsi="仿宋" w:eastAsia="仿宋"/>
        </w:rPr>
        <w:t xml:space="preserve"> </w:t>
      </w:r>
      <w:r>
        <w:rPr>
          <w:rFonts w:hint="eastAsia" w:ascii="仿宋" w:hAnsi="仿宋" w:eastAsia="仿宋" w:cs="宋体"/>
          <w:color w:val="000000"/>
          <w:kern w:val="0"/>
          <w:sz w:val="32"/>
          <w:szCs w:val="32"/>
        </w:rPr>
        <w:t>教育综合发展专项23.0</w:t>
      </w:r>
      <w:r>
        <w:rPr>
          <w:rFonts w:ascii="仿宋" w:hAnsi="仿宋" w:eastAsia="仿宋" w:cs="宋体"/>
          <w:color w:val="000000"/>
          <w:kern w:val="0"/>
          <w:sz w:val="32"/>
          <w:szCs w:val="32"/>
        </w:rPr>
        <w:t>0万元；</w:t>
      </w:r>
      <w:r>
        <w:rPr>
          <w:rFonts w:hint="eastAsia" w:ascii="仿宋" w:hAnsi="仿宋" w:eastAsia="仿宋" w:cs="宋体"/>
          <w:color w:val="000000"/>
          <w:kern w:val="0"/>
          <w:sz w:val="32"/>
          <w:szCs w:val="32"/>
        </w:rPr>
        <w:t>9.学校防控新型冠状病毒补助经费5.01万元；10.</w:t>
      </w:r>
      <w:r>
        <w:rPr>
          <w:rFonts w:hint="eastAsia" w:ascii="仿宋" w:hAnsi="仿宋" w:eastAsia="仿宋"/>
        </w:rPr>
        <w:t xml:space="preserve"> </w:t>
      </w:r>
      <w:r>
        <w:rPr>
          <w:rFonts w:hint="eastAsia" w:ascii="仿宋" w:hAnsi="仿宋" w:eastAsia="仿宋" w:cs="宋体"/>
          <w:color w:val="000000"/>
          <w:kern w:val="0"/>
          <w:sz w:val="32"/>
          <w:szCs w:val="32"/>
        </w:rPr>
        <w:t>服兵役国家教育资助148.67万元；11.“三高四新”和立德树人专项资金1.12万元；12.</w:t>
      </w:r>
      <w:r>
        <w:rPr>
          <w:rFonts w:hint="eastAsia" w:ascii="仿宋" w:hAnsi="仿宋" w:eastAsia="仿宋"/>
        </w:rPr>
        <w:t xml:space="preserve"> </w:t>
      </w:r>
      <w:r>
        <w:rPr>
          <w:rFonts w:hint="eastAsia" w:ascii="仿宋" w:hAnsi="仿宋" w:eastAsia="仿宋" w:cs="宋体"/>
          <w:color w:val="000000"/>
          <w:kern w:val="0"/>
          <w:sz w:val="32"/>
          <w:szCs w:val="32"/>
        </w:rPr>
        <w:t>高校“双一流”建设专项141.60万元；13.国家奖助学金1085.06万元；1</w:t>
      </w:r>
      <w:r>
        <w:rPr>
          <w:rFonts w:hint="eastAsia" w:ascii="仿宋" w:hAnsi="仿宋" w:eastAsia="仿宋" w:cs="宋体"/>
          <w:color w:val="000000"/>
          <w:kern w:val="0"/>
          <w:sz w:val="32"/>
          <w:szCs w:val="32"/>
          <w:lang w:val="en-US" w:eastAsia="zh-CN"/>
        </w:rPr>
        <w:t>4</w:t>
      </w:r>
      <w:r>
        <w:rPr>
          <w:rFonts w:hint="eastAsia" w:ascii="仿宋" w:hAnsi="仿宋" w:eastAsia="仿宋" w:cs="宋体"/>
          <w:color w:val="000000"/>
          <w:kern w:val="0"/>
          <w:sz w:val="32"/>
          <w:szCs w:val="32"/>
        </w:rPr>
        <w:t>.高职教育精品网络共享课程（Linux服务器技术）经费</w:t>
      </w:r>
      <w:r>
        <w:rPr>
          <w:rFonts w:hint="eastAsia" w:ascii="仿宋" w:hAnsi="仿宋" w:eastAsia="仿宋" w:cs="仿宋"/>
          <w:bCs/>
          <w:color w:val="000000" w:themeColor="text1"/>
          <w:sz w:val="32"/>
          <w:szCs w:val="32"/>
          <w14:textFill>
            <w14:solidFill>
              <w14:schemeClr w14:val="tx1"/>
            </w14:solidFill>
          </w14:textFill>
        </w:rPr>
        <w:t>30.20万元；1</w:t>
      </w:r>
      <w:r>
        <w:rPr>
          <w:rFonts w:hint="eastAsia" w:ascii="仿宋" w:hAnsi="仿宋" w:eastAsia="仿宋" w:cs="仿宋"/>
          <w:bCs/>
          <w:color w:val="000000" w:themeColor="text1"/>
          <w:sz w:val="32"/>
          <w:szCs w:val="32"/>
          <w:lang w:val="en-US" w:eastAsia="zh-CN"/>
          <w14:textFill>
            <w14:solidFill>
              <w14:schemeClr w14:val="tx1"/>
            </w14:solidFill>
          </w14:textFill>
        </w:rPr>
        <w:t>5</w:t>
      </w:r>
      <w:r>
        <w:rPr>
          <w:rFonts w:hint="eastAsia" w:ascii="仿宋" w:hAnsi="仿宋" w:eastAsia="仿宋" w:cs="仿宋"/>
          <w:bCs/>
          <w:color w:val="000000" w:themeColor="text1"/>
          <w:sz w:val="32"/>
          <w:szCs w:val="32"/>
          <w14:textFill>
            <w14:solidFill>
              <w14:schemeClr w14:val="tx1"/>
            </w14:solidFill>
          </w14:textFill>
        </w:rPr>
        <w:t>.自然科学基金项目2.65万元；1</w:t>
      </w:r>
      <w:r>
        <w:rPr>
          <w:rFonts w:hint="eastAsia" w:ascii="仿宋" w:hAnsi="仿宋" w:eastAsia="仿宋" w:cs="仿宋"/>
          <w:bCs/>
          <w:color w:val="000000" w:themeColor="text1"/>
          <w:sz w:val="32"/>
          <w:szCs w:val="32"/>
          <w:lang w:val="en-US" w:eastAsia="zh-CN"/>
          <w14:textFill>
            <w14:solidFill>
              <w14:schemeClr w14:val="tx1"/>
            </w14:solidFill>
          </w14:textFill>
        </w:rPr>
        <w:t>6</w:t>
      </w:r>
      <w:r>
        <w:rPr>
          <w:rFonts w:hint="eastAsia" w:ascii="仿宋" w:hAnsi="仿宋" w:eastAsia="仿宋" w:cs="仿宋"/>
          <w:bCs/>
          <w:color w:val="000000" w:themeColor="text1"/>
          <w:sz w:val="32"/>
          <w:szCs w:val="32"/>
          <w14:textFill>
            <w14:solidFill>
              <w14:schemeClr w14:val="tx1"/>
            </w14:solidFill>
          </w14:textFill>
        </w:rPr>
        <w:t>.课题资助经费9.82万元；1</w:t>
      </w:r>
      <w:r>
        <w:rPr>
          <w:rFonts w:hint="eastAsia" w:ascii="仿宋" w:hAnsi="仿宋" w:eastAsia="仿宋" w:cs="仿宋"/>
          <w:bCs/>
          <w:color w:val="000000" w:themeColor="text1"/>
          <w:sz w:val="32"/>
          <w:szCs w:val="32"/>
          <w:lang w:val="en-US" w:eastAsia="zh-CN"/>
          <w14:textFill>
            <w14:solidFill>
              <w14:schemeClr w14:val="tx1"/>
            </w14:solidFill>
          </w14:textFill>
        </w:rPr>
        <w:t>7</w:t>
      </w:r>
      <w:r>
        <w:rPr>
          <w:rFonts w:hint="eastAsia" w:ascii="仿宋" w:hAnsi="仿宋" w:eastAsia="仿宋" w:cs="仿宋"/>
          <w:bCs/>
          <w:color w:val="000000" w:themeColor="text1"/>
          <w:sz w:val="32"/>
          <w:szCs w:val="32"/>
          <w14:textFill>
            <w14:solidFill>
              <w14:schemeClr w14:val="tx1"/>
            </w14:solidFill>
          </w14:textFill>
        </w:rPr>
        <w:t>.省社会科学成果评审委员会及智库课题经费0.72万元；1</w:t>
      </w:r>
      <w:r>
        <w:rPr>
          <w:rFonts w:hint="eastAsia" w:ascii="仿宋" w:hAnsi="仿宋" w:eastAsia="仿宋" w:cs="仿宋"/>
          <w:bCs/>
          <w:color w:val="000000" w:themeColor="text1"/>
          <w:sz w:val="32"/>
          <w:szCs w:val="32"/>
          <w:lang w:val="en-US" w:eastAsia="zh-CN"/>
          <w14:textFill>
            <w14:solidFill>
              <w14:schemeClr w14:val="tx1"/>
            </w14:solidFill>
          </w14:textFill>
        </w:rPr>
        <w:t>8</w:t>
      </w:r>
      <w:r>
        <w:rPr>
          <w:rFonts w:ascii="仿宋" w:hAnsi="仿宋" w:eastAsia="仿宋" w:cs="仿宋"/>
          <w:bCs/>
          <w:color w:val="000000" w:themeColor="text1"/>
          <w:sz w:val="32"/>
          <w:szCs w:val="32"/>
          <w14:textFill>
            <w14:solidFill>
              <w14:schemeClr w14:val="tx1"/>
            </w14:solidFill>
          </w14:textFill>
        </w:rPr>
        <w:t>.</w:t>
      </w:r>
      <w:r>
        <w:rPr>
          <w:rFonts w:hint="eastAsia" w:ascii="仿宋" w:hAnsi="仿宋" w:eastAsia="仿宋" w:cs="仿宋"/>
          <w:bCs/>
          <w:color w:val="000000" w:themeColor="text1"/>
          <w:sz w:val="32"/>
          <w:szCs w:val="32"/>
          <w14:textFill>
            <w14:solidFill>
              <w14:schemeClr w14:val="tx1"/>
            </w14:solidFill>
          </w14:textFill>
        </w:rPr>
        <w:t>高校毕业生求职创业补贴86.55万元。</w:t>
      </w:r>
    </w:p>
    <w:p>
      <w:pPr>
        <w:widowControl/>
        <w:spacing w:line="640" w:lineRule="exact"/>
        <w:ind w:firstLine="640" w:firstLineChars="200"/>
        <w:jc w:val="left"/>
        <w:rPr>
          <w:rFonts w:ascii="仿宋" w:hAnsi="仿宋" w:eastAsia="仿宋" w:cs="宋体"/>
          <w:color w:val="000000"/>
          <w:kern w:val="0"/>
          <w:sz w:val="32"/>
          <w:szCs w:val="32"/>
        </w:rPr>
      </w:pPr>
      <w:r>
        <w:rPr>
          <w:rFonts w:hint="eastAsia" w:ascii="仿宋" w:hAnsi="仿宋" w:eastAsia="仿宋" w:cs="仿宋"/>
          <w:bCs/>
          <w:color w:val="000000" w:themeColor="text1"/>
          <w:sz w:val="32"/>
          <w:szCs w:val="32"/>
          <w14:textFill>
            <w14:solidFill>
              <w14:schemeClr w14:val="tx1"/>
            </w14:solidFill>
          </w14:textFill>
        </w:rPr>
        <w:t>202</w:t>
      </w:r>
      <w:r>
        <w:rPr>
          <w:rFonts w:ascii="仿宋" w:hAnsi="仿宋" w:eastAsia="仿宋" w:cs="仿宋"/>
          <w:bCs/>
          <w:color w:val="000000" w:themeColor="text1"/>
          <w:sz w:val="32"/>
          <w:szCs w:val="32"/>
          <w14:textFill>
            <w14:solidFill>
              <w14:schemeClr w14:val="tx1"/>
            </w14:solidFill>
          </w14:textFill>
        </w:rPr>
        <w:t>2</w:t>
      </w:r>
      <w:r>
        <w:rPr>
          <w:rFonts w:hint="eastAsia" w:ascii="仿宋" w:hAnsi="仿宋" w:eastAsia="仿宋" w:cs="仿宋"/>
          <w:bCs/>
          <w:color w:val="000000" w:themeColor="text1"/>
          <w:sz w:val="32"/>
          <w:szCs w:val="32"/>
          <w14:textFill>
            <w14:solidFill>
              <w14:schemeClr w14:val="tx1"/>
            </w14:solidFill>
          </w14:textFill>
        </w:rPr>
        <w:t>年学校一般公共预算支出项目支出</w:t>
      </w:r>
      <w:r>
        <w:rPr>
          <w:rFonts w:ascii="仿宋" w:hAnsi="仿宋" w:eastAsia="仿宋" w:cs="宋体"/>
          <w:color w:val="000000"/>
          <w:kern w:val="0"/>
          <w:sz w:val="32"/>
          <w:szCs w:val="32"/>
        </w:rPr>
        <w:t>4880.47</w:t>
      </w:r>
      <w:r>
        <w:rPr>
          <w:rFonts w:hint="eastAsia" w:ascii="仿宋" w:hAnsi="仿宋" w:eastAsia="仿宋" w:cs="仿宋"/>
          <w:bCs/>
          <w:color w:val="000000" w:themeColor="text1"/>
          <w:sz w:val="32"/>
          <w:szCs w:val="32"/>
          <w14:textFill>
            <w14:solidFill>
              <w14:schemeClr w14:val="tx1"/>
            </w14:solidFill>
          </w14:textFill>
        </w:rPr>
        <w:t>万元，其中工资福利支出1185.52万元，占项目支</w:t>
      </w:r>
      <w:r>
        <w:rPr>
          <w:rFonts w:hint="eastAsia" w:ascii="仿宋" w:hAnsi="仿宋" w:eastAsia="仿宋" w:cs="宋体"/>
          <w:color w:val="000000"/>
          <w:kern w:val="0"/>
          <w:sz w:val="32"/>
          <w:szCs w:val="32"/>
        </w:rPr>
        <w:t>出的24.29%，主要用于发放人员工资；商品和服务支出</w:t>
      </w:r>
      <w:r>
        <w:rPr>
          <w:rFonts w:ascii="仿宋" w:hAnsi="仿宋" w:eastAsia="仿宋" w:cs="宋体"/>
          <w:color w:val="000000"/>
          <w:kern w:val="0"/>
          <w:sz w:val="32"/>
          <w:szCs w:val="32"/>
        </w:rPr>
        <w:t>1548.31</w:t>
      </w:r>
      <w:r>
        <w:rPr>
          <w:rFonts w:hint="eastAsia" w:ascii="仿宋" w:hAnsi="仿宋" w:eastAsia="仿宋" w:cs="宋体"/>
          <w:color w:val="000000"/>
          <w:kern w:val="0"/>
          <w:sz w:val="32"/>
          <w:szCs w:val="32"/>
        </w:rPr>
        <w:t>万元，占项目支出的</w:t>
      </w:r>
      <w:r>
        <w:rPr>
          <w:rFonts w:ascii="仿宋" w:hAnsi="仿宋" w:eastAsia="仿宋" w:cs="宋体"/>
          <w:color w:val="000000"/>
          <w:kern w:val="0"/>
          <w:sz w:val="32"/>
          <w:szCs w:val="32"/>
        </w:rPr>
        <w:t>31.72</w:t>
      </w:r>
      <w:r>
        <w:rPr>
          <w:rFonts w:hint="eastAsia" w:ascii="仿宋" w:hAnsi="仿宋" w:eastAsia="仿宋" w:cs="宋体"/>
          <w:color w:val="000000"/>
          <w:kern w:val="0"/>
          <w:sz w:val="32"/>
          <w:szCs w:val="32"/>
        </w:rPr>
        <w:t>%，主要用于学院学科建设、师资培训、学生竞赛等方面；对个人和家庭的补助</w:t>
      </w:r>
      <w:r>
        <w:rPr>
          <w:rFonts w:ascii="仿宋" w:hAnsi="仿宋" w:eastAsia="仿宋" w:cs="宋体"/>
          <w:color w:val="000000"/>
          <w:kern w:val="0"/>
          <w:sz w:val="32"/>
          <w:szCs w:val="32"/>
        </w:rPr>
        <w:t>1678.39</w:t>
      </w:r>
      <w:r>
        <w:rPr>
          <w:rFonts w:hint="eastAsia" w:ascii="仿宋" w:hAnsi="仿宋" w:eastAsia="仿宋" w:cs="宋体"/>
          <w:color w:val="000000"/>
          <w:kern w:val="0"/>
          <w:sz w:val="32"/>
          <w:szCs w:val="32"/>
        </w:rPr>
        <w:t>万元，占项目支出的</w:t>
      </w:r>
      <w:r>
        <w:rPr>
          <w:rFonts w:ascii="仿宋" w:hAnsi="仿宋" w:eastAsia="仿宋" w:cs="宋体"/>
          <w:color w:val="000000"/>
          <w:kern w:val="0"/>
          <w:sz w:val="32"/>
          <w:szCs w:val="32"/>
        </w:rPr>
        <w:t>34.39</w:t>
      </w:r>
      <w:r>
        <w:rPr>
          <w:rFonts w:hint="eastAsia" w:ascii="仿宋" w:hAnsi="仿宋" w:eastAsia="仿宋" w:cs="宋体"/>
          <w:color w:val="000000"/>
          <w:kern w:val="0"/>
          <w:sz w:val="32"/>
          <w:szCs w:val="32"/>
        </w:rPr>
        <w:t>%，主要用于学生奖助学金、退休费等方面；资本性支出4</w:t>
      </w:r>
      <w:r>
        <w:rPr>
          <w:rFonts w:ascii="仿宋" w:hAnsi="仿宋" w:eastAsia="仿宋" w:cs="宋体"/>
          <w:color w:val="000000"/>
          <w:kern w:val="0"/>
          <w:sz w:val="32"/>
          <w:szCs w:val="32"/>
        </w:rPr>
        <w:t>68.28</w:t>
      </w:r>
      <w:r>
        <w:rPr>
          <w:rFonts w:hint="eastAsia" w:ascii="仿宋" w:hAnsi="仿宋" w:eastAsia="仿宋" w:cs="宋体"/>
          <w:color w:val="000000"/>
          <w:kern w:val="0"/>
          <w:sz w:val="32"/>
          <w:szCs w:val="32"/>
        </w:rPr>
        <w:t>万元，占项目支出的</w:t>
      </w:r>
      <w:r>
        <w:rPr>
          <w:rFonts w:ascii="仿宋" w:hAnsi="仿宋" w:eastAsia="仿宋" w:cs="宋体"/>
          <w:color w:val="000000"/>
          <w:kern w:val="0"/>
          <w:sz w:val="32"/>
          <w:szCs w:val="32"/>
        </w:rPr>
        <w:t>9.59</w:t>
      </w:r>
      <w:r>
        <w:rPr>
          <w:rFonts w:hint="eastAsia" w:ascii="仿宋" w:hAnsi="仿宋" w:eastAsia="仿宋" w:cs="宋体"/>
          <w:color w:val="000000"/>
          <w:kern w:val="0"/>
          <w:sz w:val="32"/>
          <w:szCs w:val="32"/>
        </w:rPr>
        <w:t>%，主要用于教育教学实施设备更新，实验实训室改造等方面。</w:t>
      </w:r>
    </w:p>
    <w:p>
      <w:pPr>
        <w:widowControl/>
        <w:spacing w:line="640" w:lineRule="exact"/>
        <w:ind w:firstLine="641" w:firstLineChars="200"/>
        <w:jc w:val="left"/>
        <w:rPr>
          <w:rFonts w:ascii="华文楷体" w:hAnsi="华文楷体" w:eastAsia="华文楷体" w:cs="宋体"/>
          <w:b/>
          <w:color w:val="000000"/>
          <w:kern w:val="0"/>
          <w:sz w:val="32"/>
          <w:szCs w:val="32"/>
        </w:rPr>
      </w:pPr>
      <w:r>
        <w:rPr>
          <w:rFonts w:hint="eastAsia" w:ascii="华文楷体" w:hAnsi="华文楷体" w:eastAsia="华文楷体" w:cs="宋体"/>
          <w:b/>
          <w:color w:val="000000"/>
          <w:kern w:val="0"/>
          <w:sz w:val="32"/>
          <w:szCs w:val="32"/>
        </w:rPr>
        <w:t>3.项目资金管理情况</w:t>
      </w:r>
    </w:p>
    <w:p>
      <w:pPr>
        <w:widowControl/>
        <w:spacing w:line="640" w:lineRule="exac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学院对于所有项目支出严格按照各项目管理和核算要求进行财务核算，执行情况良好。学院根据相关法律法规结合实际制定了《中共湖南信息职业技术学院委员会 “三重一大”事项集体决策实施细则（试行）》《湖南信息职业技术学院2021年安全稳定工作要点》《湖南信息职业技术学院财务管理制度》《湖南信息职业技术学院采购实施细则》《湖南信息职业技术学院加强和规范教育收费管理实施细则》《湖南信息职业技术学院公务接待管理制度》《湖南信息职业技术学院经费支出管理办法》《湖南信息职业技术学院预算管理办法》《湖南信息职业技术学院资产管理实施细则》《湖南信息职业技术学院收入管理办法》《湖南信息职业技术学院信息公开实施办法》等一系列规章制度来规范项目资金管理。</w:t>
      </w:r>
    </w:p>
    <w:p>
      <w:pPr>
        <w:autoSpaceDE w:val="0"/>
        <w:spacing w:line="640" w:lineRule="exact"/>
        <w:ind w:firstLine="640" w:firstLineChars="200"/>
        <w:jc w:val="left"/>
        <w:rPr>
          <w:rFonts w:ascii="黑体" w:hAnsi="黑体" w:eastAsia="黑体"/>
          <w:sz w:val="32"/>
          <w:szCs w:val="32"/>
        </w:rPr>
      </w:pPr>
      <w:r>
        <w:rPr>
          <w:rFonts w:ascii="黑体" w:hAnsi="黑体" w:eastAsia="黑体"/>
          <w:sz w:val="32"/>
          <w:szCs w:val="32"/>
        </w:rPr>
        <w:t>三、项目组织实施情况</w:t>
      </w:r>
    </w:p>
    <w:p>
      <w:pPr>
        <w:autoSpaceDE w:val="0"/>
        <w:spacing w:line="640" w:lineRule="exact"/>
        <w:ind w:firstLine="641" w:firstLineChars="200"/>
        <w:rPr>
          <w:rFonts w:ascii="华文楷体" w:hAnsi="华文楷体" w:eastAsia="华文楷体" w:cs="宋体"/>
          <w:b/>
          <w:sz w:val="32"/>
          <w:szCs w:val="32"/>
        </w:rPr>
      </w:pPr>
      <w:r>
        <w:rPr>
          <w:rFonts w:ascii="华文楷体" w:hAnsi="华文楷体" w:eastAsia="华文楷体"/>
          <w:b/>
          <w:sz w:val="32"/>
          <w:szCs w:val="32"/>
        </w:rPr>
        <w:t>（一）项目组织情况分析，主要包括项目招投标、调整、竣工验收等情况</w:t>
      </w:r>
      <w:r>
        <w:rPr>
          <w:rFonts w:hint="eastAsia" w:ascii="华文楷体" w:hAnsi="华文楷体" w:eastAsia="华文楷体" w:cs="宋体"/>
          <w:b/>
          <w:sz w:val="32"/>
          <w:szCs w:val="32"/>
        </w:rPr>
        <w:t>。</w:t>
      </w:r>
    </w:p>
    <w:p>
      <w:pPr>
        <w:spacing w:line="640" w:lineRule="exact"/>
        <w:ind w:firstLine="640" w:firstLineChars="200"/>
        <w:rPr>
          <w:rFonts w:ascii="仿宋" w:hAnsi="仿宋" w:eastAsia="仿宋"/>
          <w:sz w:val="32"/>
          <w:szCs w:val="32"/>
        </w:rPr>
      </w:pPr>
      <w:r>
        <w:rPr>
          <w:rFonts w:hint="eastAsia" w:ascii="仿宋" w:hAnsi="仿宋" w:eastAsia="仿宋" w:cs="宋体"/>
          <w:sz w:val="32"/>
          <w:szCs w:val="32"/>
          <w:lang w:val="zh-TW" w:eastAsia="zh-TW" w:bidi="zh-TW"/>
        </w:rPr>
        <w:t>在长沙市政府统一管理下，我院招标采购工作严格按照学院“三重一大”集体事项决策实施细则执行，事前由各需求部门进行集中申报资产配置、市场调研、需求填报、经费申请及报会审批等立项手续；并由资产管理处在长沙市指定网站提前30天发布采购意向；事中由资产管理处组织招标采购工作，包括委托代理公司进行专家项目论证、文件编纂、组织项目评审、采购公告及中标公告公示、项目资料归档等；事后由需求部门完成项目合同，并按规定时间提出验收申请及验收方案，资产管理处组织验收小组专家进行验收。如货物采购新增等，按照完成资产配置补增再执行采购流程。</w:t>
      </w:r>
    </w:p>
    <w:p>
      <w:pPr>
        <w:autoSpaceDE w:val="0"/>
        <w:spacing w:line="640" w:lineRule="exact"/>
        <w:ind w:firstLine="641" w:firstLineChars="200"/>
        <w:rPr>
          <w:rFonts w:ascii="华文楷体" w:hAnsi="华文楷体" w:eastAsia="华文楷体" w:cs="宋体"/>
          <w:b/>
          <w:sz w:val="32"/>
          <w:szCs w:val="32"/>
        </w:rPr>
      </w:pPr>
      <w:r>
        <w:rPr>
          <w:rFonts w:ascii="华文楷体" w:hAnsi="华文楷体" w:eastAsia="华文楷体"/>
          <w:b/>
          <w:sz w:val="32"/>
          <w:szCs w:val="32"/>
        </w:rPr>
        <w:t>（二）项目管理情况分析，主要包括项目管理制度建设、日常检查监督管理等情况</w:t>
      </w:r>
      <w:r>
        <w:rPr>
          <w:rFonts w:hint="eastAsia" w:ascii="华文楷体" w:hAnsi="华文楷体" w:eastAsia="华文楷体" w:cs="宋体"/>
          <w:b/>
          <w:sz w:val="32"/>
          <w:szCs w:val="32"/>
        </w:rPr>
        <w:t>。</w:t>
      </w:r>
    </w:p>
    <w:p>
      <w:pPr>
        <w:spacing w:line="640" w:lineRule="exact"/>
        <w:ind w:firstLine="641" w:firstLineChars="200"/>
        <w:rPr>
          <w:rFonts w:ascii="华文楷体" w:hAnsi="华文楷体" w:eastAsia="华文楷体" w:cs="宋体"/>
          <w:b/>
          <w:sz w:val="32"/>
          <w:szCs w:val="32"/>
          <w:lang w:val="zh-TW" w:eastAsia="zh-TW" w:bidi="zh-TW"/>
        </w:rPr>
      </w:pPr>
      <w:r>
        <w:rPr>
          <w:rFonts w:hint="eastAsia" w:ascii="华文楷体" w:hAnsi="华文楷体" w:eastAsia="华文楷体" w:cs="宋体"/>
          <w:b/>
          <w:sz w:val="32"/>
          <w:szCs w:val="32"/>
          <w:lang w:val="zh-TW" w:eastAsia="zh-TW" w:bidi="zh-TW"/>
        </w:rPr>
        <w:t>1.项目管理制度建设</w:t>
      </w:r>
    </w:p>
    <w:p>
      <w:pPr>
        <w:spacing w:line="640" w:lineRule="exact"/>
        <w:ind w:firstLine="640" w:firstLineChars="200"/>
        <w:rPr>
          <w:rFonts w:ascii="仿宋" w:hAnsi="仿宋" w:eastAsia="仿宋" w:cs="宋体"/>
          <w:sz w:val="32"/>
          <w:szCs w:val="32"/>
          <w:lang w:val="zh-TW" w:eastAsia="zh-TW" w:bidi="zh-TW"/>
        </w:rPr>
      </w:pPr>
      <w:r>
        <w:rPr>
          <w:rFonts w:hint="eastAsia" w:ascii="仿宋" w:hAnsi="仿宋" w:eastAsia="仿宋" w:cs="宋体"/>
          <w:sz w:val="32"/>
          <w:szCs w:val="32"/>
          <w:lang w:val="zh-TW" w:eastAsia="zh-TW" w:bidi="zh-TW"/>
        </w:rPr>
        <w:t>学院为采购管理制定专项管理文件——《关于印发〈湖南信息职业技术学院采购实施细则（试行）〉的通知》湘信院〔2021〕24号，明确采购责任人的权责利。具体来说，学院招标采购工作由资产管理处组织实施，项目采取需求部门负责制，资产管理处等院行政部门积极配合支持。资产管理处遵照上级文件指示，设有专岗负责全院采购管理工作，并依据上级文件实时调整管理办法，同时在部门网站更新信息。</w:t>
      </w:r>
    </w:p>
    <w:p>
      <w:pPr>
        <w:spacing w:line="640" w:lineRule="exact"/>
        <w:ind w:firstLine="641" w:firstLineChars="200"/>
        <w:rPr>
          <w:rFonts w:ascii="华文楷体" w:hAnsi="华文楷体" w:eastAsia="华文楷体" w:cs="宋体"/>
          <w:b/>
          <w:sz w:val="32"/>
          <w:szCs w:val="32"/>
          <w:lang w:val="zh-TW" w:eastAsia="zh-TW" w:bidi="zh-TW"/>
        </w:rPr>
      </w:pPr>
      <w:r>
        <w:rPr>
          <w:rFonts w:hint="eastAsia" w:ascii="华文楷体" w:hAnsi="华文楷体" w:eastAsia="华文楷体" w:cs="宋体"/>
          <w:b/>
          <w:sz w:val="32"/>
          <w:szCs w:val="32"/>
          <w:lang w:val="zh-TW" w:eastAsia="zh-TW" w:bidi="zh-TW"/>
        </w:rPr>
        <w:t>2.日常检查监督管理</w:t>
      </w:r>
    </w:p>
    <w:p>
      <w:pPr>
        <w:spacing w:line="640" w:lineRule="exact"/>
        <w:ind w:firstLine="640" w:firstLineChars="200"/>
        <w:rPr>
          <w:rFonts w:ascii="仿宋" w:hAnsi="仿宋" w:eastAsia="仿宋" w:cs="宋体"/>
          <w:sz w:val="32"/>
          <w:szCs w:val="32"/>
          <w:lang w:val="zh-TW" w:eastAsia="zh-TW" w:bidi="zh-TW"/>
        </w:rPr>
      </w:pPr>
      <w:r>
        <w:rPr>
          <w:rFonts w:hint="eastAsia" w:ascii="仿宋" w:hAnsi="仿宋" w:eastAsia="仿宋" w:cs="宋体"/>
          <w:sz w:val="32"/>
          <w:szCs w:val="32"/>
          <w:lang w:val="zh-TW" w:eastAsia="zh-TW" w:bidi="zh-TW"/>
        </w:rPr>
        <w:t>学院采购管理工作办法中明确指出，招标采购工作由纪检监察处等监管部门全程参与监督与管理，包括事前委托招标代理公司、事中抽取业主评委、事后接收质疑、投诉。此外，资产管理处接受学院内部审计及外部各方审计，并以审计结果为导向规范采购行为，优化管理制度，促进采购管理工作提升。</w:t>
      </w:r>
    </w:p>
    <w:p>
      <w:pPr>
        <w:autoSpaceDE w:val="0"/>
        <w:spacing w:line="640" w:lineRule="exact"/>
        <w:ind w:firstLine="640" w:firstLineChars="200"/>
        <w:jc w:val="left"/>
        <w:rPr>
          <w:rFonts w:ascii="黑体" w:hAnsi="黑体" w:eastAsia="黑体"/>
          <w:sz w:val="32"/>
          <w:szCs w:val="32"/>
        </w:rPr>
      </w:pPr>
      <w:r>
        <w:rPr>
          <w:rFonts w:ascii="黑体" w:hAnsi="黑体" w:eastAsia="黑体"/>
          <w:sz w:val="32"/>
          <w:szCs w:val="32"/>
        </w:rPr>
        <w:t>四、资产管理情况</w:t>
      </w:r>
    </w:p>
    <w:p>
      <w:pPr>
        <w:spacing w:line="640" w:lineRule="exact"/>
        <w:ind w:firstLine="561" w:firstLineChars="200"/>
        <w:rPr>
          <w:rFonts w:ascii="华文楷体" w:hAnsi="华文楷体" w:eastAsia="华文楷体" w:cs="宋体"/>
          <w:b/>
          <w:sz w:val="32"/>
          <w:szCs w:val="32"/>
          <w:lang w:val="zh-TW" w:eastAsia="zh-TW" w:bidi="zh-TW"/>
        </w:rPr>
      </w:pPr>
      <w:r>
        <w:rPr>
          <w:rFonts w:hint="eastAsia" w:ascii="华文楷体" w:hAnsi="华文楷体" w:eastAsia="华文楷体"/>
          <w:b/>
          <w:sz w:val="28"/>
          <w:szCs w:val="28"/>
        </w:rPr>
        <w:t>（</w:t>
      </w:r>
      <w:r>
        <w:rPr>
          <w:rFonts w:hint="eastAsia" w:ascii="华文楷体" w:hAnsi="华文楷体" w:eastAsia="华文楷体" w:cs="宋体"/>
          <w:b/>
          <w:sz w:val="32"/>
          <w:szCs w:val="32"/>
          <w:lang w:val="zh-TW" w:eastAsia="zh-TW" w:bidi="zh-TW"/>
        </w:rPr>
        <w:t>一）</w:t>
      </w:r>
      <w:r>
        <w:rPr>
          <w:rFonts w:ascii="华文楷体" w:hAnsi="华文楷体" w:eastAsia="华文楷体"/>
          <w:b/>
          <w:sz w:val="32"/>
          <w:szCs w:val="32"/>
        </w:rPr>
        <w:t>制度建设</w:t>
      </w:r>
    </w:p>
    <w:p>
      <w:pPr>
        <w:spacing w:line="640" w:lineRule="exact"/>
        <w:ind w:firstLine="640" w:firstLineChars="200"/>
        <w:rPr>
          <w:rFonts w:ascii="仿宋" w:hAnsi="仿宋" w:eastAsia="仿宋" w:cs="宋体"/>
          <w:sz w:val="32"/>
          <w:szCs w:val="32"/>
          <w:lang w:val="zh-TW" w:eastAsia="zh-TW" w:bidi="zh-TW"/>
        </w:rPr>
      </w:pPr>
      <w:r>
        <w:rPr>
          <w:rFonts w:ascii="仿宋" w:hAnsi="仿宋" w:eastAsia="仿宋" w:cs="宋体"/>
          <w:sz w:val="32"/>
          <w:szCs w:val="32"/>
          <w:lang w:val="zh-TW" w:eastAsia="zh-TW" w:bidi="zh-TW"/>
        </w:rPr>
        <w:t>学院于2021年颁布《湖南信息职业技术学院资产管理实施细则》，以加强学院国有资产管理，维护学院国有资产的安全和完整。同时，制定了专用设备配置标准，为规范专用设备配置及使用。</w:t>
      </w:r>
    </w:p>
    <w:p>
      <w:pPr>
        <w:spacing w:line="640" w:lineRule="exact"/>
        <w:ind w:firstLine="641" w:firstLineChars="200"/>
        <w:rPr>
          <w:rFonts w:ascii="华文楷体" w:hAnsi="华文楷体" w:eastAsia="华文楷体"/>
          <w:b/>
          <w:sz w:val="32"/>
          <w:szCs w:val="32"/>
        </w:rPr>
      </w:pPr>
      <w:r>
        <w:rPr>
          <w:rFonts w:hint="eastAsia" w:ascii="华文楷体" w:hAnsi="华文楷体" w:eastAsia="华文楷体"/>
          <w:b/>
          <w:sz w:val="32"/>
          <w:szCs w:val="32"/>
        </w:rPr>
        <w:t>（二）资产管理</w:t>
      </w:r>
    </w:p>
    <w:p>
      <w:pPr>
        <w:spacing w:line="640" w:lineRule="exact"/>
        <w:ind w:firstLine="640" w:firstLineChars="200"/>
        <w:rPr>
          <w:rFonts w:ascii="仿宋" w:hAnsi="仿宋" w:eastAsia="仿宋" w:cs="宋体"/>
          <w:sz w:val="32"/>
          <w:szCs w:val="32"/>
          <w:lang w:val="zh-TW" w:eastAsia="zh-TW" w:bidi="zh-TW"/>
        </w:rPr>
      </w:pPr>
      <w:r>
        <w:rPr>
          <w:rFonts w:hint="eastAsia" w:ascii="仿宋" w:hAnsi="仿宋" w:eastAsia="仿宋" w:cs="宋体"/>
          <w:sz w:val="32"/>
          <w:szCs w:val="32"/>
          <w:lang w:val="zh-TW" w:eastAsia="zh-TW" w:bidi="zh-TW"/>
        </w:rPr>
        <w:t>学院对国有资产管理实行“统一领导、归口管理、部门负责、责任到人”的管理体制，</w:t>
      </w:r>
      <w:r>
        <w:rPr>
          <w:rFonts w:ascii="仿宋" w:hAnsi="仿宋" w:eastAsia="仿宋" w:cs="宋体"/>
          <w:sz w:val="32"/>
          <w:szCs w:val="32"/>
          <w:lang w:val="zh-TW" w:eastAsia="zh-TW" w:bidi="zh-TW"/>
        </w:rPr>
        <w:t>学院资产管理主要依托于校内资产管理信息系统，</w:t>
      </w:r>
      <w:r>
        <w:rPr>
          <w:rFonts w:hint="eastAsia" w:ascii="仿宋" w:hAnsi="仿宋" w:eastAsia="仿宋" w:cs="宋体"/>
          <w:sz w:val="32"/>
          <w:szCs w:val="32"/>
          <w:lang w:val="zh-TW" w:eastAsia="zh-TW" w:bidi="zh-TW"/>
        </w:rPr>
        <w:t>利用此系统管理资产卡片，包括卡片的增加、删除、查询、打印、汇总等。正确、全面、及时地记录资产的增加、减少、使用等状况，真实地反映和监督资产的增减变动和实际状况，建立健全了资产账簿体系。全面、动态地掌握各部门的国有资产资产管理情况。</w:t>
      </w:r>
    </w:p>
    <w:p>
      <w:pPr>
        <w:spacing w:line="640" w:lineRule="exact"/>
        <w:ind w:firstLine="641" w:firstLineChars="200"/>
        <w:rPr>
          <w:rFonts w:ascii="华文楷体" w:hAnsi="华文楷体" w:eastAsia="华文楷体" w:cs="宋体"/>
          <w:b/>
          <w:sz w:val="32"/>
          <w:szCs w:val="32"/>
          <w:lang w:val="zh-TW" w:eastAsia="zh-TW" w:bidi="zh-TW"/>
        </w:rPr>
      </w:pPr>
      <w:r>
        <w:rPr>
          <w:rFonts w:hint="eastAsia" w:ascii="华文楷体" w:hAnsi="华文楷体" w:eastAsia="华文楷体" w:cs="宋体"/>
          <w:b/>
          <w:sz w:val="32"/>
          <w:szCs w:val="32"/>
          <w:lang w:val="zh-TW" w:eastAsia="zh-TW" w:bidi="zh-TW"/>
        </w:rPr>
        <w:t>（三）资产配置</w:t>
      </w:r>
    </w:p>
    <w:p>
      <w:pPr>
        <w:spacing w:line="640" w:lineRule="exact"/>
        <w:ind w:firstLine="640" w:firstLineChars="200"/>
        <w:rPr>
          <w:rFonts w:ascii="仿宋" w:hAnsi="仿宋" w:eastAsia="仿宋" w:cs="宋体"/>
          <w:sz w:val="32"/>
          <w:szCs w:val="32"/>
          <w:lang w:val="zh-TW" w:eastAsia="zh-TW" w:bidi="zh-TW"/>
        </w:rPr>
      </w:pPr>
      <w:r>
        <w:rPr>
          <w:rFonts w:hint="eastAsia" w:ascii="仿宋" w:hAnsi="仿宋" w:eastAsia="仿宋" w:cs="宋体"/>
          <w:sz w:val="32"/>
          <w:szCs w:val="32"/>
          <w:lang w:val="zh-TW" w:eastAsia="zh-TW" w:bidi="zh-TW"/>
        </w:rPr>
        <w:t>学院秉承严格标准，厉行节约的原则，积极贯彻落实长沙市相关国有资产配置管理规定，在全面了解本院资产配置需求，准确掌握资产存量及使用情况下，科学完整编制资产配置预算。本年度组织召开了两次资产配置预算申报指导会议，并按财政要求和程序报送了年度资产配置预算和资产配置预算调整材料，并获得批复，严格落实“无配置不采购”的要求。</w:t>
      </w:r>
    </w:p>
    <w:p>
      <w:pPr>
        <w:spacing w:line="640" w:lineRule="exact"/>
        <w:ind w:firstLine="641" w:firstLineChars="200"/>
        <w:rPr>
          <w:rFonts w:ascii="华文楷体" w:hAnsi="华文楷体" w:eastAsia="华文楷体" w:cs="宋体"/>
          <w:b/>
          <w:sz w:val="32"/>
          <w:szCs w:val="32"/>
          <w:lang w:val="zh-TW" w:eastAsia="zh-TW" w:bidi="zh-TW"/>
        </w:rPr>
      </w:pPr>
      <w:r>
        <w:rPr>
          <w:rFonts w:hint="eastAsia" w:ascii="华文楷体" w:hAnsi="华文楷体" w:eastAsia="华文楷体" w:cs="宋体"/>
          <w:b/>
          <w:sz w:val="32"/>
          <w:szCs w:val="32"/>
          <w:lang w:val="zh-TW" w:eastAsia="zh-TW" w:bidi="zh-TW"/>
        </w:rPr>
        <w:t>（四）</w:t>
      </w:r>
      <w:r>
        <w:rPr>
          <w:rFonts w:ascii="华文楷体" w:hAnsi="华文楷体" w:eastAsia="华文楷体" w:cs="宋体"/>
          <w:b/>
          <w:sz w:val="32"/>
          <w:szCs w:val="32"/>
          <w:lang w:val="zh-TW" w:eastAsia="zh-TW" w:bidi="zh-TW"/>
        </w:rPr>
        <w:t>资产处置</w:t>
      </w:r>
    </w:p>
    <w:p>
      <w:pPr>
        <w:spacing w:line="640" w:lineRule="exact"/>
        <w:ind w:firstLine="640" w:firstLineChars="200"/>
        <w:rPr>
          <w:rFonts w:ascii="仿宋" w:hAnsi="仿宋" w:eastAsia="仿宋" w:cs="宋体"/>
          <w:sz w:val="32"/>
          <w:szCs w:val="32"/>
          <w:lang w:val="zh-TW" w:eastAsia="zh-TW" w:bidi="zh-TW"/>
        </w:rPr>
      </w:pPr>
      <w:r>
        <w:rPr>
          <w:rFonts w:hint="eastAsia" w:ascii="仿宋" w:hAnsi="仿宋" w:eastAsia="仿宋" w:cs="宋体"/>
          <w:sz w:val="32"/>
          <w:szCs w:val="32"/>
          <w:lang w:val="zh-TW" w:eastAsia="zh-TW" w:bidi="zh-TW"/>
        </w:rPr>
        <w:t>学院各部门使用、占有的固定资产在达到报废条件的情况下，可向资产管理处提出报废申请并完成审批程序，</w:t>
      </w:r>
      <w:r>
        <w:rPr>
          <w:rFonts w:ascii="仿宋" w:hAnsi="仿宋" w:eastAsia="仿宋" w:cs="宋体"/>
          <w:sz w:val="32"/>
          <w:szCs w:val="32"/>
          <w:lang w:val="zh-TW" w:eastAsia="zh-TW" w:bidi="zh-TW"/>
        </w:rPr>
        <w:t>未经批准，</w:t>
      </w:r>
      <w:r>
        <w:rPr>
          <w:rFonts w:hint="eastAsia" w:ascii="仿宋" w:hAnsi="仿宋" w:eastAsia="仿宋" w:cs="宋体"/>
          <w:sz w:val="32"/>
          <w:szCs w:val="32"/>
          <w:lang w:val="zh-TW" w:eastAsia="zh-TW" w:bidi="zh-TW"/>
        </w:rPr>
        <w:t>各部门</w:t>
      </w:r>
      <w:r>
        <w:rPr>
          <w:rFonts w:ascii="仿宋" w:hAnsi="仿宋" w:eastAsia="仿宋" w:cs="宋体"/>
          <w:sz w:val="32"/>
          <w:szCs w:val="32"/>
          <w:lang w:val="zh-TW" w:eastAsia="zh-TW" w:bidi="zh-TW"/>
        </w:rPr>
        <w:t>不得擅自处置。拟报废资产经学院批准后，资产管理处按长沙市财政有关文件</w:t>
      </w:r>
      <w:r>
        <w:rPr>
          <w:rFonts w:hint="eastAsia" w:ascii="仿宋" w:hAnsi="仿宋" w:eastAsia="仿宋" w:cs="宋体"/>
          <w:sz w:val="32"/>
          <w:szCs w:val="32"/>
          <w:lang w:val="zh-TW" w:eastAsia="zh-TW" w:bidi="zh-TW"/>
        </w:rPr>
        <w:t>要求</w:t>
      </w:r>
      <w:r>
        <w:rPr>
          <w:rFonts w:ascii="仿宋" w:hAnsi="仿宋" w:eastAsia="仿宋" w:cs="宋体"/>
          <w:sz w:val="32"/>
          <w:szCs w:val="32"/>
          <w:lang w:val="zh-TW" w:eastAsia="zh-TW" w:bidi="zh-TW"/>
        </w:rPr>
        <w:t>完成处置</w:t>
      </w:r>
      <w:r>
        <w:rPr>
          <w:rFonts w:hint="eastAsia" w:ascii="仿宋" w:hAnsi="仿宋" w:eastAsia="仿宋" w:cs="宋体"/>
          <w:sz w:val="32"/>
          <w:szCs w:val="32"/>
          <w:lang w:val="zh-TW" w:eastAsia="zh-TW" w:bidi="zh-TW"/>
        </w:rPr>
        <w:t>工作</w:t>
      </w:r>
      <w:r>
        <w:rPr>
          <w:rFonts w:ascii="仿宋" w:hAnsi="仿宋" w:eastAsia="仿宋" w:cs="宋体"/>
          <w:sz w:val="32"/>
          <w:szCs w:val="32"/>
          <w:lang w:val="zh-TW" w:eastAsia="zh-TW" w:bidi="zh-TW"/>
        </w:rPr>
        <w:t>。</w:t>
      </w:r>
    </w:p>
    <w:p>
      <w:pPr>
        <w:pStyle w:val="12"/>
        <w:autoSpaceDE w:val="0"/>
        <w:spacing w:line="640" w:lineRule="exact"/>
        <w:ind w:firstLine="640"/>
        <w:rPr>
          <w:rFonts w:ascii="黑体" w:hAnsi="黑体" w:eastAsia="黑体"/>
          <w:sz w:val="32"/>
          <w:szCs w:val="32"/>
        </w:rPr>
      </w:pPr>
      <w:r>
        <w:rPr>
          <w:rFonts w:ascii="黑体" w:hAnsi="黑体" w:eastAsia="黑体"/>
          <w:sz w:val="32"/>
          <w:szCs w:val="32"/>
        </w:rPr>
        <w:t>五、政府性基金预算支出情况</w:t>
      </w:r>
    </w:p>
    <w:p>
      <w:pPr>
        <w:pStyle w:val="12"/>
        <w:autoSpaceDE w:val="0"/>
        <w:spacing w:line="640" w:lineRule="exact"/>
        <w:ind w:firstLine="640"/>
        <w:rPr>
          <w:rFonts w:ascii="仿宋" w:hAnsi="仿宋" w:eastAsia="仿宋"/>
          <w:sz w:val="32"/>
          <w:szCs w:val="32"/>
        </w:rPr>
      </w:pPr>
      <w:r>
        <w:rPr>
          <w:rFonts w:hint="eastAsia" w:ascii="仿宋" w:hAnsi="仿宋" w:eastAsia="仿宋"/>
          <w:sz w:val="32"/>
          <w:szCs w:val="32"/>
        </w:rPr>
        <w:t>2022年度学院无政府性基金预算支出情况。</w:t>
      </w:r>
    </w:p>
    <w:p>
      <w:pPr>
        <w:pStyle w:val="12"/>
        <w:autoSpaceDE w:val="0"/>
        <w:spacing w:line="640" w:lineRule="exact"/>
        <w:ind w:firstLine="640"/>
        <w:rPr>
          <w:rFonts w:ascii="黑体" w:hAnsi="黑体" w:eastAsia="黑体"/>
          <w:sz w:val="32"/>
          <w:szCs w:val="32"/>
        </w:rPr>
      </w:pPr>
      <w:r>
        <w:rPr>
          <w:rFonts w:ascii="黑体" w:hAnsi="黑体" w:eastAsia="黑体"/>
          <w:sz w:val="32"/>
          <w:szCs w:val="32"/>
        </w:rPr>
        <w:t>六、国有资本经营预算支出情况</w:t>
      </w:r>
    </w:p>
    <w:p>
      <w:pPr>
        <w:pStyle w:val="12"/>
        <w:autoSpaceDE w:val="0"/>
        <w:spacing w:line="640" w:lineRule="exact"/>
        <w:ind w:firstLine="640"/>
        <w:rPr>
          <w:rFonts w:ascii="仿宋" w:hAnsi="仿宋" w:eastAsia="仿宋"/>
          <w:sz w:val="32"/>
          <w:szCs w:val="32"/>
        </w:rPr>
      </w:pPr>
      <w:r>
        <w:rPr>
          <w:rFonts w:hint="eastAsia" w:ascii="仿宋" w:hAnsi="仿宋" w:eastAsia="仿宋"/>
          <w:sz w:val="32"/>
          <w:szCs w:val="32"/>
        </w:rPr>
        <w:t>2022年度学院无国有资本经营预算支出情况。</w:t>
      </w:r>
    </w:p>
    <w:p>
      <w:pPr>
        <w:pStyle w:val="12"/>
        <w:autoSpaceDE w:val="0"/>
        <w:spacing w:line="640" w:lineRule="exact"/>
        <w:ind w:firstLine="640"/>
        <w:rPr>
          <w:rFonts w:ascii="黑体" w:hAnsi="黑体" w:eastAsia="黑体"/>
          <w:sz w:val="32"/>
          <w:szCs w:val="32"/>
        </w:rPr>
      </w:pPr>
      <w:r>
        <w:rPr>
          <w:rFonts w:ascii="黑体" w:hAnsi="黑体" w:eastAsia="黑体"/>
          <w:sz w:val="32"/>
          <w:szCs w:val="32"/>
        </w:rPr>
        <w:t>七、社会保险基金预算支出情况</w:t>
      </w:r>
    </w:p>
    <w:p>
      <w:pPr>
        <w:pStyle w:val="12"/>
        <w:autoSpaceDE w:val="0"/>
        <w:spacing w:line="640" w:lineRule="exact"/>
        <w:ind w:firstLine="640"/>
        <w:rPr>
          <w:rFonts w:ascii="仿宋" w:hAnsi="仿宋" w:eastAsia="仿宋"/>
          <w:sz w:val="32"/>
          <w:szCs w:val="32"/>
        </w:rPr>
      </w:pPr>
      <w:r>
        <w:rPr>
          <w:rFonts w:hint="eastAsia" w:ascii="仿宋" w:hAnsi="仿宋" w:eastAsia="仿宋"/>
          <w:sz w:val="32"/>
          <w:szCs w:val="32"/>
        </w:rPr>
        <w:t>2022年度学院无社会保险基金预算支出情况。</w:t>
      </w:r>
    </w:p>
    <w:p>
      <w:pPr>
        <w:pStyle w:val="12"/>
        <w:autoSpaceDE w:val="0"/>
        <w:spacing w:line="640" w:lineRule="exact"/>
        <w:ind w:firstLine="640"/>
        <w:rPr>
          <w:rFonts w:ascii="黑体" w:hAnsi="黑体" w:eastAsia="黑体"/>
          <w:sz w:val="32"/>
          <w:szCs w:val="32"/>
        </w:rPr>
      </w:pPr>
      <w:r>
        <w:rPr>
          <w:rFonts w:ascii="黑体" w:hAnsi="黑体" w:eastAsia="黑体"/>
          <w:sz w:val="32"/>
          <w:szCs w:val="32"/>
        </w:rPr>
        <w:t>八、部门整体支出绩效情况</w:t>
      </w:r>
    </w:p>
    <w:p>
      <w:pPr>
        <w:widowControl/>
        <w:spacing w:line="640" w:lineRule="exac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2022年，学院各项工作提高政治站位、抬高工作坐标，锚定学院第三次党代会确定的</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三步走</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战略构想和</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十四五</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规划确定的</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三大攻坚目标</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，始终以创先争优的精气神，苦干实干的硬作风，善作善成的真本领，聚焦</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一个目标、两次评估</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，提升协作效能、奋力攻坚克难，做到</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三保七稳</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确保新校区一期二期工程顺利推进，确保专科办学；稳步推进新校区建设，稳步提升人才培养质量，稳步提升招生质量，稳步促进高质量就业，做稳常态化疫情防控工作，稳住年底绩效评价“优秀”等次，稳步优化良好政治生态和育人环境，实现学院高质量健康发展。学院履职及履职效益情况如下：</w:t>
      </w:r>
    </w:p>
    <w:p>
      <w:pPr>
        <w:spacing w:line="640" w:lineRule="exact"/>
        <w:ind w:firstLine="641" w:firstLineChars="200"/>
        <w:rPr>
          <w:rFonts w:ascii="华文楷体" w:hAnsi="华文楷体" w:eastAsia="华文楷体"/>
          <w:b/>
          <w:bCs/>
          <w:sz w:val="32"/>
          <w:szCs w:val="32"/>
        </w:rPr>
      </w:pPr>
      <w:r>
        <w:rPr>
          <w:rFonts w:hint="eastAsia" w:ascii="华文楷体" w:hAnsi="华文楷体" w:eastAsia="华文楷体"/>
          <w:b/>
          <w:bCs/>
          <w:sz w:val="32"/>
          <w:szCs w:val="32"/>
        </w:rPr>
        <w:t>（一）党建引领聚合力，事业发展高质量</w:t>
      </w:r>
    </w:p>
    <w:p>
      <w:pPr>
        <w:spacing w:line="640" w:lineRule="exact"/>
        <w:ind w:firstLine="641" w:firstLineChars="200"/>
        <w:rPr>
          <w:rFonts w:ascii="仿宋" w:hAnsi="仿宋" w:eastAsia="仿宋" w:cs="仿宋"/>
          <w:color w:val="000000" w:themeColor="text1"/>
          <w:sz w:val="32"/>
          <w:szCs w:val="32"/>
          <w14:textFill>
            <w14:solidFill>
              <w14:schemeClr w14:val="tx1"/>
            </w14:solidFill>
          </w14:textFill>
        </w:rPr>
      </w:pPr>
      <w:r>
        <w:rPr>
          <w:rFonts w:hint="eastAsia" w:ascii="华文楷体" w:hAnsi="华文楷体" w:eastAsia="华文楷体"/>
          <w:b/>
          <w:bCs/>
          <w:sz w:val="32"/>
          <w:szCs w:val="32"/>
        </w:rPr>
        <w:t>1</w:t>
      </w:r>
      <w:r>
        <w:rPr>
          <w:rFonts w:ascii="华文楷体" w:hAnsi="华文楷体" w:eastAsia="华文楷体"/>
          <w:b/>
          <w:bCs/>
          <w:sz w:val="32"/>
          <w:szCs w:val="32"/>
        </w:rPr>
        <w:t>.</w:t>
      </w:r>
      <w:r>
        <w:rPr>
          <w:rFonts w:hint="eastAsia" w:ascii="华文楷体" w:hAnsi="华文楷体" w:eastAsia="华文楷体"/>
          <w:b/>
          <w:bCs/>
          <w:sz w:val="32"/>
          <w:szCs w:val="32"/>
        </w:rPr>
        <w:t>强化党的创新理论学习，党的二十大精神入脑入心。</w:t>
      </w:r>
      <w:r>
        <w:rPr>
          <w:rFonts w:hint="eastAsia" w:ascii="仿宋" w:hAnsi="仿宋" w:eastAsia="仿宋" w:cs="仿宋"/>
          <w:sz w:val="32"/>
          <w:szCs w:val="32"/>
        </w:rPr>
        <w:t>全</w:t>
      </w:r>
      <w:r>
        <w:rPr>
          <w:rFonts w:hint="eastAsia" w:ascii="仿宋" w:hAnsi="仿宋" w:eastAsia="仿宋" w:cs="仿宋"/>
          <w:color w:val="000000" w:themeColor="text1"/>
          <w:sz w:val="32"/>
          <w:szCs w:val="32"/>
          <w14:textFill>
            <w14:solidFill>
              <w14:schemeClr w14:val="tx1"/>
            </w14:solidFill>
          </w14:textFill>
        </w:rPr>
        <w:t>年坚持以习近平新时代中国特色社会主义思想为引领，深入贯彻落实习近平总书记考察湖南主要讲话精神，党委理论学习中心组集中学习9次，第一议题学习22项/次，各党总支（支部）严格落实教职员工每周1次集中学习、每月开展1次党的创新理论学习，全院上下学思践悟相贯通，树牢“四个意识”，坚定“四个自信”，坚决做到“两个维护”。省委宣讲团、学院书记、院长集中宣讲党的二十大精神23场，党的二十大精神入脑入心、落地生根。</w:t>
      </w:r>
    </w:p>
    <w:p>
      <w:pPr>
        <w:spacing w:line="640" w:lineRule="exact"/>
        <w:ind w:firstLine="641" w:firstLineChars="200"/>
        <w:rPr>
          <w:rFonts w:ascii="仿宋" w:hAnsi="仿宋" w:eastAsia="仿宋" w:cs="仿宋"/>
          <w:color w:val="000000" w:themeColor="text1"/>
          <w:sz w:val="32"/>
          <w:szCs w:val="32"/>
          <w14:textFill>
            <w14:solidFill>
              <w14:schemeClr w14:val="tx1"/>
            </w14:solidFill>
          </w14:textFill>
        </w:rPr>
      </w:pPr>
      <w:r>
        <w:rPr>
          <w:rFonts w:hint="eastAsia" w:ascii="华文楷体" w:hAnsi="华文楷体" w:eastAsia="华文楷体"/>
          <w:b/>
          <w:bCs/>
          <w:sz w:val="32"/>
          <w:szCs w:val="32"/>
        </w:rPr>
        <w:t>2</w:t>
      </w:r>
      <w:r>
        <w:rPr>
          <w:rFonts w:ascii="华文楷体" w:hAnsi="华文楷体" w:eastAsia="华文楷体"/>
          <w:b/>
          <w:bCs/>
          <w:sz w:val="32"/>
          <w:szCs w:val="32"/>
        </w:rPr>
        <w:t>.</w:t>
      </w:r>
      <w:r>
        <w:rPr>
          <w:rFonts w:hint="eastAsia" w:ascii="华文楷体" w:hAnsi="华文楷体" w:eastAsia="华文楷体"/>
          <w:b/>
          <w:bCs/>
          <w:sz w:val="32"/>
          <w:szCs w:val="32"/>
        </w:rPr>
        <w:t>严格落实意识形态工作责任，文化阵地向上向好。</w:t>
      </w:r>
      <w:r>
        <w:rPr>
          <w:rFonts w:hint="eastAsia" w:ascii="仿宋" w:hAnsi="仿宋" w:eastAsia="仿宋" w:cs="仿宋"/>
          <w:color w:val="000000" w:themeColor="text1"/>
          <w:sz w:val="32"/>
          <w:szCs w:val="32"/>
          <w14:textFill>
            <w14:solidFill>
              <w14:schemeClr w14:val="tx1"/>
            </w14:solidFill>
          </w14:textFill>
        </w:rPr>
        <w:t>学院党委扛牢意识形态政治责任，坚决做到“六个纳入”，定期准确研判形势，坚持正面宣传“稳总量、提质量、优变量”原则，全年无负面舆情，无媒体投诉事件，意识形态领域平稳可控。积极打造融媒体宣传格局，全年在省级及以上媒体刊发报道464篇（次），在全省高职院校排名稳居前列。</w:t>
      </w:r>
    </w:p>
    <w:p>
      <w:pPr>
        <w:spacing w:line="640" w:lineRule="exact"/>
        <w:ind w:firstLine="641" w:firstLineChars="200"/>
        <w:rPr>
          <w:rFonts w:ascii="仿宋" w:hAnsi="仿宋" w:eastAsia="仿宋" w:cs="仿宋"/>
          <w:color w:val="000000" w:themeColor="text1"/>
          <w:sz w:val="32"/>
          <w:szCs w:val="32"/>
          <w14:textFill>
            <w14:solidFill>
              <w14:schemeClr w14:val="tx1"/>
            </w14:solidFill>
          </w14:textFill>
        </w:rPr>
      </w:pPr>
      <w:r>
        <w:rPr>
          <w:rFonts w:hint="eastAsia" w:ascii="华文楷体" w:hAnsi="华文楷体" w:eastAsia="华文楷体"/>
          <w:b/>
          <w:bCs/>
          <w:sz w:val="32"/>
          <w:szCs w:val="32"/>
        </w:rPr>
        <w:t>3</w:t>
      </w:r>
      <w:r>
        <w:rPr>
          <w:rFonts w:ascii="华文楷体" w:hAnsi="华文楷体" w:eastAsia="华文楷体"/>
          <w:b/>
          <w:bCs/>
          <w:sz w:val="32"/>
          <w:szCs w:val="32"/>
        </w:rPr>
        <w:t>.</w:t>
      </w:r>
      <w:r>
        <w:rPr>
          <w:rFonts w:hint="eastAsia" w:ascii="华文楷体" w:hAnsi="华文楷体" w:eastAsia="华文楷体"/>
          <w:b/>
          <w:bCs/>
          <w:sz w:val="32"/>
          <w:szCs w:val="32"/>
        </w:rPr>
        <w:t>全面加强基层党组织建设，先锋模范作用彰显。</w:t>
      </w:r>
      <w:r>
        <w:rPr>
          <w:rFonts w:hint="eastAsia" w:ascii="仿宋" w:hAnsi="仿宋" w:eastAsia="仿宋"/>
          <w:bCs/>
          <w:sz w:val="32"/>
          <w:szCs w:val="32"/>
        </w:rPr>
        <w:t>完成</w:t>
      </w:r>
      <w:r>
        <w:rPr>
          <w:rFonts w:hint="eastAsia" w:ascii="仿宋" w:hAnsi="仿宋" w:eastAsia="仿宋" w:cs="仿宋"/>
          <w:color w:val="000000" w:themeColor="text1"/>
          <w:sz w:val="32"/>
          <w:szCs w:val="32"/>
          <w14:textFill>
            <w14:solidFill>
              <w14:schemeClr w14:val="tx1"/>
            </w14:solidFill>
          </w14:textFill>
        </w:rPr>
        <w:t>基层党组织换届工作，调整设置11个党总支、25个党支部；基层党支部“五化”建设提质增效，经济管理学院教工党支部获评全省高校党建“样板支部”，获评“党务工作示范岗”1人、“青年教工党员示范岗”1人，10个支部获评“优秀党支部”，11个获评“合格支部”。严格党员发展程序，高标准发展学生党员100人，教师党员4人，入党积极分子960人，谭若霓同学当选2022年度湖南省普通高校优秀大学生党员。</w:t>
      </w:r>
    </w:p>
    <w:p>
      <w:pPr>
        <w:pStyle w:val="2"/>
        <w:spacing w:line="640" w:lineRule="exact"/>
        <w:ind w:firstLine="641" w:firstLineChars="200"/>
        <w:rPr>
          <w:rFonts w:ascii="仿宋" w:hAnsi="仿宋" w:eastAsia="仿宋" w:cs="仿宋"/>
          <w:color w:val="000000" w:themeColor="text1"/>
          <w:sz w:val="32"/>
          <w:szCs w:val="32"/>
          <w14:textFill>
            <w14:solidFill>
              <w14:schemeClr w14:val="tx1"/>
            </w14:solidFill>
          </w14:textFill>
        </w:rPr>
      </w:pPr>
      <w:r>
        <w:rPr>
          <w:rFonts w:hint="eastAsia" w:ascii="华文楷体" w:hAnsi="华文楷体" w:eastAsia="华文楷体"/>
          <w:b/>
          <w:bCs/>
          <w:sz w:val="32"/>
          <w:szCs w:val="32"/>
        </w:rPr>
        <w:t>4</w:t>
      </w:r>
      <w:r>
        <w:rPr>
          <w:rFonts w:ascii="华文楷体" w:hAnsi="华文楷体" w:eastAsia="华文楷体"/>
          <w:b/>
          <w:bCs/>
          <w:sz w:val="32"/>
          <w:szCs w:val="32"/>
        </w:rPr>
        <w:t>.</w:t>
      </w:r>
      <w:r>
        <w:rPr>
          <w:rFonts w:hint="eastAsia" w:ascii="华文楷体" w:hAnsi="华文楷体" w:eastAsia="华文楷体"/>
          <w:b/>
          <w:bCs/>
          <w:sz w:val="32"/>
          <w:szCs w:val="32"/>
        </w:rPr>
        <w:t>实施“头雁示范”行动，干部队伍政治三力提升。</w:t>
      </w:r>
      <w:r>
        <w:rPr>
          <w:rFonts w:hint="eastAsia" w:ascii="仿宋" w:hAnsi="仿宋" w:eastAsia="仿宋" w:cs="仿宋"/>
          <w:color w:val="000000" w:themeColor="text1"/>
          <w:sz w:val="32"/>
          <w:szCs w:val="32"/>
          <w14:textFill>
            <w14:solidFill>
              <w14:schemeClr w14:val="tx1"/>
            </w14:solidFill>
          </w14:textFill>
        </w:rPr>
        <w:t>30名同志通过副科级干部竞聘上岗，干部梯度建设得以健全；3名党员干部到省、市组织部、维汉村挂职锻炼，皆获好评。干部、党务工作人员赴韶山干部学院、郴州“半条被子”发源地开展培训，共230人次。学院选人用人、从严管理监督干部、新提拔干部等好评率均排在市属高职校第一档次，领导班子考核获“优秀”等次，学院获长沙市教育系统2021年度绩效考核优秀等次。全面完成干部人事档案专项审核，干部人事档案管理日益标准化、规范化。</w:t>
      </w:r>
    </w:p>
    <w:p>
      <w:pPr>
        <w:pStyle w:val="8"/>
        <w:spacing w:line="640" w:lineRule="exact"/>
        <w:ind w:firstLine="641" w:firstLineChars="200"/>
        <w:rPr>
          <w:rFonts w:ascii="仿宋" w:hAnsi="仿宋" w:eastAsia="仿宋" w:cs="仿宋"/>
          <w:color w:val="000000" w:themeColor="text1"/>
          <w:sz w:val="32"/>
          <w:szCs w:val="32"/>
          <w14:textFill>
            <w14:solidFill>
              <w14:schemeClr w14:val="tx1"/>
            </w14:solidFill>
          </w14:textFill>
        </w:rPr>
      </w:pPr>
      <w:r>
        <w:rPr>
          <w:rFonts w:hint="eastAsia" w:ascii="华文楷体" w:hAnsi="华文楷体" w:eastAsia="华文楷体"/>
          <w:b/>
          <w:bCs/>
          <w:sz w:val="32"/>
          <w:szCs w:val="32"/>
        </w:rPr>
        <w:t>5</w:t>
      </w:r>
      <w:r>
        <w:rPr>
          <w:rFonts w:ascii="华文楷体" w:hAnsi="华文楷体" w:eastAsia="华文楷体"/>
          <w:b/>
          <w:bCs/>
          <w:sz w:val="32"/>
          <w:szCs w:val="32"/>
        </w:rPr>
        <w:t>.</w:t>
      </w:r>
      <w:r>
        <w:rPr>
          <w:rFonts w:hint="eastAsia" w:ascii="华文楷体" w:hAnsi="华文楷体" w:eastAsia="华文楷体"/>
          <w:b/>
          <w:bCs/>
          <w:sz w:val="32"/>
          <w:szCs w:val="32"/>
        </w:rPr>
        <w:t>全面推进“清廉湘信”建设，校园生态风清气正。</w:t>
      </w:r>
      <w:r>
        <w:rPr>
          <w:rFonts w:hint="eastAsia" w:ascii="仿宋" w:hAnsi="仿宋" w:eastAsia="仿宋" w:cs="仿宋"/>
          <w:color w:val="000000" w:themeColor="text1"/>
          <w:sz w:val="32"/>
          <w:szCs w:val="32"/>
          <w14:textFill>
            <w14:solidFill>
              <w14:schemeClr w14:val="tx1"/>
            </w14:solidFill>
          </w14:textFill>
        </w:rPr>
        <w:t>强化政治监督，抓好日常监督和会议监督，认真落实“一岗双责”，创新抓好廉洁教育，确保“三大攻坚目标”落实落地。全年召开全面从严治党专题大会1次、廉政主题教育大会3次，观看警示教育片3部，开展了“清廉文化进校园”书画展、支部书记讲廉政党课、党员干部党章党规党纪测试、各级干部廉政谈心谈话等主题活动。全年信访件为零，单招考试、科长竞聘等重点工作零投诉，获评2021年度全面从严治党工作目标考核先进单位，在长沙市教育局作风建设专项监督中获得良好评价，筑牢了“清廉湘信”建设基础，巩固了风清气正政治生态。</w:t>
      </w:r>
    </w:p>
    <w:p>
      <w:pPr>
        <w:spacing w:line="640" w:lineRule="exact"/>
        <w:ind w:firstLine="641" w:firstLineChars="200"/>
        <w:rPr>
          <w:rFonts w:ascii="华文楷体" w:hAnsi="华文楷体" w:eastAsia="华文楷体"/>
          <w:b/>
          <w:bCs/>
          <w:sz w:val="32"/>
          <w:szCs w:val="32"/>
        </w:rPr>
      </w:pPr>
      <w:r>
        <w:rPr>
          <w:rFonts w:hint="eastAsia" w:ascii="华文楷体" w:hAnsi="华文楷体" w:eastAsia="华文楷体"/>
          <w:b/>
          <w:bCs/>
          <w:sz w:val="32"/>
          <w:szCs w:val="32"/>
        </w:rPr>
        <w:t>（二）深入实施“人才强校”，高素质教师队伍成型</w:t>
      </w:r>
    </w:p>
    <w:p>
      <w:pPr>
        <w:spacing w:line="640" w:lineRule="exact"/>
        <w:ind w:firstLine="641" w:firstLineChars="200"/>
        <w:rPr>
          <w:rFonts w:ascii="仿宋" w:hAnsi="仿宋" w:eastAsia="仿宋" w:cs="仿宋"/>
          <w:color w:val="000000" w:themeColor="text1"/>
          <w:sz w:val="32"/>
          <w:szCs w:val="32"/>
          <w14:textFill>
            <w14:solidFill>
              <w14:schemeClr w14:val="tx1"/>
            </w14:solidFill>
          </w14:textFill>
        </w:rPr>
      </w:pPr>
      <w:r>
        <w:rPr>
          <w:rFonts w:hint="eastAsia" w:ascii="华文楷体" w:hAnsi="华文楷体" w:eastAsia="华文楷体"/>
          <w:b/>
          <w:bCs/>
          <w:sz w:val="32"/>
          <w:szCs w:val="32"/>
        </w:rPr>
        <w:t>1</w:t>
      </w:r>
      <w:r>
        <w:rPr>
          <w:rFonts w:ascii="华文楷体" w:hAnsi="华文楷体" w:eastAsia="华文楷体"/>
          <w:b/>
          <w:bCs/>
          <w:sz w:val="32"/>
          <w:szCs w:val="32"/>
        </w:rPr>
        <w:t>.</w:t>
      </w:r>
      <w:r>
        <w:rPr>
          <w:rFonts w:hint="eastAsia" w:ascii="华文楷体" w:hAnsi="华文楷体" w:eastAsia="华文楷体"/>
          <w:b/>
          <w:bCs/>
          <w:sz w:val="32"/>
          <w:szCs w:val="32"/>
        </w:rPr>
        <w:t>高素质教师队伍更加壮大。</w:t>
      </w:r>
      <w:r>
        <w:rPr>
          <w:rFonts w:hint="eastAsia" w:ascii="仿宋" w:hAnsi="仿宋" w:eastAsia="仿宋" w:cs="仿宋"/>
          <w:color w:val="000000" w:themeColor="text1"/>
          <w:sz w:val="32"/>
          <w:szCs w:val="32"/>
          <w14:textFill>
            <w14:solidFill>
              <w14:schemeClr w14:val="tx1"/>
            </w14:solidFill>
          </w14:textFill>
        </w:rPr>
        <w:t>学院圆满完成第四届学术委员会换届改选，3人当选湖南省首批行业职业教育教学指导委员会委员；芙蓉教学名师考核顺利通过，熊英、肖遥星入选湖南省普通高等学校骨干教师，教师李璐入围2022年长沙市第六届“感动星城·十大魅力教师”。聘请李颖悟等产业导师30人，开市属高校先河。“百年峥嵘岁月，青年赓续荣光”获教育部“2022年新时代教师风采短视频征集活动”入围作品奖。第38个教师节学院表彰王翊覃等3人“师德师风标兵”、文求实等 25 人“优秀教师”、马江斌等15人“优秀教育工作者”、尹小雁等10人“优秀辅导员”。</w:t>
      </w:r>
    </w:p>
    <w:p>
      <w:pPr>
        <w:spacing w:line="640" w:lineRule="exact"/>
        <w:ind w:firstLine="641" w:firstLineChars="200"/>
        <w:rPr>
          <w:rFonts w:ascii="仿宋" w:hAnsi="仿宋" w:eastAsia="仿宋" w:cs="仿宋"/>
          <w:color w:val="000000" w:themeColor="text1"/>
          <w:sz w:val="32"/>
          <w:szCs w:val="32"/>
          <w14:textFill>
            <w14:solidFill>
              <w14:schemeClr w14:val="tx1"/>
            </w14:solidFill>
          </w14:textFill>
        </w:rPr>
      </w:pPr>
      <w:r>
        <w:rPr>
          <w:rFonts w:hint="eastAsia" w:ascii="华文楷体" w:hAnsi="华文楷体" w:eastAsia="华文楷体" w:cs="仿宋"/>
          <w:b/>
          <w:bCs/>
          <w:color w:val="000000" w:themeColor="text1"/>
          <w:sz w:val="32"/>
          <w:szCs w:val="32"/>
          <w14:textFill>
            <w14:solidFill>
              <w14:schemeClr w14:val="tx1"/>
            </w14:solidFill>
          </w14:textFill>
        </w:rPr>
        <w:t>2</w:t>
      </w:r>
      <w:r>
        <w:rPr>
          <w:rFonts w:ascii="华文楷体" w:hAnsi="华文楷体" w:eastAsia="华文楷体" w:cs="仿宋"/>
          <w:b/>
          <w:bCs/>
          <w:color w:val="000000" w:themeColor="text1"/>
          <w:sz w:val="32"/>
          <w:szCs w:val="32"/>
          <w14:textFill>
            <w14:solidFill>
              <w14:schemeClr w14:val="tx1"/>
            </w14:solidFill>
          </w14:textFill>
        </w:rPr>
        <w:t>.</w:t>
      </w:r>
      <w:r>
        <w:rPr>
          <w:rFonts w:hint="eastAsia" w:ascii="华文楷体" w:hAnsi="华文楷体" w:eastAsia="华文楷体" w:cs="仿宋"/>
          <w:b/>
          <w:bCs/>
          <w:color w:val="000000" w:themeColor="text1"/>
          <w:sz w:val="32"/>
          <w:szCs w:val="32"/>
          <w14:textFill>
            <w14:solidFill>
              <w14:schemeClr w14:val="tx1"/>
            </w14:solidFill>
          </w14:textFill>
        </w:rPr>
        <w:t>教师培养持续发力。</w:t>
      </w:r>
      <w:r>
        <w:rPr>
          <w:rFonts w:hint="eastAsia" w:ascii="仿宋" w:hAnsi="仿宋" w:eastAsia="仿宋" w:cs="仿宋"/>
          <w:color w:val="000000" w:themeColor="text1"/>
          <w:sz w:val="32"/>
          <w:szCs w:val="32"/>
          <w14:textFill>
            <w14:solidFill>
              <w14:schemeClr w14:val="tx1"/>
            </w14:solidFill>
          </w14:textFill>
        </w:rPr>
        <w:t>全年共推荐21名、10名教师</w:t>
      </w:r>
      <w:r>
        <w:rPr>
          <w:rFonts w:hint="eastAsia" w:ascii="仿宋" w:hAnsi="仿宋" w:eastAsia="仿宋" w:cs="仿宋"/>
          <w:color w:val="000000" w:themeColor="text1"/>
          <w:sz w:val="32"/>
          <w:szCs w:val="32"/>
          <w:lang w:eastAsia="zh-Hans"/>
          <w14:textFill>
            <w14:solidFill>
              <w14:schemeClr w14:val="tx1"/>
            </w14:solidFill>
          </w14:textFill>
        </w:rPr>
        <w:t>分别</w:t>
      </w:r>
      <w:r>
        <w:rPr>
          <w:rFonts w:hint="eastAsia" w:ascii="仿宋" w:hAnsi="仿宋" w:eastAsia="仿宋" w:cs="仿宋"/>
          <w:color w:val="000000" w:themeColor="text1"/>
          <w:sz w:val="32"/>
          <w:szCs w:val="32"/>
          <w14:textFill>
            <w14:solidFill>
              <w14:schemeClr w14:val="tx1"/>
            </w14:solidFill>
          </w14:textFill>
        </w:rPr>
        <w:t>参加2022年国家级培训、省级培训；组织开展寒、暑假分类培训，做到全员覆盖；全年组织教职工业务外派培训9批次，培训人数达300余人次。组织56名教师参加长沙市事业单位公开招聘新进人员岗前培训、12名教职工参与2022年度湖南省高校教师岗前培训，完成47名新进教师资格证认定工作。连续4年常态化开展教师企业实践，本年度共53位教师进入企业实践。开展“师德师风活动月”专题培训系列活动，全年未出现教师“师德师风”问题，高尚师德蔚然成风。</w:t>
      </w:r>
    </w:p>
    <w:p>
      <w:pPr>
        <w:spacing w:line="640" w:lineRule="exact"/>
        <w:ind w:firstLine="641" w:firstLineChars="200"/>
        <w:rPr>
          <w:rFonts w:ascii="华文楷体" w:hAnsi="华文楷体" w:eastAsia="华文楷体" w:cs="仿宋"/>
          <w:b/>
          <w:bCs/>
          <w:color w:val="000000" w:themeColor="text1"/>
          <w:sz w:val="32"/>
          <w:szCs w:val="32"/>
          <w14:textFill>
            <w14:solidFill>
              <w14:schemeClr w14:val="tx1"/>
            </w14:solidFill>
          </w14:textFill>
        </w:rPr>
      </w:pPr>
      <w:r>
        <w:rPr>
          <w:rFonts w:hint="eastAsia" w:ascii="华文楷体" w:hAnsi="华文楷体" w:eastAsia="华文楷体" w:cs="仿宋"/>
          <w:b/>
          <w:bCs/>
          <w:color w:val="000000" w:themeColor="text1"/>
          <w:sz w:val="32"/>
          <w:szCs w:val="32"/>
          <w14:textFill>
            <w14:solidFill>
              <w14:schemeClr w14:val="tx1"/>
            </w14:solidFill>
          </w14:textFill>
        </w:rPr>
        <w:t>（三）深入推进“三教改革”，内涵建设成果丰硕</w:t>
      </w:r>
    </w:p>
    <w:p>
      <w:pPr>
        <w:pStyle w:val="8"/>
        <w:spacing w:line="640" w:lineRule="exact"/>
        <w:ind w:firstLine="641" w:firstLineChars="200"/>
        <w:rPr>
          <w:rFonts w:ascii="仿宋" w:hAnsi="仿宋" w:eastAsia="仿宋" w:cs="仿宋"/>
          <w:color w:val="000000" w:themeColor="text1"/>
          <w:sz w:val="32"/>
          <w:szCs w:val="32"/>
          <w14:textFill>
            <w14:solidFill>
              <w14:schemeClr w14:val="tx1"/>
            </w14:solidFill>
          </w14:textFill>
        </w:rPr>
      </w:pPr>
      <w:r>
        <w:rPr>
          <w:rFonts w:hint="eastAsia" w:ascii="华文楷体" w:hAnsi="华文楷体" w:eastAsia="华文楷体" w:cs="仿宋"/>
          <w:b/>
          <w:bCs/>
          <w:color w:val="000000" w:themeColor="text1"/>
          <w:sz w:val="32"/>
          <w:szCs w:val="32"/>
          <w14:textFill>
            <w14:solidFill>
              <w14:schemeClr w14:val="tx1"/>
            </w14:solidFill>
          </w14:textFill>
        </w:rPr>
        <w:t>1</w:t>
      </w:r>
      <w:r>
        <w:rPr>
          <w:rFonts w:ascii="华文楷体" w:hAnsi="华文楷体" w:eastAsia="华文楷体" w:cs="仿宋"/>
          <w:b/>
          <w:bCs/>
          <w:color w:val="000000" w:themeColor="text1"/>
          <w:sz w:val="32"/>
          <w:szCs w:val="32"/>
          <w14:textFill>
            <w14:solidFill>
              <w14:schemeClr w14:val="tx1"/>
            </w14:solidFill>
          </w14:textFill>
        </w:rPr>
        <w:t>.</w:t>
      </w:r>
      <w:r>
        <w:rPr>
          <w:rFonts w:hint="eastAsia" w:ascii="华文楷体" w:hAnsi="华文楷体" w:eastAsia="华文楷体" w:cs="仿宋"/>
          <w:b/>
          <w:bCs/>
          <w:color w:val="000000" w:themeColor="text1"/>
          <w:sz w:val="32"/>
          <w:szCs w:val="32"/>
          <w14:textFill>
            <w14:solidFill>
              <w14:schemeClr w14:val="tx1"/>
            </w14:solidFill>
          </w14:textFill>
        </w:rPr>
        <w:t>课程专业（专业群）成果提质增效。</w:t>
      </w:r>
      <w:r>
        <w:rPr>
          <w:rFonts w:hint="eastAsia" w:ascii="仿宋" w:hAnsi="仿宋" w:eastAsia="仿宋" w:cs="仿宋"/>
          <w:color w:val="000000" w:themeColor="text1"/>
          <w:sz w:val="32"/>
          <w:szCs w:val="32"/>
          <w14:textFill>
            <w14:solidFill>
              <w14:schemeClr w14:val="tx1"/>
            </w14:solidFill>
          </w14:textFill>
        </w:rPr>
        <w:t>2022年，学院软件技术专业群、电子信息工程技术专业群立项为湖南省楚怡高水平高职专业群建设计划建设单位A档；35个专业（方向）人才培养方案通过湖南省教育厅合格性评价；3个专业人才培养方案获评省级“优秀”等级。学院“C语言程序设计”“电子设计自动化技术”两门课程入选2022年职业教育国家在线精品课，全年共立项省级专业教学资源库2个、省级精品在线开放课程通过认定5门、立项1门，立项院级专业教学资源库3个、院级精品在线开放课程21门、院级课程思政项目42个。</w:t>
      </w:r>
    </w:p>
    <w:p>
      <w:pPr>
        <w:spacing w:line="640" w:lineRule="exact"/>
        <w:ind w:firstLine="641" w:firstLineChars="200"/>
        <w:rPr>
          <w:rFonts w:ascii="仿宋" w:hAnsi="仿宋" w:eastAsia="仿宋" w:cs="仿宋"/>
          <w:color w:val="000000" w:themeColor="text1"/>
          <w:sz w:val="32"/>
          <w:szCs w:val="32"/>
          <w14:textFill>
            <w14:solidFill>
              <w14:schemeClr w14:val="tx1"/>
            </w14:solidFill>
          </w14:textFill>
        </w:rPr>
      </w:pPr>
      <w:r>
        <w:rPr>
          <w:rFonts w:hint="eastAsia" w:ascii="华文楷体" w:hAnsi="华文楷体" w:eastAsia="华文楷体" w:cs="仿宋"/>
          <w:b/>
          <w:bCs/>
          <w:color w:val="000000" w:themeColor="text1"/>
          <w:sz w:val="32"/>
          <w:szCs w:val="32"/>
          <w14:textFill>
            <w14:solidFill>
              <w14:schemeClr w14:val="tx1"/>
            </w14:solidFill>
          </w14:textFill>
        </w:rPr>
        <w:t>2</w:t>
      </w:r>
      <w:r>
        <w:rPr>
          <w:rFonts w:ascii="华文楷体" w:hAnsi="华文楷体" w:eastAsia="华文楷体" w:cs="仿宋"/>
          <w:b/>
          <w:bCs/>
          <w:color w:val="000000" w:themeColor="text1"/>
          <w:sz w:val="32"/>
          <w:szCs w:val="32"/>
          <w14:textFill>
            <w14:solidFill>
              <w14:schemeClr w14:val="tx1"/>
            </w14:solidFill>
          </w14:textFill>
        </w:rPr>
        <w:t>.</w:t>
      </w:r>
      <w:r>
        <w:rPr>
          <w:rFonts w:hint="eastAsia" w:ascii="华文楷体" w:hAnsi="华文楷体" w:eastAsia="华文楷体" w:cs="仿宋"/>
          <w:b/>
          <w:bCs/>
          <w:color w:val="000000" w:themeColor="text1"/>
          <w:sz w:val="32"/>
          <w:szCs w:val="32"/>
          <w14:textFill>
            <w14:solidFill>
              <w14:schemeClr w14:val="tx1"/>
            </w14:solidFill>
          </w14:textFill>
        </w:rPr>
        <w:t>教学管理制度进一步完善健全。</w:t>
      </w:r>
      <w:r>
        <w:rPr>
          <w:rFonts w:hint="eastAsia" w:ascii="仿宋" w:hAnsi="仿宋" w:eastAsia="仿宋" w:cs="仿宋"/>
          <w:color w:val="000000" w:themeColor="text1"/>
          <w:sz w:val="32"/>
          <w:szCs w:val="32"/>
          <w14:textFill>
            <w14:solidFill>
              <w14:schemeClr w14:val="tx1"/>
            </w14:solidFill>
          </w14:textFill>
        </w:rPr>
        <w:t>修订完善了《学生岗位实习管理办法》等10余项教学管理制度，严肃摸排了往届毕业生学籍15345人次，严密核查2022级新生学籍注册，严格执行结业证换毕业证管理制度，排除了风险隐患。2019级4160名毕业生岗位实习顺利通过省教育厅抽查，2020级学生岗位实习工作有序推进，教材专项排查成效获得省教育厅肯定，教学秩序进一步规范。19个专业项目获批教育部1+X证书试点项目，试点学生规模1061人，“业财税融合成本管控”“业财税融合大数据投融资分析”和“电子商务数据分析”获职业技能等级证书试点工作“全国考核优秀单位”。</w:t>
      </w:r>
    </w:p>
    <w:p>
      <w:pPr>
        <w:spacing w:line="640" w:lineRule="exact"/>
        <w:ind w:firstLine="641" w:firstLineChars="200"/>
        <w:rPr>
          <w:rFonts w:ascii="仿宋" w:hAnsi="仿宋" w:eastAsia="仿宋" w:cs="仿宋"/>
          <w:color w:val="000000" w:themeColor="text1"/>
          <w:sz w:val="32"/>
          <w:szCs w:val="32"/>
          <w14:textFill>
            <w14:solidFill>
              <w14:schemeClr w14:val="tx1"/>
            </w14:solidFill>
          </w14:textFill>
        </w:rPr>
      </w:pPr>
      <w:r>
        <w:rPr>
          <w:rFonts w:hint="eastAsia" w:ascii="华文楷体" w:hAnsi="华文楷体" w:eastAsia="华文楷体" w:cs="仿宋"/>
          <w:b/>
          <w:bCs/>
          <w:color w:val="000000" w:themeColor="text1"/>
          <w:sz w:val="32"/>
          <w:szCs w:val="32"/>
          <w14:textFill>
            <w14:solidFill>
              <w14:schemeClr w14:val="tx1"/>
            </w14:solidFill>
          </w14:textFill>
        </w:rPr>
        <w:t>3</w:t>
      </w:r>
      <w:r>
        <w:rPr>
          <w:rFonts w:ascii="华文楷体" w:hAnsi="华文楷体" w:eastAsia="华文楷体" w:cs="仿宋"/>
          <w:b/>
          <w:bCs/>
          <w:color w:val="000000" w:themeColor="text1"/>
          <w:sz w:val="32"/>
          <w:szCs w:val="32"/>
          <w14:textFill>
            <w14:solidFill>
              <w14:schemeClr w14:val="tx1"/>
            </w14:solidFill>
          </w14:textFill>
        </w:rPr>
        <w:t>.</w:t>
      </w:r>
      <w:r>
        <w:rPr>
          <w:rFonts w:hint="eastAsia" w:ascii="华文楷体" w:hAnsi="华文楷体" w:eastAsia="华文楷体" w:cs="仿宋"/>
          <w:b/>
          <w:bCs/>
          <w:color w:val="000000" w:themeColor="text1"/>
          <w:sz w:val="32"/>
          <w:szCs w:val="32"/>
          <w14:textFill>
            <w14:solidFill>
              <w14:schemeClr w14:val="tx1"/>
            </w14:solidFill>
          </w14:textFill>
        </w:rPr>
        <w:t>师生技能竞赛成果丰硕。</w:t>
      </w:r>
      <w:r>
        <w:rPr>
          <w:rFonts w:hint="eastAsia" w:ascii="仿宋" w:hAnsi="仿宋" w:eastAsia="仿宋" w:cs="仿宋"/>
          <w:color w:val="000000" w:themeColor="text1"/>
          <w:sz w:val="32"/>
          <w:szCs w:val="32"/>
          <w14:textFill>
            <w14:solidFill>
              <w14:schemeClr w14:val="tx1"/>
            </w14:solidFill>
          </w14:textFill>
        </w:rPr>
        <w:t>教师教学能力比赛获得省级一等奖1个、二等奖5个、三等奖2个；全国职业院校技能大赛“5G全网建设技术”赛项学生团队取得国赛二等奖的好成绩。湖南省“楚怡”杯职业技能竞赛，获一等奖6个、二等奖16个、三等奖26个，获奖率69.57%，学院获团队三等奖、优秀组织奖。“第三届全国新零售技能大赛”获一等奖两项，二等奖一项，三等奖一项；“一带一路暨金砖国家技能发展与技术创新大赛”获一等奖二项，二等奖五项，三等奖七项。第二届校级教学比武大赛圆满落幕，产生一等奖4个，二等奖6个，三等奖11个。</w:t>
      </w:r>
    </w:p>
    <w:p>
      <w:pPr>
        <w:pStyle w:val="8"/>
        <w:spacing w:line="640" w:lineRule="exact"/>
        <w:ind w:firstLine="641" w:firstLineChars="200"/>
        <w:rPr>
          <w:rFonts w:ascii="仿宋" w:hAnsi="仿宋" w:eastAsia="仿宋" w:cs="仿宋"/>
          <w:color w:val="000000" w:themeColor="text1"/>
          <w:sz w:val="32"/>
          <w:szCs w:val="32"/>
          <w14:textFill>
            <w14:solidFill>
              <w14:schemeClr w14:val="tx1"/>
            </w14:solidFill>
          </w14:textFill>
        </w:rPr>
      </w:pPr>
      <w:r>
        <w:rPr>
          <w:rFonts w:hint="eastAsia" w:ascii="华文楷体" w:hAnsi="华文楷体" w:eastAsia="华文楷体" w:cs="仿宋"/>
          <w:b/>
          <w:bCs/>
          <w:color w:val="000000" w:themeColor="text1"/>
          <w:sz w:val="32"/>
          <w:szCs w:val="32"/>
          <w14:textFill>
            <w14:solidFill>
              <w14:schemeClr w14:val="tx1"/>
            </w14:solidFill>
          </w14:textFill>
        </w:rPr>
        <w:t>4</w:t>
      </w:r>
      <w:r>
        <w:rPr>
          <w:rFonts w:ascii="华文楷体" w:hAnsi="华文楷体" w:eastAsia="华文楷体" w:cs="仿宋"/>
          <w:b/>
          <w:bCs/>
          <w:color w:val="000000" w:themeColor="text1"/>
          <w:sz w:val="32"/>
          <w:szCs w:val="32"/>
          <w14:textFill>
            <w14:solidFill>
              <w14:schemeClr w14:val="tx1"/>
            </w14:solidFill>
          </w14:textFill>
        </w:rPr>
        <w:t>.</w:t>
      </w:r>
      <w:r>
        <w:rPr>
          <w:rFonts w:hint="eastAsia" w:ascii="华文楷体" w:hAnsi="华文楷体" w:eastAsia="华文楷体" w:cs="仿宋"/>
          <w:b/>
          <w:bCs/>
          <w:color w:val="000000" w:themeColor="text1"/>
          <w:sz w:val="32"/>
          <w:szCs w:val="32"/>
          <w14:textFill>
            <w14:solidFill>
              <w14:schemeClr w14:val="tx1"/>
            </w14:solidFill>
          </w14:textFill>
        </w:rPr>
        <w:t>教学设施设备不断完善。</w:t>
      </w:r>
      <w:r>
        <w:rPr>
          <w:rFonts w:hint="eastAsia" w:ascii="仿宋" w:hAnsi="仿宋" w:eastAsia="仿宋" w:cs="仿宋"/>
          <w:color w:val="000000" w:themeColor="text1"/>
          <w:sz w:val="32"/>
          <w:szCs w:val="32"/>
          <w14:textFill>
            <w14:solidFill>
              <w14:schemeClr w14:val="tx1"/>
            </w14:solidFill>
          </w14:textFill>
        </w:rPr>
        <w:t>新校区一期建成59个实验室，涵盖6个学科大类。建设经费总计投入3814.159万，设备总金额3605.593万，场地建设总金额208.56597万。</w:t>
      </w:r>
    </w:p>
    <w:p>
      <w:pPr>
        <w:spacing w:line="640" w:lineRule="exact"/>
        <w:ind w:firstLine="641" w:firstLineChars="200"/>
        <w:rPr>
          <w:rFonts w:ascii="华文楷体" w:hAnsi="华文楷体" w:eastAsia="华文楷体" w:cs="仿宋"/>
          <w:b/>
          <w:bCs/>
          <w:color w:val="000000" w:themeColor="text1"/>
          <w:sz w:val="32"/>
          <w:szCs w:val="32"/>
          <w14:textFill>
            <w14:solidFill>
              <w14:schemeClr w14:val="tx1"/>
            </w14:solidFill>
          </w14:textFill>
        </w:rPr>
      </w:pPr>
      <w:r>
        <w:rPr>
          <w:rFonts w:hint="eastAsia" w:ascii="华文楷体" w:hAnsi="华文楷体" w:eastAsia="华文楷体" w:cs="仿宋"/>
          <w:b/>
          <w:bCs/>
          <w:color w:val="000000" w:themeColor="text1"/>
          <w:sz w:val="32"/>
          <w:szCs w:val="32"/>
          <w14:textFill>
            <w14:solidFill>
              <w14:schemeClr w14:val="tx1"/>
            </w14:solidFill>
          </w14:textFill>
        </w:rPr>
        <w:t>（四）深度融入服务长沙，“教研产服”创新发展</w:t>
      </w:r>
    </w:p>
    <w:p>
      <w:pPr>
        <w:spacing w:line="640" w:lineRule="exact"/>
        <w:ind w:firstLine="641" w:firstLineChars="200"/>
        <w:rPr>
          <w:rFonts w:ascii="仿宋" w:hAnsi="仿宋" w:eastAsia="仿宋" w:cs="仿宋"/>
          <w:color w:val="000000" w:themeColor="text1"/>
          <w:sz w:val="32"/>
          <w:szCs w:val="32"/>
          <w14:textFill>
            <w14:solidFill>
              <w14:schemeClr w14:val="tx1"/>
            </w14:solidFill>
          </w14:textFill>
        </w:rPr>
      </w:pPr>
      <w:r>
        <w:rPr>
          <w:rFonts w:hint="eastAsia" w:ascii="华文楷体" w:hAnsi="华文楷体" w:eastAsia="华文楷体" w:cs="仿宋"/>
          <w:b/>
          <w:bCs/>
          <w:color w:val="000000" w:themeColor="text1"/>
          <w:sz w:val="32"/>
          <w:szCs w:val="32"/>
          <w14:textFill>
            <w14:solidFill>
              <w14:schemeClr w14:val="tx1"/>
            </w14:solidFill>
          </w14:textFill>
        </w:rPr>
        <w:t>1</w:t>
      </w:r>
      <w:r>
        <w:rPr>
          <w:rFonts w:ascii="华文楷体" w:hAnsi="华文楷体" w:eastAsia="华文楷体" w:cs="仿宋"/>
          <w:b/>
          <w:bCs/>
          <w:color w:val="000000" w:themeColor="text1"/>
          <w:sz w:val="32"/>
          <w:szCs w:val="32"/>
          <w14:textFill>
            <w14:solidFill>
              <w14:schemeClr w14:val="tx1"/>
            </w14:solidFill>
          </w14:textFill>
        </w:rPr>
        <w:t>.</w:t>
      </w:r>
      <w:r>
        <w:rPr>
          <w:rFonts w:hint="eastAsia" w:ascii="华文楷体" w:hAnsi="华文楷体" w:eastAsia="华文楷体" w:cs="仿宋"/>
          <w:b/>
          <w:bCs/>
          <w:color w:val="000000" w:themeColor="text1"/>
          <w:sz w:val="32"/>
          <w:szCs w:val="32"/>
          <w14:textFill>
            <w14:solidFill>
              <w14:schemeClr w14:val="tx1"/>
            </w14:solidFill>
          </w14:textFill>
        </w:rPr>
        <w:t>政校园企深度合作，社会服务能力显著提升。</w:t>
      </w:r>
      <w:r>
        <w:rPr>
          <w:rFonts w:hint="eastAsia" w:ascii="仿宋" w:hAnsi="仿宋" w:eastAsia="仿宋" w:cs="仿宋"/>
          <w:color w:val="000000" w:themeColor="text1"/>
          <w:sz w:val="32"/>
          <w:szCs w:val="32"/>
          <w14:textFill>
            <w14:solidFill>
              <w14:schemeClr w14:val="tx1"/>
            </w14:solidFill>
          </w14:textFill>
        </w:rPr>
        <w:t>学院与政府园区及龙头企业的合作不断加强，与长沙经开区、望城经开区、铜官工业园管委会、马栏山文创园、三一重工、长沙兆兴博拓科技有限公司、长城信息等国家级园区和龙头企业签订校企合作协议24个，共建“双师型”教师培养培训基地、企业职工培训中心等平台15个。湖南信息产业职业教育集团立项湖南省“楚怡”示范性职业教育集团，“电子信息工程技术专业群”产教融合实训基地立项湖南省“楚怡”产教融合实训基地，学院社科联获得“长沙市社科系统先进单位”，电子商务专业与望城双丰村联合打造电商人才基地，立项为长沙市社科联电商人才培养研究基地。</w:t>
      </w:r>
    </w:p>
    <w:p>
      <w:pPr>
        <w:spacing w:line="640" w:lineRule="exact"/>
        <w:ind w:firstLine="641" w:firstLineChars="200"/>
        <w:rPr>
          <w:rFonts w:ascii="仿宋" w:hAnsi="仿宋" w:eastAsia="仿宋" w:cs="仿宋"/>
          <w:color w:val="000000" w:themeColor="text1"/>
          <w:sz w:val="32"/>
          <w:szCs w:val="32"/>
          <w14:textFill>
            <w14:solidFill>
              <w14:schemeClr w14:val="tx1"/>
            </w14:solidFill>
          </w14:textFill>
        </w:rPr>
      </w:pPr>
      <w:r>
        <w:rPr>
          <w:rFonts w:hint="eastAsia" w:ascii="华文楷体" w:hAnsi="华文楷体" w:eastAsia="华文楷体" w:cs="仿宋"/>
          <w:b/>
          <w:bCs/>
          <w:color w:val="000000" w:themeColor="text1"/>
          <w:sz w:val="32"/>
          <w:szCs w:val="32"/>
          <w14:textFill>
            <w14:solidFill>
              <w14:schemeClr w14:val="tx1"/>
            </w14:solidFill>
          </w14:textFill>
        </w:rPr>
        <w:t>2</w:t>
      </w:r>
      <w:r>
        <w:rPr>
          <w:rFonts w:ascii="华文楷体" w:hAnsi="华文楷体" w:eastAsia="华文楷体" w:cs="仿宋"/>
          <w:b/>
          <w:bCs/>
          <w:color w:val="000000" w:themeColor="text1"/>
          <w:sz w:val="32"/>
          <w:szCs w:val="32"/>
          <w14:textFill>
            <w14:solidFill>
              <w14:schemeClr w14:val="tx1"/>
            </w14:solidFill>
          </w14:textFill>
        </w:rPr>
        <w:t>.</w:t>
      </w:r>
      <w:r>
        <w:rPr>
          <w:rFonts w:hint="eastAsia" w:ascii="华文楷体" w:hAnsi="华文楷体" w:eastAsia="华文楷体" w:cs="仿宋"/>
          <w:b/>
          <w:bCs/>
          <w:color w:val="000000" w:themeColor="text1"/>
          <w:sz w:val="32"/>
          <w:szCs w:val="32"/>
          <w14:textFill>
            <w14:solidFill>
              <w14:schemeClr w14:val="tx1"/>
            </w14:solidFill>
          </w14:textFill>
        </w:rPr>
        <w:t>课题培育立竿见影，规模与质量双双突破。</w:t>
      </w:r>
      <w:r>
        <w:rPr>
          <w:rFonts w:hint="eastAsia" w:ascii="仿宋" w:hAnsi="仿宋" w:eastAsia="仿宋" w:cs="仿宋"/>
          <w:color w:val="000000" w:themeColor="text1"/>
          <w:sz w:val="32"/>
          <w:szCs w:val="32"/>
          <w14:textFill>
            <w14:solidFill>
              <w14:schemeClr w14:val="tx1"/>
            </w14:solidFill>
          </w14:textFill>
        </w:rPr>
        <w:t>通过开展校级课题培育，科研氛围日益浓厚，全年300名余教职工申报各级各类科研项目390项次，成功立项116项，其中立项教育部人文社科规划项目1项、省部级23项、市厅级43项，创历史新高。省“十四五规划”课题，我校申报6项，5项成功入选，立项率83%，同比增长67%；省高校思想政治工作精品项目申报2项，立项2项立项率100%；省高校思想政治工作研究项目申报4项，立项3项，立项率75%；长沙市哲社课题立项26项，立项数量位于市属高职院校第一。</w:t>
      </w:r>
    </w:p>
    <w:p>
      <w:pPr>
        <w:spacing w:line="640" w:lineRule="exact"/>
        <w:ind w:firstLine="641" w:firstLineChars="200"/>
        <w:rPr>
          <w:rFonts w:ascii="仿宋" w:hAnsi="仿宋" w:eastAsia="仿宋" w:cs="仿宋"/>
          <w:color w:val="000000" w:themeColor="text1"/>
          <w:sz w:val="32"/>
          <w:szCs w:val="32"/>
          <w14:textFill>
            <w14:solidFill>
              <w14:schemeClr w14:val="tx1"/>
            </w14:solidFill>
          </w14:textFill>
        </w:rPr>
      </w:pPr>
      <w:r>
        <w:rPr>
          <w:rFonts w:hint="eastAsia" w:ascii="华文楷体" w:hAnsi="华文楷体" w:eastAsia="华文楷体" w:cs="仿宋"/>
          <w:b/>
          <w:bCs/>
          <w:color w:val="000000" w:themeColor="text1"/>
          <w:sz w:val="32"/>
          <w:szCs w:val="32"/>
          <w14:textFill>
            <w14:solidFill>
              <w14:schemeClr w14:val="tx1"/>
            </w14:solidFill>
          </w14:textFill>
        </w:rPr>
        <w:t>3</w:t>
      </w:r>
      <w:r>
        <w:rPr>
          <w:rFonts w:ascii="华文楷体" w:hAnsi="华文楷体" w:eastAsia="华文楷体" w:cs="仿宋"/>
          <w:b/>
          <w:bCs/>
          <w:color w:val="000000" w:themeColor="text1"/>
          <w:sz w:val="32"/>
          <w:szCs w:val="32"/>
          <w14:textFill>
            <w14:solidFill>
              <w14:schemeClr w14:val="tx1"/>
            </w14:solidFill>
          </w14:textFill>
        </w:rPr>
        <w:t>.</w:t>
      </w:r>
      <w:r>
        <w:rPr>
          <w:rFonts w:hint="eastAsia" w:ascii="华文楷体" w:hAnsi="华文楷体" w:eastAsia="华文楷体" w:cs="仿宋"/>
          <w:b/>
          <w:bCs/>
          <w:color w:val="000000" w:themeColor="text1"/>
          <w:sz w:val="32"/>
          <w:szCs w:val="32"/>
          <w14:textFill>
            <w14:solidFill>
              <w14:schemeClr w14:val="tx1"/>
            </w14:solidFill>
          </w14:textFill>
        </w:rPr>
        <w:t>科研水平显著提升，标志性成果数量创新高。</w:t>
      </w:r>
      <w:r>
        <w:rPr>
          <w:rFonts w:hint="eastAsia" w:ascii="仿宋" w:hAnsi="仿宋" w:eastAsia="仿宋" w:cs="仿宋"/>
          <w:color w:val="000000" w:themeColor="text1"/>
          <w:sz w:val="32"/>
          <w:szCs w:val="32"/>
          <w14:textFill>
            <w14:solidFill>
              <w14:schemeClr w14:val="tx1"/>
            </w14:solidFill>
          </w14:textFill>
        </w:rPr>
        <w:t>学院“以质量文化引领高职院校内部质量保障体系的重构与实践”等获得湖南省职业教育教学成果奖二等奖1项，三等奖3项；学院入选长沙市第十八届哲学社会科学优秀人才1人，入选长沙市星辰智库2人，《以平台思维创新产教融合模式》《打造职教高地 赋能全面建设国家重要先进制造业中心》等理论成果在湖南日报等媒体平台发表。通过省社会成果评审委成果鉴定4项；获省级领导肯定性批示1篇，获市级领导肯定性批示1篇；获全省普通高等学校就业创业理论研究征文活二等奖2项，三等奖1项；获长沙市第二十二届哲学社会科学优秀成果三等奖1项，优秀奖1项。教师全年发表论文383篇，其中核心以上期刊论文7篇，出版专著及教材10余本，授权专利50多项，软件著作授权227项。</w:t>
      </w:r>
    </w:p>
    <w:p>
      <w:pPr>
        <w:spacing w:line="640" w:lineRule="exact"/>
        <w:ind w:firstLine="641" w:firstLineChars="200"/>
        <w:rPr>
          <w:rFonts w:ascii="华文楷体" w:hAnsi="华文楷体" w:eastAsia="华文楷体" w:cs="仿宋"/>
          <w:b/>
          <w:bCs/>
          <w:color w:val="000000" w:themeColor="text1"/>
          <w:sz w:val="32"/>
          <w:szCs w:val="32"/>
          <w14:textFill>
            <w14:solidFill>
              <w14:schemeClr w14:val="tx1"/>
            </w14:solidFill>
          </w14:textFill>
        </w:rPr>
      </w:pPr>
      <w:r>
        <w:rPr>
          <w:rFonts w:hint="eastAsia" w:ascii="华文楷体" w:hAnsi="华文楷体" w:eastAsia="华文楷体" w:cs="仿宋"/>
          <w:b/>
          <w:bCs/>
          <w:color w:val="000000" w:themeColor="text1"/>
          <w:sz w:val="32"/>
          <w:szCs w:val="32"/>
          <w14:textFill>
            <w14:solidFill>
              <w14:schemeClr w14:val="tx1"/>
            </w14:solidFill>
          </w14:textFill>
        </w:rPr>
        <w:t>（五）深化“招培就创”改革，助推招生就业高质量</w:t>
      </w:r>
    </w:p>
    <w:p>
      <w:pPr>
        <w:spacing w:line="640" w:lineRule="exact"/>
        <w:ind w:firstLine="641" w:firstLineChars="200"/>
        <w:rPr>
          <w:rFonts w:ascii="仿宋" w:hAnsi="仿宋" w:eastAsia="仿宋" w:cs="仿宋"/>
          <w:color w:val="000000" w:themeColor="text1"/>
          <w:sz w:val="32"/>
          <w:szCs w:val="32"/>
          <w14:textFill>
            <w14:solidFill>
              <w14:schemeClr w14:val="tx1"/>
            </w14:solidFill>
          </w14:textFill>
        </w:rPr>
      </w:pPr>
      <w:r>
        <w:rPr>
          <w:rFonts w:hint="eastAsia" w:ascii="华文楷体" w:hAnsi="华文楷体" w:eastAsia="华文楷体" w:cs="仿宋"/>
          <w:b/>
          <w:bCs/>
          <w:color w:val="000000" w:themeColor="text1"/>
          <w:sz w:val="32"/>
          <w:szCs w:val="32"/>
          <w14:textFill>
            <w14:solidFill>
              <w14:schemeClr w14:val="tx1"/>
            </w14:solidFill>
          </w14:textFill>
        </w:rPr>
        <w:t>1</w:t>
      </w:r>
      <w:r>
        <w:rPr>
          <w:rFonts w:ascii="华文楷体" w:hAnsi="华文楷体" w:eastAsia="华文楷体" w:cs="仿宋"/>
          <w:b/>
          <w:bCs/>
          <w:color w:val="000000" w:themeColor="text1"/>
          <w:sz w:val="32"/>
          <w:szCs w:val="32"/>
          <w14:textFill>
            <w14:solidFill>
              <w14:schemeClr w14:val="tx1"/>
            </w14:solidFill>
          </w14:textFill>
        </w:rPr>
        <w:t>.</w:t>
      </w:r>
      <w:r>
        <w:rPr>
          <w:rFonts w:hint="eastAsia" w:ascii="华文楷体" w:hAnsi="华文楷体" w:eastAsia="华文楷体" w:cs="仿宋"/>
          <w:b/>
          <w:bCs/>
          <w:color w:val="000000" w:themeColor="text1"/>
          <w:sz w:val="32"/>
          <w:szCs w:val="32"/>
          <w14:textFill>
            <w14:solidFill>
              <w14:schemeClr w14:val="tx1"/>
            </w14:solidFill>
          </w14:textFill>
        </w:rPr>
        <w:t>毕业生就业落实率稳中趋优。</w:t>
      </w:r>
      <w:r>
        <w:rPr>
          <w:rFonts w:hint="eastAsia" w:ascii="仿宋" w:hAnsi="仿宋" w:eastAsia="仿宋" w:cs="仿宋"/>
          <w:color w:val="000000" w:themeColor="text1"/>
          <w:sz w:val="32"/>
          <w:szCs w:val="32"/>
          <w14:textFill>
            <w14:solidFill>
              <w14:schemeClr w14:val="tx1"/>
            </w14:solidFill>
          </w14:textFill>
        </w:rPr>
        <w:t>2022届毕业生总人数为4160人,截至8月31日，初次毕业生去向落实率为89.98%，湖南本地毕业生去向落实率为75.37%,长沙本地毕业生去向落实率为67.41%，升学深造人数为376人，占9.04%，就业核查准确率100%；获得长沙市2021届毕业生留长工作先进单位。</w:t>
      </w:r>
    </w:p>
    <w:p>
      <w:pPr>
        <w:spacing w:line="640" w:lineRule="exact"/>
        <w:ind w:firstLine="641" w:firstLineChars="200"/>
        <w:rPr>
          <w:rFonts w:ascii="仿宋" w:hAnsi="仿宋" w:eastAsia="仿宋" w:cs="仿宋"/>
          <w:color w:val="000000" w:themeColor="text1"/>
          <w:sz w:val="32"/>
          <w:szCs w:val="32"/>
          <w14:textFill>
            <w14:solidFill>
              <w14:schemeClr w14:val="tx1"/>
            </w14:solidFill>
          </w14:textFill>
        </w:rPr>
      </w:pPr>
      <w:r>
        <w:rPr>
          <w:rFonts w:hint="eastAsia" w:ascii="华文楷体" w:hAnsi="华文楷体" w:eastAsia="华文楷体" w:cs="仿宋"/>
          <w:b/>
          <w:bCs/>
          <w:color w:val="000000" w:themeColor="text1"/>
          <w:sz w:val="32"/>
          <w:szCs w:val="32"/>
          <w14:textFill>
            <w14:solidFill>
              <w14:schemeClr w14:val="tx1"/>
            </w14:solidFill>
          </w14:textFill>
        </w:rPr>
        <w:t>2</w:t>
      </w:r>
      <w:r>
        <w:rPr>
          <w:rFonts w:ascii="华文楷体" w:hAnsi="华文楷体" w:eastAsia="华文楷体" w:cs="仿宋"/>
          <w:b/>
          <w:bCs/>
          <w:color w:val="000000" w:themeColor="text1"/>
          <w:sz w:val="32"/>
          <w:szCs w:val="32"/>
          <w14:textFill>
            <w14:solidFill>
              <w14:schemeClr w14:val="tx1"/>
            </w14:solidFill>
          </w14:textFill>
        </w:rPr>
        <w:t>.</w:t>
      </w:r>
      <w:r>
        <w:rPr>
          <w:rFonts w:hint="eastAsia" w:ascii="华文楷体" w:hAnsi="华文楷体" w:eastAsia="华文楷体" w:cs="仿宋"/>
          <w:b/>
          <w:bCs/>
          <w:color w:val="000000" w:themeColor="text1"/>
          <w:sz w:val="32"/>
          <w:szCs w:val="32"/>
          <w14:textFill>
            <w14:solidFill>
              <w14:schemeClr w14:val="tx1"/>
            </w14:solidFill>
          </w14:textFill>
        </w:rPr>
        <w:t>招生录取分数名次稳居前列。</w:t>
      </w:r>
      <w:r>
        <w:rPr>
          <w:rFonts w:hint="eastAsia" w:ascii="仿宋" w:hAnsi="仿宋" w:eastAsia="仿宋" w:cs="仿宋"/>
          <w:color w:val="000000" w:themeColor="text1"/>
          <w:sz w:val="32"/>
          <w:szCs w:val="32"/>
          <w14:textFill>
            <w14:solidFill>
              <w14:schemeClr w14:val="tx1"/>
            </w14:solidFill>
          </w14:textFill>
        </w:rPr>
        <w:t>2022年在全国19个省市共录取学生4200人，到校4046人，到校率96.3%。普招省内历史类分数411分，高职类院校排名第12名，物理类分数线392分，高职类院校排名第9名，招生宣传录取工作0有效投诉。</w:t>
      </w:r>
    </w:p>
    <w:p>
      <w:pPr>
        <w:spacing w:line="640" w:lineRule="exact"/>
        <w:ind w:firstLine="641" w:firstLineChars="200"/>
        <w:rPr>
          <w:rFonts w:ascii="仿宋" w:hAnsi="仿宋" w:eastAsia="仿宋" w:cs="仿宋"/>
          <w:color w:val="000000" w:themeColor="text1"/>
          <w:sz w:val="32"/>
          <w:szCs w:val="32"/>
          <w14:textFill>
            <w14:solidFill>
              <w14:schemeClr w14:val="tx1"/>
            </w14:solidFill>
          </w14:textFill>
        </w:rPr>
      </w:pPr>
      <w:r>
        <w:rPr>
          <w:rFonts w:hint="eastAsia" w:ascii="华文楷体" w:hAnsi="华文楷体" w:eastAsia="华文楷体" w:cs="仿宋"/>
          <w:b/>
          <w:bCs/>
          <w:color w:val="000000" w:themeColor="text1"/>
          <w:sz w:val="32"/>
          <w:szCs w:val="32"/>
          <w14:textFill>
            <w14:solidFill>
              <w14:schemeClr w14:val="tx1"/>
            </w14:solidFill>
          </w14:textFill>
        </w:rPr>
        <w:t>3</w:t>
      </w:r>
      <w:r>
        <w:rPr>
          <w:rFonts w:ascii="华文楷体" w:hAnsi="华文楷体" w:eastAsia="华文楷体" w:cs="仿宋"/>
          <w:b/>
          <w:bCs/>
          <w:color w:val="000000" w:themeColor="text1"/>
          <w:sz w:val="32"/>
          <w:szCs w:val="32"/>
          <w14:textFill>
            <w14:solidFill>
              <w14:schemeClr w14:val="tx1"/>
            </w14:solidFill>
          </w14:textFill>
        </w:rPr>
        <w:t>.</w:t>
      </w:r>
      <w:r>
        <w:rPr>
          <w:rFonts w:hint="eastAsia" w:ascii="华文楷体" w:hAnsi="华文楷体" w:eastAsia="华文楷体" w:cs="仿宋"/>
          <w:b/>
          <w:bCs/>
          <w:color w:val="000000" w:themeColor="text1"/>
          <w:sz w:val="32"/>
          <w:szCs w:val="32"/>
          <w14:textFill>
            <w14:solidFill>
              <w14:schemeClr w14:val="tx1"/>
            </w14:solidFill>
          </w14:textFill>
        </w:rPr>
        <w:t>创新创业赛事成绩创历史新高。</w:t>
      </w:r>
      <w:r>
        <w:rPr>
          <w:rFonts w:hint="eastAsia" w:ascii="仿宋" w:hAnsi="仿宋" w:eastAsia="仿宋" w:cs="仿宋"/>
          <w:color w:val="000000" w:themeColor="text1"/>
          <w:sz w:val="32"/>
          <w:szCs w:val="32"/>
          <w14:textFill>
            <w14:solidFill>
              <w14:schemeClr w14:val="tx1"/>
            </w14:solidFill>
          </w14:textFill>
        </w:rPr>
        <w:t>第十届“挑战杯”湖南省大学生创业计划竞赛中斩获一银四铜，学院荣获“优秀组织奖，是市属高职院校中唯一获此殊荣的学校；“互联网+”大学生创新创业大赛中获得省赛二等奖2项、三等奖1项；“挑战杯”大学生创新创业大赛获省赛银奖1项，铜奖4项并获得省级“优秀组织奖”；实现了获奖项目和获奖等级双突破。我院学生钟易获评第二届“青春正当时 三湘追梦人”湖南省高校大学生就业创业优秀典型人物。</w:t>
      </w:r>
    </w:p>
    <w:p>
      <w:pPr>
        <w:spacing w:line="640" w:lineRule="exact"/>
        <w:ind w:firstLine="641" w:firstLineChars="200"/>
        <w:rPr>
          <w:rFonts w:ascii="华文楷体" w:hAnsi="华文楷体" w:eastAsia="华文楷体" w:cs="仿宋"/>
          <w:b/>
          <w:bCs/>
          <w:color w:val="000000" w:themeColor="text1"/>
          <w:sz w:val="32"/>
          <w:szCs w:val="32"/>
          <w14:textFill>
            <w14:solidFill>
              <w14:schemeClr w14:val="tx1"/>
            </w14:solidFill>
          </w14:textFill>
        </w:rPr>
      </w:pPr>
      <w:r>
        <w:rPr>
          <w:rFonts w:hint="eastAsia" w:ascii="华文楷体" w:hAnsi="华文楷体" w:eastAsia="华文楷体" w:cs="仿宋"/>
          <w:b/>
          <w:bCs/>
          <w:color w:val="000000" w:themeColor="text1"/>
          <w:sz w:val="32"/>
          <w:szCs w:val="32"/>
          <w14:textFill>
            <w14:solidFill>
              <w14:schemeClr w14:val="tx1"/>
            </w14:solidFill>
          </w14:textFill>
        </w:rPr>
        <w:t>（六）多措并举深化“三全育人”，校园文化铸魂育人</w:t>
      </w:r>
    </w:p>
    <w:p>
      <w:pPr>
        <w:spacing w:line="640" w:lineRule="exact"/>
        <w:ind w:firstLine="641" w:firstLineChars="200"/>
        <w:rPr>
          <w:rFonts w:ascii="仿宋" w:hAnsi="仿宋" w:eastAsia="仿宋" w:cs="仿宋"/>
          <w:color w:val="000000" w:themeColor="text1"/>
          <w:sz w:val="32"/>
          <w:szCs w:val="32"/>
          <w14:textFill>
            <w14:solidFill>
              <w14:schemeClr w14:val="tx1"/>
            </w14:solidFill>
          </w14:textFill>
        </w:rPr>
      </w:pPr>
      <w:r>
        <w:rPr>
          <w:rFonts w:hint="eastAsia" w:ascii="华文楷体" w:hAnsi="华文楷体" w:eastAsia="华文楷体" w:cs="仿宋"/>
          <w:b/>
          <w:bCs/>
          <w:color w:val="000000" w:themeColor="text1"/>
          <w:sz w:val="32"/>
          <w:szCs w:val="32"/>
          <w14:textFill>
            <w14:solidFill>
              <w14:schemeClr w14:val="tx1"/>
            </w14:solidFill>
          </w14:textFill>
        </w:rPr>
        <w:t>1</w:t>
      </w:r>
      <w:r>
        <w:rPr>
          <w:rFonts w:ascii="华文楷体" w:hAnsi="华文楷体" w:eastAsia="华文楷体" w:cs="仿宋"/>
          <w:b/>
          <w:bCs/>
          <w:color w:val="000000" w:themeColor="text1"/>
          <w:sz w:val="32"/>
          <w:szCs w:val="32"/>
          <w14:textFill>
            <w14:solidFill>
              <w14:schemeClr w14:val="tx1"/>
            </w14:solidFill>
          </w14:textFill>
        </w:rPr>
        <w:t>.</w:t>
      </w:r>
      <w:r>
        <w:rPr>
          <w:rFonts w:hint="eastAsia" w:ascii="华文楷体" w:hAnsi="华文楷体" w:eastAsia="华文楷体" w:cs="仿宋"/>
          <w:b/>
          <w:bCs/>
          <w:color w:val="000000" w:themeColor="text1"/>
          <w:sz w:val="32"/>
          <w:szCs w:val="32"/>
          <w14:textFill>
            <w14:solidFill>
              <w14:schemeClr w14:val="tx1"/>
            </w14:solidFill>
          </w14:textFill>
        </w:rPr>
        <w:t>守正创新推动思政课高质量发展。</w:t>
      </w:r>
      <w:r>
        <w:rPr>
          <w:rFonts w:hint="eastAsia" w:ascii="仿宋" w:hAnsi="仿宋" w:eastAsia="仿宋" w:cs="仿宋"/>
          <w:color w:val="000000" w:themeColor="text1"/>
          <w:sz w:val="32"/>
          <w:szCs w:val="32"/>
          <w14:textFill>
            <w14:solidFill>
              <w14:schemeClr w14:val="tx1"/>
            </w14:solidFill>
          </w14:textFill>
        </w:rPr>
        <w:t>牢牢把握思政课是立德树人关键课程的定位，成立了习近平新时代中国特色社会主义思想概论课教研室，出台了《关于全面加强马克思主义学院建设的实施意见》，研究性学习竞赛获一等奖1个、二等奖1个、三等奖2个，湖南省职业院校教师思想政治教育教学能力比赛获二等奖2个，三等奖2个。教师金艳获长沙市“优秀思政教师奖”。积极践行“大思政课”理念，争取了中南大学马克思主义学院协作共建支持，6堂思政课“示范课堂”通过验收，建成维汉村等3个校外思政实践基地，立项1个院级思想政治课教学创新团队；完成已立项 6 堂院级思政示范课的验收，完成42门院级课程思政项目验收，建设了一批课程思政案例，多措并举切实提高马克思主义学院教学科研共同体建设水平。</w:t>
      </w:r>
    </w:p>
    <w:p>
      <w:pPr>
        <w:spacing w:line="640" w:lineRule="exact"/>
        <w:ind w:firstLine="641" w:firstLineChars="200"/>
        <w:rPr>
          <w:rFonts w:ascii="仿宋" w:hAnsi="仿宋" w:eastAsia="仿宋" w:cs="仿宋"/>
          <w:color w:val="000000" w:themeColor="text1"/>
          <w:sz w:val="32"/>
          <w:szCs w:val="32"/>
          <w14:textFill>
            <w14:solidFill>
              <w14:schemeClr w14:val="tx1"/>
            </w14:solidFill>
          </w14:textFill>
        </w:rPr>
      </w:pPr>
      <w:r>
        <w:rPr>
          <w:rFonts w:hint="eastAsia" w:ascii="华文楷体" w:hAnsi="华文楷体" w:eastAsia="华文楷体" w:cs="仿宋"/>
          <w:b/>
          <w:bCs/>
          <w:color w:val="000000" w:themeColor="text1"/>
          <w:sz w:val="32"/>
          <w:szCs w:val="32"/>
          <w14:textFill>
            <w14:solidFill>
              <w14:schemeClr w14:val="tx1"/>
            </w14:solidFill>
          </w14:textFill>
        </w:rPr>
        <w:t>2</w:t>
      </w:r>
      <w:r>
        <w:rPr>
          <w:rFonts w:ascii="华文楷体" w:hAnsi="华文楷体" w:eastAsia="华文楷体" w:cs="仿宋"/>
          <w:b/>
          <w:bCs/>
          <w:color w:val="000000" w:themeColor="text1"/>
          <w:sz w:val="32"/>
          <w:szCs w:val="32"/>
          <w14:textFill>
            <w14:solidFill>
              <w14:schemeClr w14:val="tx1"/>
            </w14:solidFill>
          </w14:textFill>
        </w:rPr>
        <w:t>.</w:t>
      </w:r>
      <w:r>
        <w:rPr>
          <w:rFonts w:hint="eastAsia" w:ascii="华文楷体" w:hAnsi="华文楷体" w:eastAsia="华文楷体" w:cs="仿宋"/>
          <w:b/>
          <w:bCs/>
          <w:color w:val="000000" w:themeColor="text1"/>
          <w:sz w:val="32"/>
          <w:szCs w:val="32"/>
          <w14:textFill>
            <w14:solidFill>
              <w14:schemeClr w14:val="tx1"/>
            </w14:solidFill>
          </w14:textFill>
        </w:rPr>
        <w:t>学雷锋志愿服务品牌示范作用彰显。</w:t>
      </w:r>
      <w:r>
        <w:rPr>
          <w:rFonts w:hint="eastAsia" w:ascii="仿宋" w:hAnsi="仿宋" w:eastAsia="仿宋" w:cs="仿宋"/>
          <w:color w:val="000000" w:themeColor="text1"/>
          <w:sz w:val="32"/>
          <w:szCs w:val="32"/>
          <w14:textFill>
            <w14:solidFill>
              <w14:schemeClr w14:val="tx1"/>
            </w14:solidFill>
          </w14:textFill>
        </w:rPr>
        <w:t>学院“湘信·我”青年雷锋志愿服务队，被共青团长沙市委、长沙血液中心联合授予“热血青年突击队”称号，同时入选全国“强国有我‘核’你一起”宣讲团，获评第22届“湖南省青年文明号”荣誉称号，是市属高职院校唯一入选团队。“彩虹课堂”和“校园慈善超市”项目获评长沙市大学生参与社会治理志愿服务雷锋榜“优秀项目奖”。“中国好粮油”大学生手机摄影大赛，我院学生宋坷“谷粒如金”作品获三等奖，李韵获优秀指导老师。</w:t>
      </w:r>
    </w:p>
    <w:p>
      <w:pPr>
        <w:spacing w:line="640" w:lineRule="exact"/>
        <w:ind w:firstLine="641" w:firstLineChars="200"/>
        <w:rPr>
          <w:rFonts w:ascii="仿宋" w:hAnsi="仿宋" w:eastAsia="仿宋" w:cs="仿宋"/>
          <w:color w:val="000000" w:themeColor="text1"/>
          <w:sz w:val="32"/>
          <w:szCs w:val="32"/>
          <w14:textFill>
            <w14:solidFill>
              <w14:schemeClr w14:val="tx1"/>
            </w14:solidFill>
          </w14:textFill>
        </w:rPr>
      </w:pPr>
      <w:r>
        <w:rPr>
          <w:rFonts w:hint="eastAsia" w:ascii="华文楷体" w:hAnsi="华文楷体" w:eastAsia="华文楷体" w:cs="仿宋"/>
          <w:b/>
          <w:bCs/>
          <w:color w:val="000000" w:themeColor="text1"/>
          <w:sz w:val="32"/>
          <w:szCs w:val="32"/>
          <w14:textFill>
            <w14:solidFill>
              <w14:schemeClr w14:val="tx1"/>
            </w14:solidFill>
          </w14:textFill>
        </w:rPr>
        <w:t>3</w:t>
      </w:r>
      <w:r>
        <w:rPr>
          <w:rFonts w:ascii="华文楷体" w:hAnsi="华文楷体" w:eastAsia="华文楷体" w:cs="仿宋"/>
          <w:b/>
          <w:bCs/>
          <w:color w:val="000000" w:themeColor="text1"/>
          <w:sz w:val="32"/>
          <w:szCs w:val="32"/>
          <w14:textFill>
            <w14:solidFill>
              <w14:schemeClr w14:val="tx1"/>
            </w14:solidFill>
          </w14:textFill>
        </w:rPr>
        <w:t>.</w:t>
      </w:r>
      <w:r>
        <w:rPr>
          <w:rFonts w:hint="eastAsia" w:ascii="华文楷体" w:hAnsi="华文楷体" w:eastAsia="华文楷体" w:cs="仿宋"/>
          <w:b/>
          <w:bCs/>
          <w:color w:val="000000" w:themeColor="text1"/>
          <w:sz w:val="32"/>
          <w:szCs w:val="32"/>
          <w14:textFill>
            <w14:solidFill>
              <w14:schemeClr w14:val="tx1"/>
            </w14:solidFill>
          </w14:textFill>
        </w:rPr>
        <w:t>多措并举加强学生思想教育和价值引领。</w:t>
      </w:r>
      <w:r>
        <w:rPr>
          <w:rFonts w:hint="eastAsia" w:ascii="仿宋" w:hAnsi="仿宋" w:eastAsia="仿宋" w:cs="仿宋"/>
          <w:color w:val="000000" w:themeColor="text1"/>
          <w:sz w:val="32"/>
          <w:szCs w:val="32"/>
          <w:shd w:val="clear" w:color="auto" w:fill="FFFFFF"/>
          <w:lang w:bidi="ar"/>
          <w14:textFill>
            <w14:solidFill>
              <w14:schemeClr w14:val="tx1"/>
            </w14:solidFill>
          </w14:textFill>
        </w:rPr>
        <w:t>常态化</w:t>
      </w:r>
      <w:r>
        <w:rPr>
          <w:rFonts w:hint="eastAsia" w:ascii="仿宋" w:hAnsi="仿宋" w:eastAsia="仿宋" w:cs="仿宋"/>
          <w:color w:val="000000" w:themeColor="text1"/>
          <w:sz w:val="32"/>
          <w:szCs w:val="32"/>
          <w:lang w:bidi="ar"/>
          <w14:textFill>
            <w14:solidFill>
              <w14:schemeClr w14:val="tx1"/>
            </w14:solidFill>
          </w14:textFill>
        </w:rPr>
        <w:t>举办“朝话朝阳”主题活动、“青春共话二十大 斗志昂扬新征程”“清廉湘信”主题班会、</w:t>
      </w:r>
      <w:r>
        <w:rPr>
          <w:rFonts w:hint="eastAsia" w:ascii="仿宋" w:hAnsi="仿宋" w:eastAsia="仿宋" w:cs="仿宋"/>
          <w:color w:val="000000" w:themeColor="text1"/>
          <w:sz w:val="32"/>
          <w:szCs w:val="32"/>
          <w:shd w:val="clear" w:color="auto" w:fill="FFFFFF"/>
          <w:lang w:bidi="ar"/>
          <w14:textFill>
            <w14:solidFill>
              <w14:schemeClr w14:val="tx1"/>
            </w14:solidFill>
          </w14:textFill>
        </w:rPr>
        <w:t>学工系统“一月一讲”活动</w:t>
      </w:r>
      <w:r>
        <w:rPr>
          <w:rFonts w:hint="eastAsia" w:ascii="仿宋" w:hAnsi="仿宋" w:eastAsia="仿宋" w:cs="仿宋"/>
          <w:color w:val="000000" w:themeColor="text1"/>
          <w:sz w:val="32"/>
          <w:szCs w:val="32"/>
          <w:lang w:bidi="ar"/>
          <w14:textFill>
            <w14:solidFill>
              <w14:schemeClr w14:val="tx1"/>
            </w14:solidFill>
          </w14:textFill>
        </w:rPr>
        <w:t>。立项湖南省中南大学心理示范中心对口项目，充分发挥教育阳光服务中心在师生中的服务作用，并获评市级一类阳光服务中心。建立国家资助、学校奖助、社会捐助、学生自助“四位一体”的发展型资助体系，</w:t>
      </w:r>
      <w:r>
        <w:rPr>
          <w:rFonts w:hint="eastAsia" w:ascii="仿宋" w:hAnsi="仿宋" w:eastAsia="仿宋" w:cs="仿宋"/>
          <w:color w:val="000000" w:themeColor="text1"/>
          <w:sz w:val="32"/>
          <w:szCs w:val="32"/>
          <w14:textFill>
            <w14:solidFill>
              <w14:schemeClr w14:val="tx1"/>
            </w14:solidFill>
          </w14:textFill>
        </w:rPr>
        <w:t>发放国家奖学金12人，国家励志奖学金402人，国家助学金2812人，总共 6897050元，奖助学金评审发放无一例投诉。</w:t>
      </w:r>
      <w:r>
        <w:rPr>
          <w:rFonts w:hint="eastAsia" w:ascii="仿宋" w:hAnsi="仿宋" w:eastAsia="仿宋" w:cs="仿宋"/>
          <w:color w:val="000000" w:themeColor="text1"/>
          <w:sz w:val="32"/>
          <w:szCs w:val="32"/>
          <w:lang w:bidi="ar"/>
          <w14:textFill>
            <w14:solidFill>
              <w14:schemeClr w14:val="tx1"/>
            </w14:solidFill>
          </w14:textFill>
        </w:rPr>
        <w:t>提供122个勤工俭学岗位，发放补助金约40万，校本资助专升本学生166人，形成“受助、自助、助人”的良性循环。</w:t>
      </w:r>
      <w:r>
        <w:rPr>
          <w:rStyle w:val="18"/>
          <w:rFonts w:hint="eastAsia" w:ascii="仿宋" w:hAnsi="仿宋" w:eastAsia="仿宋" w:cs="仿宋"/>
          <w:color w:val="000000" w:themeColor="text1"/>
          <w:sz w:val="32"/>
          <w:szCs w:val="32"/>
          <w:lang w:bidi="ar"/>
          <w14:textFill>
            <w14:solidFill>
              <w14:schemeClr w14:val="tx1"/>
            </w14:solidFill>
          </w14:textFill>
        </w:rPr>
        <w:t>辅导员素质能力大赛，</w:t>
      </w:r>
      <w:r>
        <w:rPr>
          <w:rFonts w:hint="eastAsia" w:ascii="仿宋" w:hAnsi="仿宋" w:eastAsia="仿宋" w:cs="仿宋"/>
          <w:color w:val="000000" w:themeColor="text1"/>
          <w:sz w:val="32"/>
          <w:szCs w:val="32"/>
          <w14:textFill>
            <w14:solidFill>
              <w14:schemeClr w14:val="tx1"/>
            </w14:solidFill>
          </w14:textFill>
        </w:rPr>
        <w:t>评选一等奖3名，二等奖5名，三等奖7名，赛练结合提高广大辅导员的职业能力与素质。</w:t>
      </w:r>
    </w:p>
    <w:p>
      <w:pPr>
        <w:spacing w:line="640" w:lineRule="exact"/>
        <w:ind w:firstLine="643" w:firstLineChars="200"/>
        <w:rPr>
          <w:rFonts w:ascii="华文楷体" w:hAnsi="华文楷体" w:eastAsia="华文楷体" w:cs="仿宋"/>
          <w:b/>
          <w:bCs/>
          <w:color w:val="000000" w:themeColor="text1"/>
          <w:sz w:val="32"/>
          <w:szCs w:val="32"/>
          <w14:textFill>
            <w14:solidFill>
              <w14:schemeClr w14:val="tx1"/>
            </w14:solidFill>
          </w14:textFill>
        </w:rPr>
      </w:pPr>
      <w:r>
        <w:rPr>
          <w:rFonts w:hint="eastAsia" w:ascii="仿宋" w:hAnsi="仿宋" w:eastAsia="仿宋"/>
          <w:b/>
          <w:bCs/>
          <w:sz w:val="32"/>
          <w:szCs w:val="32"/>
        </w:rPr>
        <w:t>（</w:t>
      </w:r>
      <w:r>
        <w:rPr>
          <w:rFonts w:hint="eastAsia" w:ascii="华文楷体" w:hAnsi="华文楷体" w:eastAsia="华文楷体" w:cs="仿宋"/>
          <w:b/>
          <w:bCs/>
          <w:color w:val="000000" w:themeColor="text1"/>
          <w:sz w:val="32"/>
          <w:szCs w:val="32"/>
          <w14:textFill>
            <w14:solidFill>
              <w14:schemeClr w14:val="tx1"/>
            </w14:solidFill>
          </w14:textFill>
        </w:rPr>
        <w:t>七）深化智慧校园建设，赋能教育优质发展</w:t>
      </w:r>
    </w:p>
    <w:p>
      <w:pPr>
        <w:pStyle w:val="2"/>
        <w:spacing w:line="640" w:lineRule="exact"/>
        <w:ind w:firstLine="641" w:firstLineChars="200"/>
        <w:rPr>
          <w:rFonts w:ascii="仿宋" w:hAnsi="仿宋" w:eastAsia="仿宋" w:cs="仿宋"/>
          <w:color w:val="000000" w:themeColor="text1"/>
          <w:sz w:val="32"/>
          <w:szCs w:val="32"/>
          <w14:textFill>
            <w14:solidFill>
              <w14:schemeClr w14:val="tx1"/>
            </w14:solidFill>
          </w14:textFill>
        </w:rPr>
      </w:pPr>
      <w:r>
        <w:rPr>
          <w:rFonts w:hint="eastAsia" w:ascii="华文楷体" w:hAnsi="华文楷体" w:eastAsia="华文楷体" w:cs="仿宋"/>
          <w:b/>
          <w:bCs/>
          <w:color w:val="000000" w:themeColor="text1"/>
          <w:sz w:val="32"/>
          <w:szCs w:val="32"/>
          <w14:textFill>
            <w14:solidFill>
              <w14:schemeClr w14:val="tx1"/>
            </w14:solidFill>
          </w14:textFill>
        </w:rPr>
        <w:t>1</w:t>
      </w:r>
      <w:r>
        <w:rPr>
          <w:rFonts w:ascii="华文楷体" w:hAnsi="华文楷体" w:eastAsia="华文楷体" w:cs="仿宋"/>
          <w:b/>
          <w:bCs/>
          <w:color w:val="000000" w:themeColor="text1"/>
          <w:sz w:val="32"/>
          <w:szCs w:val="32"/>
          <w14:textFill>
            <w14:solidFill>
              <w14:schemeClr w14:val="tx1"/>
            </w14:solidFill>
          </w14:textFill>
        </w:rPr>
        <w:t>.</w:t>
      </w:r>
      <w:r>
        <w:rPr>
          <w:rFonts w:hint="eastAsia" w:ascii="华文楷体" w:hAnsi="华文楷体" w:eastAsia="华文楷体" w:cs="仿宋"/>
          <w:b/>
          <w:bCs/>
          <w:color w:val="000000" w:themeColor="text1"/>
          <w:sz w:val="32"/>
          <w:szCs w:val="32"/>
          <w14:textFill>
            <w14:solidFill>
              <w14:schemeClr w14:val="tx1"/>
            </w14:solidFill>
          </w14:textFill>
        </w:rPr>
        <w:t>充分利用信息化方式辅助教育教学。</w:t>
      </w:r>
      <w:r>
        <w:rPr>
          <w:rFonts w:hint="eastAsia" w:ascii="仿宋" w:hAnsi="仿宋" w:eastAsia="仿宋" w:cs="仿宋"/>
          <w:color w:val="000000" w:themeColor="text1"/>
          <w:sz w:val="32"/>
          <w:szCs w:val="32"/>
          <w14:textFill>
            <w14:solidFill>
              <w14:schemeClr w14:val="tx1"/>
            </w14:solidFill>
          </w14:textFill>
        </w:rPr>
        <w:t>本年度完成了校园网络升级改造，重新部署了防火墙、负载均衡、IPV6服务器、DNS服务器、态势感知系统（平台）等网络设备，“一站式服务大厅”共新增建设微服务（应用）17个，同时制定了《湖南信息职业技术学院信息化建设项目管理办法》，进一步加强对学院日常管理和服务工作的信息化支撑。</w:t>
      </w:r>
    </w:p>
    <w:p>
      <w:pPr>
        <w:pStyle w:val="2"/>
        <w:spacing w:line="640" w:lineRule="exact"/>
        <w:ind w:firstLine="641" w:firstLineChars="200"/>
        <w:rPr>
          <w:rFonts w:ascii="仿宋" w:hAnsi="仿宋" w:eastAsia="仿宋" w:cs="仿宋"/>
          <w:color w:val="000000" w:themeColor="text1"/>
          <w:sz w:val="32"/>
          <w:szCs w:val="32"/>
          <w14:textFill>
            <w14:solidFill>
              <w14:schemeClr w14:val="tx1"/>
            </w14:solidFill>
          </w14:textFill>
        </w:rPr>
      </w:pPr>
      <w:r>
        <w:rPr>
          <w:rFonts w:hint="eastAsia" w:ascii="华文楷体" w:hAnsi="华文楷体" w:eastAsia="华文楷体" w:cs="仿宋"/>
          <w:b/>
          <w:bCs/>
          <w:color w:val="000000" w:themeColor="text1"/>
          <w:sz w:val="32"/>
          <w:szCs w:val="32"/>
          <w14:textFill>
            <w14:solidFill>
              <w14:schemeClr w14:val="tx1"/>
            </w14:solidFill>
          </w14:textFill>
        </w:rPr>
        <w:t>2</w:t>
      </w:r>
      <w:r>
        <w:rPr>
          <w:rFonts w:ascii="华文楷体" w:hAnsi="华文楷体" w:eastAsia="华文楷体" w:cs="仿宋"/>
          <w:b/>
          <w:bCs/>
          <w:color w:val="000000" w:themeColor="text1"/>
          <w:sz w:val="32"/>
          <w:szCs w:val="32"/>
          <w14:textFill>
            <w14:solidFill>
              <w14:schemeClr w14:val="tx1"/>
            </w14:solidFill>
          </w14:textFill>
        </w:rPr>
        <w:t>.</w:t>
      </w:r>
      <w:r>
        <w:rPr>
          <w:rFonts w:hint="eastAsia" w:ascii="华文楷体" w:hAnsi="华文楷体" w:eastAsia="华文楷体" w:cs="仿宋"/>
          <w:b/>
          <w:bCs/>
          <w:color w:val="000000" w:themeColor="text1"/>
          <w:sz w:val="32"/>
          <w:szCs w:val="32"/>
          <w14:textFill>
            <w14:solidFill>
              <w14:schemeClr w14:val="tx1"/>
            </w14:solidFill>
          </w14:textFill>
        </w:rPr>
        <w:t>校园网络安全得到充分保障。</w:t>
      </w:r>
      <w:r>
        <w:rPr>
          <w:rFonts w:hint="eastAsia" w:ascii="仿宋" w:hAnsi="仿宋" w:eastAsia="仿宋" w:cs="仿宋"/>
          <w:color w:val="000000" w:themeColor="text1"/>
          <w:sz w:val="32"/>
          <w:szCs w:val="32"/>
          <w14:textFill>
            <w14:solidFill>
              <w14:schemeClr w14:val="tx1"/>
            </w14:solidFill>
          </w14:textFill>
        </w:rPr>
        <w:t>圆满完成重要特护时期的网络安全保障工作，未发生安全事故。长沙市委网信办组织的网络安全攻防演练中，我院以排名第9名的总成绩荣获“优秀防守单位”称号，位居市属高校第一。</w:t>
      </w:r>
    </w:p>
    <w:p>
      <w:pPr>
        <w:pStyle w:val="2"/>
        <w:spacing w:line="640" w:lineRule="exact"/>
        <w:ind w:firstLine="641" w:firstLineChars="200"/>
        <w:rPr>
          <w:rFonts w:ascii="仿宋" w:hAnsi="仿宋" w:eastAsia="仿宋" w:cs="仿宋"/>
          <w:color w:val="000000" w:themeColor="text1"/>
          <w:sz w:val="32"/>
          <w:szCs w:val="32"/>
          <w14:textFill>
            <w14:solidFill>
              <w14:schemeClr w14:val="tx1"/>
            </w14:solidFill>
          </w14:textFill>
        </w:rPr>
      </w:pPr>
      <w:r>
        <w:rPr>
          <w:rFonts w:hint="eastAsia" w:ascii="华文楷体" w:hAnsi="华文楷体" w:eastAsia="华文楷体" w:cs="仿宋"/>
          <w:b/>
          <w:bCs/>
          <w:color w:val="000000" w:themeColor="text1"/>
          <w:sz w:val="32"/>
          <w:szCs w:val="32"/>
          <w14:textFill>
            <w14:solidFill>
              <w14:schemeClr w14:val="tx1"/>
            </w14:solidFill>
          </w14:textFill>
        </w:rPr>
        <w:t>3</w:t>
      </w:r>
      <w:r>
        <w:rPr>
          <w:rFonts w:ascii="华文楷体" w:hAnsi="华文楷体" w:eastAsia="华文楷体" w:cs="仿宋"/>
          <w:b/>
          <w:bCs/>
          <w:color w:val="000000" w:themeColor="text1"/>
          <w:sz w:val="32"/>
          <w:szCs w:val="32"/>
          <w14:textFill>
            <w14:solidFill>
              <w14:schemeClr w14:val="tx1"/>
            </w14:solidFill>
          </w14:textFill>
        </w:rPr>
        <w:t>.</w:t>
      </w:r>
      <w:r>
        <w:rPr>
          <w:rFonts w:hint="eastAsia" w:ascii="华文楷体" w:hAnsi="华文楷体" w:eastAsia="华文楷体" w:cs="仿宋"/>
          <w:b/>
          <w:bCs/>
          <w:color w:val="000000" w:themeColor="text1"/>
          <w:sz w:val="32"/>
          <w:szCs w:val="32"/>
          <w14:textFill>
            <w14:solidFill>
              <w14:schemeClr w14:val="tx1"/>
            </w14:solidFill>
          </w14:textFill>
        </w:rPr>
        <w:t>智慧图书馆逐渐成型。</w:t>
      </w:r>
      <w:r>
        <w:rPr>
          <w:rFonts w:hint="eastAsia" w:ascii="仿宋" w:hAnsi="仿宋" w:eastAsia="仿宋" w:cs="仿宋"/>
          <w:color w:val="000000" w:themeColor="text1"/>
          <w:sz w:val="32"/>
          <w:szCs w:val="32"/>
          <w14:textFill>
            <w14:solidFill>
              <w14:schemeClr w14:val="tx1"/>
            </w14:solidFill>
          </w14:textFill>
        </w:rPr>
        <w:t>图书管理系统得到优化更新，本地图书馆数字资源库初步建立，本年度采购20万册新图书、接受湖南师范大学33万册图书捐赠，智慧图书馆服务日益完善，“入馆人数量、借阅量、下载检索量”同比增长明显，学习氛围日益浓厚，师生信息素养进一步提升。2022年湖南省高职高专院校信息素养大赛中2名学生晋级国赛、获省一等奖1人、二等奖3人、三等奖5人，信息素养微课比赛，获得二等奖、三等奖各1项。</w:t>
      </w:r>
    </w:p>
    <w:p>
      <w:pPr>
        <w:spacing w:line="640" w:lineRule="exact"/>
        <w:ind w:firstLine="641" w:firstLineChars="200"/>
        <w:rPr>
          <w:rFonts w:ascii="华文楷体" w:hAnsi="华文楷体" w:eastAsia="华文楷体" w:cs="仿宋"/>
          <w:b/>
          <w:bCs/>
          <w:color w:val="000000" w:themeColor="text1"/>
          <w:sz w:val="32"/>
          <w:szCs w:val="32"/>
          <w14:textFill>
            <w14:solidFill>
              <w14:schemeClr w14:val="tx1"/>
            </w14:solidFill>
          </w14:textFill>
        </w:rPr>
      </w:pPr>
      <w:r>
        <w:rPr>
          <w:rFonts w:hint="eastAsia" w:ascii="华文楷体" w:hAnsi="华文楷体" w:eastAsia="华文楷体" w:cs="仿宋"/>
          <w:b/>
          <w:bCs/>
          <w:color w:val="000000" w:themeColor="text1"/>
          <w:sz w:val="32"/>
          <w:szCs w:val="32"/>
          <w14:textFill>
            <w14:solidFill>
              <w14:schemeClr w14:val="tx1"/>
            </w14:solidFill>
          </w14:textFill>
        </w:rPr>
        <w:t>（八）深化依法治校制度建设，治理能力显著提升</w:t>
      </w:r>
    </w:p>
    <w:p>
      <w:pPr>
        <w:spacing w:line="640" w:lineRule="exact"/>
        <w:ind w:firstLine="641" w:firstLineChars="200"/>
        <w:rPr>
          <w:rFonts w:ascii="仿宋" w:hAnsi="仿宋" w:eastAsia="仿宋" w:cs="仿宋"/>
          <w:color w:val="000000" w:themeColor="text1"/>
          <w:sz w:val="32"/>
          <w:szCs w:val="32"/>
          <w14:textFill>
            <w14:solidFill>
              <w14:schemeClr w14:val="tx1"/>
            </w14:solidFill>
          </w14:textFill>
        </w:rPr>
      </w:pPr>
      <w:r>
        <w:rPr>
          <w:rFonts w:hint="eastAsia" w:ascii="华文楷体" w:hAnsi="华文楷体" w:eastAsia="华文楷体" w:cs="仿宋"/>
          <w:b/>
          <w:bCs/>
          <w:color w:val="000000" w:themeColor="text1"/>
          <w:sz w:val="32"/>
          <w:szCs w:val="32"/>
          <w14:textFill>
            <w14:solidFill>
              <w14:schemeClr w14:val="tx1"/>
            </w14:solidFill>
          </w14:textFill>
        </w:rPr>
        <w:t>1</w:t>
      </w:r>
      <w:r>
        <w:rPr>
          <w:rFonts w:ascii="华文楷体" w:hAnsi="华文楷体" w:eastAsia="华文楷体" w:cs="仿宋"/>
          <w:b/>
          <w:bCs/>
          <w:color w:val="000000" w:themeColor="text1"/>
          <w:sz w:val="32"/>
          <w:szCs w:val="32"/>
          <w14:textFill>
            <w14:solidFill>
              <w14:schemeClr w14:val="tx1"/>
            </w14:solidFill>
          </w14:textFill>
        </w:rPr>
        <w:t>.</w:t>
      </w:r>
      <w:r>
        <w:rPr>
          <w:rFonts w:hint="eastAsia" w:ascii="华文楷体" w:hAnsi="华文楷体" w:eastAsia="华文楷体" w:cs="仿宋"/>
          <w:b/>
          <w:bCs/>
          <w:color w:val="000000" w:themeColor="text1"/>
          <w:sz w:val="32"/>
          <w:szCs w:val="32"/>
          <w14:textFill>
            <w14:solidFill>
              <w14:schemeClr w14:val="tx1"/>
            </w14:solidFill>
          </w14:textFill>
        </w:rPr>
        <w:t>常态化推进制度建设，治理基础进一步夯实。</w:t>
      </w:r>
      <w:r>
        <w:rPr>
          <w:rFonts w:hint="eastAsia" w:ascii="仿宋" w:hAnsi="仿宋" w:eastAsia="仿宋" w:cs="仿宋"/>
          <w:color w:val="000000" w:themeColor="text1"/>
          <w:sz w:val="32"/>
          <w:szCs w:val="32"/>
          <w14:textFill>
            <w14:solidFill>
              <w14:schemeClr w14:val="tx1"/>
            </w14:solidFill>
          </w14:textFill>
        </w:rPr>
        <w:t>制订实施了</w:t>
      </w:r>
      <w:r>
        <w:rPr>
          <w:rFonts w:hint="eastAsia" w:ascii="仿宋" w:hAnsi="仿宋" w:eastAsia="仿宋" w:cs="仿宋"/>
          <w:snapToGrid w:val="0"/>
          <w:color w:val="000000" w:themeColor="text1"/>
          <w:kern w:val="0"/>
          <w:sz w:val="32"/>
          <w:szCs w:val="32"/>
          <w:shd w:val="clear" w:color="auto" w:fill="FFFFFF"/>
          <w:lang w:bidi="ar"/>
          <w14:textFill>
            <w14:solidFill>
              <w14:schemeClr w14:val="tx1"/>
            </w14:solidFill>
          </w14:textFill>
        </w:rPr>
        <w:t>《学院依法治校工作实施方案》《学院2022年度制度“立改废”工作方案》</w:t>
      </w:r>
      <w:r>
        <w:rPr>
          <w:rFonts w:hint="eastAsia" w:ascii="仿宋" w:hAnsi="仿宋" w:eastAsia="仿宋" w:cs="仿宋"/>
          <w:color w:val="000000" w:themeColor="text1"/>
          <w:sz w:val="32"/>
          <w:szCs w:val="32"/>
          <w14:textFill>
            <w14:solidFill>
              <w14:schemeClr w14:val="tx1"/>
            </w14:solidFill>
          </w14:textFill>
        </w:rPr>
        <w:t>，从强化内控体系建设、落实新时代教育评价改革着手，全面梳理了学院管理制度，完成制度修订43件次。</w:t>
      </w:r>
    </w:p>
    <w:p>
      <w:pPr>
        <w:spacing w:line="640" w:lineRule="exact"/>
        <w:ind w:firstLine="641" w:firstLineChars="200"/>
        <w:rPr>
          <w:rFonts w:ascii="仿宋" w:hAnsi="仿宋" w:eastAsia="仿宋" w:cs="仿宋"/>
          <w:color w:val="000000" w:themeColor="text1"/>
          <w:sz w:val="32"/>
          <w:szCs w:val="32"/>
          <w14:textFill>
            <w14:solidFill>
              <w14:schemeClr w14:val="tx1"/>
            </w14:solidFill>
          </w14:textFill>
        </w:rPr>
      </w:pPr>
      <w:r>
        <w:rPr>
          <w:rFonts w:hint="eastAsia" w:ascii="华文楷体" w:hAnsi="华文楷体" w:eastAsia="华文楷体" w:cs="仿宋"/>
          <w:b/>
          <w:bCs/>
          <w:color w:val="000000" w:themeColor="text1"/>
          <w:sz w:val="32"/>
          <w:szCs w:val="32"/>
          <w14:textFill>
            <w14:solidFill>
              <w14:schemeClr w14:val="tx1"/>
            </w14:solidFill>
          </w14:textFill>
        </w:rPr>
        <w:t>2</w:t>
      </w:r>
      <w:r>
        <w:rPr>
          <w:rFonts w:ascii="华文楷体" w:hAnsi="华文楷体" w:eastAsia="华文楷体" w:cs="仿宋"/>
          <w:b/>
          <w:bCs/>
          <w:color w:val="000000" w:themeColor="text1"/>
          <w:sz w:val="32"/>
          <w:szCs w:val="32"/>
          <w14:textFill>
            <w14:solidFill>
              <w14:schemeClr w14:val="tx1"/>
            </w14:solidFill>
          </w14:textFill>
        </w:rPr>
        <w:t>.</w:t>
      </w:r>
      <w:r>
        <w:rPr>
          <w:rFonts w:hint="eastAsia" w:ascii="华文楷体" w:hAnsi="华文楷体" w:eastAsia="华文楷体" w:cs="仿宋"/>
          <w:b/>
          <w:bCs/>
          <w:color w:val="000000" w:themeColor="text1"/>
          <w:sz w:val="32"/>
          <w:szCs w:val="32"/>
          <w14:textFill>
            <w14:solidFill>
              <w14:schemeClr w14:val="tx1"/>
            </w14:solidFill>
          </w14:textFill>
        </w:rPr>
        <w:t>常态化推行院领导接待，信息公开机制进一步完善。</w:t>
      </w:r>
      <w:r>
        <w:rPr>
          <w:rFonts w:hint="eastAsia" w:ascii="仿宋" w:hAnsi="仿宋" w:eastAsia="仿宋" w:cs="仿宋"/>
          <w:color w:val="000000" w:themeColor="text1"/>
          <w:sz w:val="32"/>
          <w:szCs w:val="32"/>
          <w14:textFill>
            <w14:solidFill>
              <w14:schemeClr w14:val="tx1"/>
            </w14:solidFill>
          </w14:textFill>
        </w:rPr>
        <w:t>全年院领导接待日达39周/次。学院师生员工的知情权和监督权得到充分保障，信息公开工作得到师生员工充分肯定，全年无一例有责投诉。</w:t>
      </w:r>
    </w:p>
    <w:p>
      <w:pPr>
        <w:pStyle w:val="17"/>
        <w:spacing w:line="640" w:lineRule="exact"/>
        <w:ind w:left="0" w:leftChars="0" w:firstLine="641" w:firstLineChars="200"/>
        <w:rPr>
          <w:rFonts w:ascii="仿宋" w:hAnsi="仿宋" w:eastAsia="仿宋" w:cs="仿宋"/>
          <w:color w:val="000000" w:themeColor="text1"/>
          <w:sz w:val="32"/>
          <w:szCs w:val="32"/>
          <w14:textFill>
            <w14:solidFill>
              <w14:schemeClr w14:val="tx1"/>
            </w14:solidFill>
          </w14:textFill>
        </w:rPr>
      </w:pPr>
      <w:r>
        <w:rPr>
          <w:rFonts w:hint="eastAsia" w:ascii="华文楷体" w:hAnsi="华文楷体" w:eastAsia="华文楷体" w:cs="仿宋"/>
          <w:b/>
          <w:bCs/>
          <w:color w:val="000000" w:themeColor="text1"/>
          <w:sz w:val="32"/>
          <w:szCs w:val="32"/>
          <w14:textFill>
            <w14:solidFill>
              <w14:schemeClr w14:val="tx1"/>
            </w14:solidFill>
          </w14:textFill>
        </w:rPr>
        <w:t>3</w:t>
      </w:r>
      <w:r>
        <w:rPr>
          <w:rFonts w:ascii="华文楷体" w:hAnsi="华文楷体" w:eastAsia="华文楷体" w:cs="仿宋"/>
          <w:b/>
          <w:bCs/>
          <w:color w:val="000000" w:themeColor="text1"/>
          <w:sz w:val="32"/>
          <w:szCs w:val="32"/>
          <w14:textFill>
            <w14:solidFill>
              <w14:schemeClr w14:val="tx1"/>
            </w14:solidFill>
          </w14:textFill>
        </w:rPr>
        <w:t>.</w:t>
      </w:r>
      <w:r>
        <w:rPr>
          <w:rFonts w:hint="eastAsia" w:ascii="华文楷体" w:hAnsi="华文楷体" w:eastAsia="华文楷体" w:cs="仿宋"/>
          <w:b/>
          <w:bCs/>
          <w:color w:val="000000" w:themeColor="text1"/>
          <w:sz w:val="32"/>
          <w:szCs w:val="32"/>
          <w14:textFill>
            <w14:solidFill>
              <w14:schemeClr w14:val="tx1"/>
            </w14:solidFill>
          </w14:textFill>
        </w:rPr>
        <w:t>内控制度日益完备，权力运行更加规范。</w:t>
      </w:r>
      <w:r>
        <w:rPr>
          <w:rFonts w:hint="eastAsia" w:ascii="仿宋" w:hAnsi="仿宋" w:eastAsia="仿宋" w:cs="仿宋"/>
          <w:color w:val="000000" w:themeColor="text1"/>
          <w:sz w:val="32"/>
          <w:szCs w:val="32"/>
          <w14:textFill>
            <w14:solidFill>
              <w14:schemeClr w14:val="tx1"/>
            </w14:solidFill>
          </w14:textFill>
        </w:rPr>
        <w:t>财政绩效评价获得良好等次，得分86.13，居市属高职第一。按要求执行国有资产管理，全院固定资产总值达3.09亿元，完成新增固定资产入账1200项，合计1166.47万元。完成了2021年度预算执行和“双一流”资金绩效审计工作，协助审计局开展人才政策执行情况专项审计工作，未发现违规违纪现象。</w:t>
      </w:r>
    </w:p>
    <w:p>
      <w:pPr>
        <w:spacing w:line="640" w:lineRule="exact"/>
        <w:ind w:firstLine="641" w:firstLineChars="200"/>
        <w:rPr>
          <w:rFonts w:ascii="华文楷体" w:hAnsi="华文楷体" w:eastAsia="华文楷体" w:cs="仿宋"/>
          <w:b/>
          <w:bCs/>
          <w:color w:val="000000" w:themeColor="text1"/>
          <w:sz w:val="32"/>
          <w:szCs w:val="32"/>
          <w14:textFill>
            <w14:solidFill>
              <w14:schemeClr w14:val="tx1"/>
            </w14:solidFill>
          </w14:textFill>
        </w:rPr>
      </w:pPr>
      <w:r>
        <w:rPr>
          <w:rFonts w:hint="eastAsia" w:ascii="华文楷体" w:hAnsi="华文楷体" w:eastAsia="华文楷体" w:cs="仿宋"/>
          <w:b/>
          <w:bCs/>
          <w:color w:val="000000" w:themeColor="text1"/>
          <w:sz w:val="32"/>
          <w:szCs w:val="32"/>
          <w14:textFill>
            <w14:solidFill>
              <w14:schemeClr w14:val="tx1"/>
            </w14:solidFill>
          </w14:textFill>
        </w:rPr>
        <w:t>（九）校园民生持续改善，筑牢校园安全底线</w:t>
      </w:r>
    </w:p>
    <w:p>
      <w:pPr>
        <w:pStyle w:val="2"/>
        <w:spacing w:line="64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按照校园安全专项整顿、教育系统安全专项整治三年行动、“百日攻坚”行动要求，学院建立安全风险分级管控和隐患排查治理双重预防体系，开展六次定期安全检查，实施校内建筑物安全隐患排查及房屋安全性检测鉴定项目，全校无危险建筑物，校园17栋建筑加装安全防护设施，全年没有发生一起安全责任事故，获全市平安建设考核优秀等次。获2023年度湖南省“平安建设示范校”立项单位。全面整理学校土地及房屋权证，顺利完成2022年长沙市市级行政事业单位不动产现场核查工作。</w:t>
      </w:r>
    </w:p>
    <w:p>
      <w:pPr>
        <w:pStyle w:val="2"/>
        <w:spacing w:line="64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坚持人民至上生命至上，切实保障校园安全稳定。学院积极准确研判疫情形势，因时因势优化调整防控措施，全年召开疫情防控会议40余次，修订了“两案九制”工作方案，备足防疫物资，保持校园每日常态化消杀，进行传染病防治，建立“学院、班级、教师”摸排网络，落实“日报告、零报告”和值班工作，及时科学做好密接人员紧急处置，全年未发生任何传染病聚集性疫情，筑牢了师生生命健康防线，疫情防控和安全稳定取得实效。</w:t>
      </w:r>
    </w:p>
    <w:p>
      <w:pPr>
        <w:spacing w:line="640" w:lineRule="exact"/>
        <w:ind w:firstLine="640" w:firstLineChars="200"/>
        <w:rPr>
          <w:rFonts w:ascii="仿宋" w:hAnsi="仿宋" w:eastAsia="仿宋" w:cs="仿宋"/>
          <w:b/>
          <w:bCs/>
          <w:sz w:val="32"/>
          <w:szCs w:val="32"/>
        </w:rPr>
      </w:pPr>
      <w:r>
        <w:rPr>
          <w:rFonts w:hint="eastAsia" w:ascii="仿宋" w:hAnsi="仿宋" w:eastAsia="仿宋" w:cs="仿宋"/>
          <w:color w:val="000000" w:themeColor="text1"/>
          <w:sz w:val="32"/>
          <w:szCs w:val="32"/>
          <w14:textFill>
            <w14:solidFill>
              <w14:schemeClr w14:val="tx1"/>
            </w14:solidFill>
          </w14:textFill>
        </w:rPr>
        <w:t>充分发挥“五老”优势，经济管理学院、机电工程学院关心下一代工作委员会获评全省教育系统关心下一代工作先进集体。深入践行绿色发展理念，持续优化校园育人环境，学院被认定为第一批省级绿色学校创建示范单位。加</w:t>
      </w:r>
      <w:r>
        <w:rPr>
          <w:rFonts w:hint="eastAsia" w:ascii="仿宋" w:hAnsi="仿宋" w:eastAsia="仿宋" w:cs="仿宋"/>
          <w:sz w:val="32"/>
          <w:szCs w:val="32"/>
        </w:rPr>
        <w:t>强学校食品、饮水安全管理，北院学生食堂被认定为望城区食品安全示范单位。扎实推进消费帮扶工作，积极履行乡村振兴职能职责，得到教育厅通报表扬。</w:t>
      </w:r>
    </w:p>
    <w:p>
      <w:pPr>
        <w:widowControl/>
        <w:spacing w:line="640" w:lineRule="exact"/>
        <w:ind w:firstLine="640" w:firstLineChars="200"/>
        <w:jc w:val="left"/>
        <w:rPr>
          <w:rFonts w:ascii="黑体" w:hAnsi="黑体" w:eastAsia="黑体"/>
          <w:sz w:val="32"/>
          <w:szCs w:val="32"/>
        </w:rPr>
      </w:pPr>
      <w:r>
        <w:rPr>
          <w:rFonts w:ascii="黑体" w:hAnsi="黑体" w:eastAsia="黑体"/>
          <w:sz w:val="32"/>
          <w:szCs w:val="32"/>
        </w:rPr>
        <w:t>九、存在的问题及原因分析</w:t>
      </w:r>
    </w:p>
    <w:p>
      <w:pPr>
        <w:autoSpaceDE w:val="0"/>
        <w:spacing w:line="640" w:lineRule="exact"/>
        <w:ind w:firstLine="641" w:firstLineChars="200"/>
        <w:rPr>
          <w:rFonts w:ascii="华文楷体" w:hAnsi="华文楷体" w:eastAsia="华文楷体" w:cs="宋体"/>
          <w:b/>
          <w:bCs/>
          <w:color w:val="000000"/>
          <w:kern w:val="0"/>
          <w:sz w:val="32"/>
          <w:szCs w:val="32"/>
        </w:rPr>
      </w:pPr>
      <w:r>
        <w:rPr>
          <w:rFonts w:ascii="华文楷体" w:hAnsi="华文楷体" w:eastAsia="华文楷体" w:cs="宋体"/>
          <w:b/>
          <w:bCs/>
          <w:color w:val="000000"/>
          <w:kern w:val="0"/>
          <w:sz w:val="32"/>
          <w:szCs w:val="32"/>
        </w:rPr>
        <w:t>（</w:t>
      </w:r>
      <w:r>
        <w:rPr>
          <w:rFonts w:hint="eastAsia" w:ascii="华文楷体" w:hAnsi="华文楷体" w:eastAsia="华文楷体" w:cs="宋体"/>
          <w:b/>
          <w:bCs/>
          <w:color w:val="000000"/>
          <w:kern w:val="0"/>
          <w:sz w:val="32"/>
          <w:szCs w:val="32"/>
        </w:rPr>
        <w:t>一</w:t>
      </w:r>
      <w:r>
        <w:rPr>
          <w:rFonts w:ascii="华文楷体" w:hAnsi="华文楷体" w:eastAsia="华文楷体" w:cs="宋体"/>
          <w:b/>
          <w:bCs/>
          <w:color w:val="000000"/>
          <w:kern w:val="0"/>
          <w:sz w:val="32"/>
          <w:szCs w:val="32"/>
        </w:rPr>
        <w:t>）</w:t>
      </w:r>
      <w:r>
        <w:rPr>
          <w:rFonts w:hint="eastAsia" w:ascii="华文楷体" w:hAnsi="华文楷体" w:eastAsia="华文楷体" w:cs="宋体"/>
          <w:b/>
          <w:bCs/>
          <w:color w:val="000000"/>
          <w:kern w:val="0"/>
          <w:sz w:val="32"/>
          <w:szCs w:val="32"/>
        </w:rPr>
        <w:t>部分一般公共预算项目资金预算执行率有待提高</w:t>
      </w:r>
    </w:p>
    <w:p>
      <w:pPr>
        <w:autoSpaceDE w:val="0"/>
        <w:spacing w:line="640" w:lineRule="exact"/>
        <w:ind w:firstLine="640" w:firstLineChars="200"/>
        <w:rPr>
          <w:rFonts w:hint="eastAsia" w:ascii="仿宋" w:hAnsi="仿宋" w:eastAsia="仿宋" w:cs="宋体"/>
          <w:color w:val="000000"/>
          <w:kern w:val="0"/>
          <w:sz w:val="32"/>
          <w:szCs w:val="32"/>
          <w:highlight w:val="yellow"/>
          <w:lang w:val="en-US" w:eastAsia="zh-CN"/>
        </w:rPr>
      </w:pPr>
      <w:r>
        <w:rPr>
          <w:rFonts w:hint="eastAsia" w:ascii="仿宋" w:hAnsi="仿宋" w:eastAsia="仿宋" w:cs="宋体"/>
          <w:bCs/>
          <w:color w:val="000000"/>
          <w:kern w:val="0"/>
          <w:sz w:val="32"/>
          <w:szCs w:val="32"/>
        </w:rPr>
        <w:t>2022年学院一般公共预算项目资金全年预算数6527.67万元，决算数4</w:t>
      </w:r>
      <w:r>
        <w:rPr>
          <w:rFonts w:ascii="仿宋" w:hAnsi="仿宋" w:eastAsia="仿宋" w:cs="宋体"/>
          <w:bCs/>
          <w:color w:val="000000"/>
          <w:kern w:val="0"/>
          <w:sz w:val="32"/>
          <w:szCs w:val="32"/>
        </w:rPr>
        <w:t>880.47万元，</w:t>
      </w:r>
      <w:r>
        <w:rPr>
          <w:rFonts w:hint="eastAsia" w:ascii="仿宋" w:hAnsi="仿宋" w:eastAsia="仿宋" w:cs="宋体"/>
          <w:bCs/>
          <w:color w:val="000000"/>
          <w:kern w:val="0"/>
          <w:sz w:val="32"/>
          <w:szCs w:val="32"/>
        </w:rPr>
        <w:t>执行率为74.76%，部分项目执行率低于整体执行率。主要原因有：（1）</w:t>
      </w:r>
      <w:r>
        <w:rPr>
          <w:rFonts w:hint="eastAsia" w:ascii="仿宋" w:hAnsi="仿宋" w:eastAsia="仿宋" w:cs="宋体"/>
          <w:color w:val="000000"/>
          <w:kern w:val="0"/>
          <w:sz w:val="32"/>
          <w:szCs w:val="32"/>
        </w:rPr>
        <w:t>科研课题研究周期一般会跨年度，且根据规定未结题的科研项目不能全部报销，而部分科研项目资金一次性下达，导致科研项目资金的执行率不高。（2）因上级政策、疫情影响等客观原因很多工作未能按计划开展，如长财教指［2021］59，实际执行18.36万元，执行率47.31%；长财教字〔2022〕0176号高职教育精品网络共享课程（Linux服务器技术）经费预算105万元，实际执行30.2万，执行率28.76%。（3）个别项目资金到账时间较晚，</w:t>
      </w:r>
      <w:r>
        <w:rPr>
          <w:rFonts w:ascii="仿宋" w:hAnsi="仿宋" w:eastAsia="仿宋" w:cs="宋体"/>
          <w:color w:val="000000"/>
          <w:kern w:val="0"/>
          <w:sz w:val="32"/>
          <w:szCs w:val="32"/>
        </w:rPr>
        <w:t>2022</w:t>
      </w:r>
      <w:r>
        <w:rPr>
          <w:rFonts w:hint="eastAsia" w:ascii="仿宋" w:hAnsi="仿宋" w:eastAsia="仿宋" w:cs="宋体"/>
          <w:color w:val="000000"/>
          <w:kern w:val="0"/>
          <w:sz w:val="32"/>
          <w:szCs w:val="32"/>
        </w:rPr>
        <w:t>年11-12月才下达到学院，时间上来不及使用，如长财教指〔2022〕0081号高校“双一流”资金11月22日下拨17万元。</w:t>
      </w:r>
      <w:r>
        <w:rPr>
          <w:rFonts w:hint="eastAsia" w:ascii="仿宋" w:hAnsi="仿宋" w:eastAsia="仿宋" w:cs="宋体"/>
          <w:color w:val="000000"/>
          <w:kern w:val="0"/>
          <w:sz w:val="32"/>
          <w:szCs w:val="32"/>
          <w:highlight w:val="yellow"/>
          <w:lang w:val="en-US" w:eastAsia="zh-CN"/>
        </w:rPr>
        <w:t>（4）部分校园维修改造项目质保金未支付，因为质保期未到，无法支付。财政下达指标为校园改造经费，指标文号为长财教指〔2022〕0091号，下达指标金额为50万元，指标结余50万余元。</w:t>
      </w:r>
    </w:p>
    <w:p>
      <w:pPr>
        <w:autoSpaceDE w:val="0"/>
        <w:spacing w:line="640" w:lineRule="exact"/>
        <w:ind w:firstLine="641" w:firstLineChars="200"/>
        <w:rPr>
          <w:rFonts w:hint="eastAsia" w:ascii="仿宋" w:hAnsi="仿宋" w:eastAsia="仿宋" w:cs="宋体"/>
          <w:color w:val="000000"/>
          <w:kern w:val="0"/>
          <w:sz w:val="32"/>
          <w:szCs w:val="32"/>
          <w:highlight w:val="yellow"/>
          <w:lang w:val="en-US" w:eastAsia="zh-CN"/>
        </w:rPr>
      </w:pPr>
      <w:r>
        <w:rPr>
          <w:rFonts w:ascii="华文楷体" w:hAnsi="华文楷体" w:eastAsia="华文楷体" w:cs="宋体"/>
          <w:b/>
          <w:bCs/>
          <w:color w:val="000000"/>
          <w:kern w:val="0"/>
          <w:sz w:val="32"/>
          <w:szCs w:val="32"/>
          <w:highlight w:val="yellow"/>
        </w:rPr>
        <w:t>（</w:t>
      </w:r>
      <w:r>
        <w:rPr>
          <w:rFonts w:hint="eastAsia" w:ascii="华文楷体" w:hAnsi="华文楷体" w:eastAsia="华文楷体" w:cs="宋体"/>
          <w:b/>
          <w:bCs/>
          <w:color w:val="000000"/>
          <w:kern w:val="0"/>
          <w:sz w:val="32"/>
          <w:szCs w:val="32"/>
          <w:highlight w:val="yellow"/>
          <w:lang w:val="en-US" w:eastAsia="zh-CN"/>
        </w:rPr>
        <w:t>二</w:t>
      </w:r>
      <w:r>
        <w:rPr>
          <w:rFonts w:ascii="华文楷体" w:hAnsi="华文楷体" w:eastAsia="华文楷体" w:cs="宋体"/>
          <w:b/>
          <w:bCs/>
          <w:color w:val="000000"/>
          <w:kern w:val="0"/>
          <w:sz w:val="32"/>
          <w:szCs w:val="32"/>
          <w:highlight w:val="yellow"/>
        </w:rPr>
        <w:t>）</w:t>
      </w:r>
      <w:r>
        <w:rPr>
          <w:rFonts w:hint="eastAsia" w:ascii="华文楷体" w:hAnsi="华文楷体" w:eastAsia="华文楷体" w:cs="宋体"/>
          <w:b/>
          <w:bCs/>
          <w:color w:val="000000"/>
          <w:kern w:val="0"/>
          <w:sz w:val="32"/>
          <w:szCs w:val="32"/>
          <w:highlight w:val="yellow"/>
          <w:lang w:val="en-US" w:eastAsia="zh-CN"/>
        </w:rPr>
        <w:t>预算外</w:t>
      </w:r>
      <w:r>
        <w:rPr>
          <w:rFonts w:hint="eastAsia" w:ascii="华文楷体" w:hAnsi="华文楷体" w:eastAsia="华文楷体" w:cs="宋体"/>
          <w:b/>
          <w:bCs/>
          <w:color w:val="000000"/>
          <w:kern w:val="0"/>
          <w:sz w:val="32"/>
          <w:szCs w:val="32"/>
          <w:highlight w:val="yellow"/>
        </w:rPr>
        <w:t>资金预算执行率有待提高</w:t>
      </w:r>
    </w:p>
    <w:p>
      <w:pPr>
        <w:autoSpaceDE w:val="0"/>
        <w:spacing w:line="640" w:lineRule="exact"/>
        <w:ind w:firstLine="640" w:firstLineChars="200"/>
        <w:rPr>
          <w:rFonts w:hint="default" w:ascii="仿宋" w:hAnsi="仿宋" w:eastAsia="仿宋" w:cs="宋体"/>
          <w:color w:val="000000"/>
          <w:kern w:val="0"/>
          <w:sz w:val="32"/>
          <w:szCs w:val="32"/>
          <w:highlight w:val="yellow"/>
          <w:lang w:val="en-US" w:eastAsia="zh-CN"/>
        </w:rPr>
      </w:pPr>
      <w:r>
        <w:rPr>
          <w:rFonts w:hint="eastAsia" w:ascii="仿宋" w:hAnsi="仿宋" w:eastAsia="仿宋" w:cs="宋体"/>
          <w:bCs/>
          <w:color w:val="000000"/>
          <w:kern w:val="0"/>
          <w:sz w:val="32"/>
          <w:szCs w:val="32"/>
          <w:highlight w:val="yellow"/>
        </w:rPr>
        <w:t>2022年学院</w:t>
      </w:r>
      <w:r>
        <w:rPr>
          <w:rFonts w:hint="eastAsia" w:ascii="仿宋" w:hAnsi="仿宋" w:eastAsia="仿宋" w:cs="宋体"/>
          <w:bCs/>
          <w:color w:val="000000"/>
          <w:kern w:val="0"/>
          <w:sz w:val="32"/>
          <w:szCs w:val="32"/>
          <w:highlight w:val="yellow"/>
          <w:lang w:val="en-US" w:eastAsia="zh-CN"/>
        </w:rPr>
        <w:t>预算外</w:t>
      </w:r>
      <w:r>
        <w:rPr>
          <w:rFonts w:hint="eastAsia" w:ascii="仿宋" w:hAnsi="仿宋" w:eastAsia="仿宋" w:cs="宋体"/>
          <w:bCs/>
          <w:color w:val="000000"/>
          <w:kern w:val="0"/>
          <w:sz w:val="32"/>
          <w:szCs w:val="32"/>
          <w:highlight w:val="yellow"/>
        </w:rPr>
        <w:t>项目资金全年</w:t>
      </w:r>
      <w:r>
        <w:rPr>
          <w:rFonts w:hint="eastAsia" w:ascii="仿宋" w:hAnsi="仿宋" w:eastAsia="仿宋" w:cs="宋体"/>
          <w:bCs/>
          <w:color w:val="000000"/>
          <w:kern w:val="0"/>
          <w:sz w:val="32"/>
          <w:szCs w:val="32"/>
          <w:highlight w:val="yellow"/>
          <w:lang w:val="en-US" w:eastAsia="zh-CN"/>
        </w:rPr>
        <w:t>下达8444.03</w:t>
      </w:r>
      <w:r>
        <w:rPr>
          <w:rFonts w:hint="eastAsia" w:ascii="仿宋" w:hAnsi="仿宋" w:eastAsia="仿宋" w:cs="宋体"/>
          <w:bCs/>
          <w:color w:val="000000"/>
          <w:kern w:val="0"/>
          <w:sz w:val="32"/>
          <w:szCs w:val="32"/>
          <w:highlight w:val="yellow"/>
        </w:rPr>
        <w:t>万元，</w:t>
      </w:r>
      <w:r>
        <w:rPr>
          <w:rFonts w:hint="eastAsia" w:ascii="仿宋" w:hAnsi="仿宋" w:eastAsia="仿宋" w:cs="宋体"/>
          <w:bCs/>
          <w:color w:val="000000"/>
          <w:kern w:val="0"/>
          <w:sz w:val="32"/>
          <w:szCs w:val="32"/>
          <w:highlight w:val="yellow"/>
          <w:lang w:val="en-US" w:eastAsia="zh-CN"/>
        </w:rPr>
        <w:t>指标结余为3393.21万元</w:t>
      </w:r>
      <w:r>
        <w:rPr>
          <w:rFonts w:ascii="仿宋" w:hAnsi="仿宋" w:eastAsia="仿宋" w:cs="宋体"/>
          <w:bCs/>
          <w:color w:val="000000"/>
          <w:kern w:val="0"/>
          <w:sz w:val="32"/>
          <w:szCs w:val="32"/>
          <w:highlight w:val="yellow"/>
        </w:rPr>
        <w:t>，</w:t>
      </w:r>
      <w:r>
        <w:rPr>
          <w:rFonts w:hint="eastAsia" w:ascii="仿宋" w:hAnsi="仿宋" w:eastAsia="仿宋" w:cs="宋体"/>
          <w:bCs/>
          <w:color w:val="000000"/>
          <w:kern w:val="0"/>
          <w:sz w:val="32"/>
          <w:szCs w:val="32"/>
          <w:highlight w:val="yellow"/>
        </w:rPr>
        <w:t>执行率为</w:t>
      </w:r>
      <w:r>
        <w:rPr>
          <w:rFonts w:hint="eastAsia" w:ascii="仿宋" w:hAnsi="仿宋" w:eastAsia="仿宋" w:cs="宋体"/>
          <w:bCs/>
          <w:color w:val="000000"/>
          <w:kern w:val="0"/>
          <w:sz w:val="32"/>
          <w:szCs w:val="32"/>
          <w:highlight w:val="yellow"/>
          <w:lang w:val="en-US" w:eastAsia="zh-CN"/>
        </w:rPr>
        <w:t>59.82</w:t>
      </w:r>
      <w:r>
        <w:rPr>
          <w:rFonts w:hint="eastAsia" w:ascii="仿宋" w:hAnsi="仿宋" w:eastAsia="仿宋" w:cs="宋体"/>
          <w:bCs/>
          <w:color w:val="000000"/>
          <w:kern w:val="0"/>
          <w:sz w:val="32"/>
          <w:szCs w:val="32"/>
          <w:highlight w:val="yellow"/>
        </w:rPr>
        <w:t>%，部分项目执行率</w:t>
      </w:r>
      <w:r>
        <w:rPr>
          <w:rFonts w:hint="eastAsia" w:ascii="仿宋" w:hAnsi="仿宋" w:eastAsia="仿宋" w:cs="宋体"/>
          <w:bCs/>
          <w:color w:val="000000"/>
          <w:kern w:val="0"/>
          <w:sz w:val="32"/>
          <w:szCs w:val="32"/>
          <w:highlight w:val="yellow"/>
          <w:lang w:val="en-US" w:eastAsia="zh-CN"/>
        </w:rPr>
        <w:t>较低</w:t>
      </w:r>
      <w:r>
        <w:rPr>
          <w:rFonts w:hint="eastAsia" w:ascii="仿宋" w:hAnsi="仿宋" w:eastAsia="仿宋" w:cs="宋体"/>
          <w:bCs/>
          <w:color w:val="000000"/>
          <w:kern w:val="0"/>
          <w:sz w:val="32"/>
          <w:szCs w:val="32"/>
          <w:highlight w:val="yellow"/>
        </w:rPr>
        <w:t>。主要原因有</w:t>
      </w:r>
      <w:r>
        <w:rPr>
          <w:rFonts w:hint="eastAsia" w:ascii="仿宋" w:hAnsi="仿宋" w:eastAsia="仿宋" w:cs="宋体"/>
          <w:bCs/>
          <w:color w:val="000000"/>
          <w:kern w:val="0"/>
          <w:sz w:val="32"/>
          <w:szCs w:val="32"/>
          <w:highlight w:val="yellow"/>
          <w:lang w:eastAsia="zh-CN"/>
        </w:rPr>
        <w:t>：（</w:t>
      </w:r>
      <w:r>
        <w:rPr>
          <w:rFonts w:hint="eastAsia" w:ascii="仿宋" w:hAnsi="仿宋" w:eastAsia="仿宋" w:cs="宋体"/>
          <w:bCs/>
          <w:color w:val="000000"/>
          <w:kern w:val="0"/>
          <w:sz w:val="32"/>
          <w:szCs w:val="32"/>
          <w:highlight w:val="yellow"/>
          <w:lang w:val="en-US" w:eastAsia="zh-CN"/>
        </w:rPr>
        <w:t>1）</w:t>
      </w:r>
      <w:r>
        <w:rPr>
          <w:rFonts w:hint="eastAsia" w:ascii="仿宋" w:hAnsi="仿宋" w:eastAsia="仿宋" w:cs="宋体"/>
          <w:color w:val="000000"/>
          <w:kern w:val="0"/>
          <w:sz w:val="32"/>
          <w:szCs w:val="32"/>
          <w:highlight w:val="yellow"/>
          <w:lang w:val="en-US" w:eastAsia="zh-CN"/>
        </w:rPr>
        <w:t>2022年下达三条实验室建设和图书购置指标，为预算外资金，分别是长财教字〔2022〕0176号、长财教字〔2022〕0081号和长财预〔2022〕001号，下达金额3094.80万元，指标结余2053.23万元。主要原因是部分二级学院的实验室项目在2022年下半年才开始招标采购，临近付款已经是12月份，12月由于疫情未能及时支付，另一部分实验室项目在2022年未能及时完成招标采购，且实验室建设项目的资金量较大，影响了2022年的付款进度。部分新校区项目未能如期建设，如图书购置650元项目经费，智慧图书馆建设97万项目。（2）由于财政指标问题无法支付，指标不匹配，或因政府采购标识问题而导致部分资金无法支付。（3）其他应付款包括往来款结余1000万元，主要原因大部分资金为代收学生费用，包括退学费、住宿费、军训费，大学生医保等费用共775万元，大学生生源地贷款资金370万元，由于12月疫情，报账资料未能及时提交财务处。</w:t>
      </w:r>
    </w:p>
    <w:p>
      <w:pPr>
        <w:autoSpaceDE w:val="0"/>
        <w:spacing w:line="640" w:lineRule="exact"/>
        <w:ind w:firstLine="641" w:firstLineChars="200"/>
        <w:rPr>
          <w:rFonts w:ascii="华文楷体" w:hAnsi="华文楷体" w:eastAsia="华文楷体" w:cs="宋体"/>
          <w:b/>
          <w:bCs/>
          <w:color w:val="000000"/>
          <w:kern w:val="0"/>
          <w:sz w:val="32"/>
          <w:szCs w:val="32"/>
        </w:rPr>
      </w:pPr>
      <w:r>
        <w:rPr>
          <w:rFonts w:hint="eastAsia" w:ascii="华文楷体" w:hAnsi="华文楷体" w:eastAsia="华文楷体" w:cs="宋体"/>
          <w:b/>
          <w:bCs/>
          <w:color w:val="000000"/>
          <w:kern w:val="0"/>
          <w:sz w:val="32"/>
          <w:szCs w:val="32"/>
        </w:rPr>
        <w:t>（</w:t>
      </w:r>
      <w:r>
        <w:rPr>
          <w:rFonts w:hint="eastAsia" w:ascii="华文楷体" w:hAnsi="华文楷体" w:eastAsia="华文楷体" w:cs="宋体"/>
          <w:b/>
          <w:bCs/>
          <w:color w:val="000000"/>
          <w:kern w:val="0"/>
          <w:sz w:val="32"/>
          <w:szCs w:val="32"/>
          <w:lang w:val="en-US" w:eastAsia="zh-CN"/>
        </w:rPr>
        <w:t>三</w:t>
      </w:r>
      <w:r>
        <w:rPr>
          <w:rFonts w:hint="eastAsia" w:ascii="华文楷体" w:hAnsi="华文楷体" w:eastAsia="华文楷体" w:cs="宋体"/>
          <w:b/>
          <w:bCs/>
          <w:color w:val="000000"/>
          <w:kern w:val="0"/>
          <w:sz w:val="32"/>
          <w:szCs w:val="32"/>
        </w:rPr>
        <w:t>）部分评价指标还可进一步细化量化</w:t>
      </w:r>
    </w:p>
    <w:p>
      <w:pPr>
        <w:widowControl/>
        <w:spacing w:line="640" w:lineRule="exact"/>
        <w:ind w:firstLine="640" w:firstLineChars="200"/>
        <w:jc w:val="left"/>
        <w:rPr>
          <w:rFonts w:ascii="仿宋" w:hAnsi="仿宋" w:eastAsia="仿宋" w:cs="宋体"/>
          <w:color w:val="000000"/>
          <w:kern w:val="0"/>
          <w:sz w:val="32"/>
          <w:szCs w:val="32"/>
        </w:rPr>
      </w:pPr>
      <w:r>
        <w:rPr>
          <w:rFonts w:ascii="仿宋" w:hAnsi="仿宋" w:eastAsia="仿宋" w:cs="宋体"/>
          <w:color w:val="000000"/>
          <w:kern w:val="0"/>
          <w:sz w:val="32"/>
          <w:szCs w:val="32"/>
        </w:rPr>
        <w:t>部分项目的绩效目标不明确，不能客观地反映项目的实施效果，可衡量性有待提高，不利于对项目的管理与评价。如改善办学条件指标，还可以进一步细化为在改善办学条件方面还可进一步细化在改善学院实施方面要做哪些</w:t>
      </w:r>
      <w:r>
        <w:rPr>
          <w:rFonts w:hint="eastAsia" w:ascii="仿宋" w:hAnsi="仿宋" w:eastAsia="仿宋" w:cs="宋体"/>
          <w:color w:val="000000"/>
          <w:kern w:val="0"/>
          <w:sz w:val="32"/>
          <w:szCs w:val="32"/>
        </w:rPr>
        <w:t>工作</w:t>
      </w:r>
      <w:r>
        <w:rPr>
          <w:rFonts w:ascii="仿宋" w:hAnsi="仿宋" w:eastAsia="仿宋" w:cs="宋体"/>
          <w:color w:val="000000"/>
          <w:kern w:val="0"/>
          <w:sz w:val="32"/>
          <w:szCs w:val="32"/>
        </w:rPr>
        <w:t>，在改善教育教学环境上要做哪些工作。</w:t>
      </w:r>
    </w:p>
    <w:p>
      <w:pPr>
        <w:autoSpaceDE w:val="0"/>
        <w:spacing w:line="640" w:lineRule="exact"/>
        <w:ind w:firstLine="641" w:firstLineChars="200"/>
        <w:rPr>
          <w:rFonts w:ascii="华文楷体" w:hAnsi="华文楷体" w:eastAsia="华文楷体" w:cs="宋体"/>
          <w:b/>
          <w:bCs/>
          <w:color w:val="000000"/>
          <w:kern w:val="0"/>
          <w:sz w:val="32"/>
          <w:szCs w:val="32"/>
        </w:rPr>
      </w:pPr>
      <w:r>
        <w:rPr>
          <w:rFonts w:hint="eastAsia" w:ascii="华文楷体" w:hAnsi="华文楷体" w:eastAsia="华文楷体" w:cs="宋体"/>
          <w:b/>
          <w:bCs/>
          <w:color w:val="000000"/>
          <w:kern w:val="0"/>
          <w:sz w:val="32"/>
          <w:szCs w:val="32"/>
        </w:rPr>
        <w:t>（</w:t>
      </w:r>
      <w:r>
        <w:rPr>
          <w:rFonts w:hint="eastAsia" w:ascii="华文楷体" w:hAnsi="华文楷体" w:eastAsia="华文楷体" w:cs="宋体"/>
          <w:b/>
          <w:bCs/>
          <w:color w:val="000000"/>
          <w:kern w:val="0"/>
          <w:sz w:val="32"/>
          <w:szCs w:val="32"/>
          <w:lang w:val="en-US" w:eastAsia="zh-CN"/>
        </w:rPr>
        <w:t>四</w:t>
      </w:r>
      <w:r>
        <w:rPr>
          <w:rFonts w:hint="eastAsia" w:ascii="华文楷体" w:hAnsi="华文楷体" w:eastAsia="华文楷体" w:cs="宋体"/>
          <w:b/>
          <w:bCs/>
          <w:color w:val="000000"/>
          <w:kern w:val="0"/>
          <w:sz w:val="32"/>
          <w:szCs w:val="32"/>
        </w:rPr>
        <w:t>）年初绩效目标填报的覆盖面不够</w:t>
      </w:r>
    </w:p>
    <w:p>
      <w:pPr>
        <w:autoSpaceDE w:val="0"/>
        <w:spacing w:line="64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年初绩效目标的填报主要针对部门预算的支出，没有考虑年中追加的各类专项资金。</w:t>
      </w:r>
    </w:p>
    <w:p>
      <w:pPr>
        <w:autoSpaceDE w:val="0"/>
        <w:spacing w:line="640" w:lineRule="exact"/>
        <w:ind w:firstLine="640" w:firstLineChars="200"/>
        <w:rPr>
          <w:rFonts w:ascii="黑体" w:hAnsi="黑体" w:eastAsia="黑体"/>
          <w:sz w:val="32"/>
          <w:szCs w:val="32"/>
        </w:rPr>
      </w:pPr>
      <w:r>
        <w:rPr>
          <w:rFonts w:ascii="黑体" w:hAnsi="黑体" w:eastAsia="黑体"/>
          <w:sz w:val="32"/>
          <w:szCs w:val="32"/>
        </w:rPr>
        <w:t>十、下一步改进措施</w:t>
      </w:r>
    </w:p>
    <w:p>
      <w:pPr>
        <w:autoSpaceDE w:val="0"/>
        <w:spacing w:line="640" w:lineRule="exact"/>
        <w:ind w:firstLine="641" w:firstLineChars="200"/>
        <w:rPr>
          <w:rFonts w:ascii="华文楷体" w:hAnsi="华文楷体" w:eastAsia="华文楷体"/>
          <w:b/>
          <w:sz w:val="32"/>
          <w:szCs w:val="32"/>
        </w:rPr>
      </w:pPr>
      <w:r>
        <w:rPr>
          <w:rFonts w:ascii="华文楷体" w:hAnsi="华文楷体" w:eastAsia="华文楷体"/>
          <w:b/>
          <w:sz w:val="32"/>
          <w:szCs w:val="32"/>
        </w:rPr>
        <w:t>（一）进一步提高项目资金预算执行率</w:t>
      </w:r>
    </w:p>
    <w:p>
      <w:pPr>
        <w:autoSpaceDE w:val="0"/>
        <w:spacing w:line="64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一是做好项目资金使用的校内沟通协调工作，在合法合规依程序的基础上督促加快专项资金</w:t>
      </w:r>
      <w:r>
        <w:rPr>
          <w:rFonts w:hint="eastAsia" w:ascii="仿宋" w:hAnsi="仿宋" w:eastAsia="仿宋" w:cs="宋体"/>
          <w:color w:val="000000"/>
          <w:kern w:val="0"/>
          <w:sz w:val="32"/>
          <w:szCs w:val="32"/>
        </w:rPr>
        <w:t>预算执行</w:t>
      </w:r>
      <w:r>
        <w:rPr>
          <w:rFonts w:ascii="仿宋" w:hAnsi="仿宋" w:eastAsia="仿宋" w:cs="宋体"/>
          <w:color w:val="000000"/>
          <w:kern w:val="0"/>
          <w:sz w:val="32"/>
          <w:szCs w:val="32"/>
        </w:rPr>
        <w:t>进度，不断提高资金支付率，确保</w:t>
      </w:r>
      <w:r>
        <w:rPr>
          <w:rFonts w:hint="eastAsia" w:ascii="仿宋" w:hAnsi="仿宋" w:eastAsia="仿宋" w:cs="宋体"/>
          <w:color w:val="000000"/>
          <w:kern w:val="0"/>
          <w:sz w:val="32"/>
          <w:szCs w:val="32"/>
        </w:rPr>
        <w:t>专项</w:t>
      </w:r>
      <w:r>
        <w:rPr>
          <w:rFonts w:ascii="仿宋" w:hAnsi="仿宋" w:eastAsia="仿宋" w:cs="宋体"/>
          <w:color w:val="000000"/>
          <w:kern w:val="0"/>
          <w:sz w:val="32"/>
          <w:szCs w:val="32"/>
        </w:rPr>
        <w:t>工作的有序开展，有效提高专项资金使用效益；二是进一步加强专项项目账目管理，严格按照各类项目管理和核算要求对所有的项目支出</w:t>
      </w:r>
      <w:r>
        <w:rPr>
          <w:rFonts w:hint="eastAsia" w:ascii="仿宋" w:hAnsi="仿宋" w:eastAsia="仿宋" w:cs="宋体"/>
          <w:color w:val="000000"/>
          <w:kern w:val="0"/>
          <w:sz w:val="32"/>
          <w:szCs w:val="32"/>
        </w:rPr>
        <w:t>进行</w:t>
      </w:r>
      <w:r>
        <w:rPr>
          <w:rFonts w:ascii="仿宋" w:hAnsi="仿宋" w:eastAsia="仿宋" w:cs="宋体"/>
          <w:color w:val="000000"/>
          <w:kern w:val="0"/>
          <w:sz w:val="32"/>
          <w:szCs w:val="32"/>
        </w:rPr>
        <w:t>管理；三是进一步加强与财政的沟通汇报工作，确保各类项目资金的合规高效地使用与结转。</w:t>
      </w:r>
    </w:p>
    <w:p>
      <w:pPr>
        <w:autoSpaceDE w:val="0"/>
        <w:spacing w:line="640" w:lineRule="exact"/>
        <w:ind w:firstLine="641" w:firstLineChars="200"/>
        <w:rPr>
          <w:rFonts w:ascii="华文楷体" w:hAnsi="华文楷体" w:eastAsia="华文楷体"/>
          <w:b/>
          <w:sz w:val="32"/>
          <w:szCs w:val="32"/>
        </w:rPr>
      </w:pPr>
      <w:r>
        <w:rPr>
          <w:rFonts w:ascii="华文楷体" w:hAnsi="华文楷体" w:eastAsia="华文楷体"/>
          <w:b/>
          <w:sz w:val="32"/>
          <w:szCs w:val="32"/>
        </w:rPr>
        <w:t>（二）进一步加强绩效管理</w:t>
      </w:r>
    </w:p>
    <w:p>
      <w:pPr>
        <w:autoSpaceDE w:val="0"/>
        <w:spacing w:line="64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进一步完善绩效评价管理体制，完善内控管理，充分落实各级财政部门关于绩效管理的要求，不断提高绩效管理水平。</w:t>
      </w:r>
    </w:p>
    <w:p>
      <w:pPr>
        <w:autoSpaceDE w:val="0"/>
        <w:spacing w:line="640" w:lineRule="exact"/>
        <w:ind w:firstLine="640" w:firstLineChars="200"/>
        <w:rPr>
          <w:rFonts w:ascii="黑体" w:hAnsi="黑体" w:eastAsia="黑体"/>
          <w:sz w:val="32"/>
          <w:szCs w:val="32"/>
        </w:rPr>
      </w:pPr>
      <w:r>
        <w:rPr>
          <w:rFonts w:ascii="黑体" w:hAnsi="黑体" w:eastAsia="黑体"/>
          <w:sz w:val="32"/>
          <w:szCs w:val="32"/>
        </w:rPr>
        <w:t>十一、绩效自评结果拟应用和公开情况</w:t>
      </w:r>
    </w:p>
    <w:p>
      <w:pPr>
        <w:autoSpaceDE w:val="0"/>
        <w:spacing w:line="640" w:lineRule="exac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学院绩效自评结果将作为改进管理、推动工作的重要依据，对绩效较低的项目予以扣减相应的预算或暂停拨付资金。学院自评报告将按文件要求及时在学院网站公开。</w:t>
      </w:r>
    </w:p>
    <w:p>
      <w:pPr>
        <w:widowControl/>
        <w:spacing w:line="600" w:lineRule="exact"/>
        <w:ind w:firstLine="645"/>
        <w:jc w:val="left"/>
        <w:rPr>
          <w:rFonts w:hint="eastAsia" w:ascii="仿宋_GB2312" w:hAnsi="仿宋_GB2312" w:eastAsiaTheme="minorEastAsia"/>
          <w:sz w:val="32"/>
          <w:szCs w:val="32"/>
        </w:rPr>
      </w:pPr>
    </w:p>
    <w:p>
      <w:pPr>
        <w:widowControl/>
        <w:spacing w:line="600" w:lineRule="exact"/>
        <w:ind w:firstLine="645"/>
        <w:jc w:val="left"/>
        <w:rPr>
          <w:rFonts w:hint="eastAsia" w:ascii="仿宋_GB2312" w:hAnsi="仿宋_GB2312" w:eastAsiaTheme="minorEastAsia"/>
          <w:sz w:val="32"/>
          <w:szCs w:val="32"/>
        </w:rPr>
      </w:pPr>
    </w:p>
    <w:p>
      <w:pPr>
        <w:widowControl/>
        <w:spacing w:line="600" w:lineRule="exact"/>
        <w:ind w:firstLine="645"/>
        <w:jc w:val="left"/>
        <w:rPr>
          <w:rFonts w:eastAsia="仿宋_GB2312"/>
          <w:sz w:val="32"/>
          <w:szCs w:val="32"/>
        </w:rPr>
      </w:pPr>
      <w:r>
        <w:rPr>
          <w:rFonts w:ascii="仿宋_GB2312" w:hAnsi="仿宋_GB2312" w:eastAsia="仿宋_GB2312"/>
          <w:sz w:val="32"/>
          <w:szCs w:val="32"/>
        </w:rPr>
        <w:t>附件</w:t>
      </w:r>
      <w:r>
        <w:rPr>
          <w:rFonts w:hint="eastAsia" w:ascii="宋体" w:hAnsi="宋体" w:cs="宋体"/>
          <w:sz w:val="32"/>
          <w:szCs w:val="32"/>
        </w:rPr>
        <w:t>：</w:t>
      </w:r>
    </w:p>
    <w:p>
      <w:pPr>
        <w:widowControl/>
        <w:spacing w:line="600" w:lineRule="exact"/>
        <w:ind w:firstLine="640" w:firstLineChars="200"/>
        <w:jc w:val="left"/>
        <w:rPr>
          <w:rFonts w:eastAsia="仿宋_GB2312"/>
          <w:sz w:val="32"/>
          <w:szCs w:val="32"/>
        </w:rPr>
      </w:pPr>
      <w:r>
        <w:rPr>
          <w:rFonts w:eastAsia="仿宋_GB2312"/>
          <w:sz w:val="32"/>
          <w:szCs w:val="32"/>
        </w:rPr>
        <w:t>1</w:t>
      </w:r>
      <w:r>
        <w:rPr>
          <w:rFonts w:ascii="仿宋_GB2312" w:hAnsi="仿宋_GB2312" w:eastAsia="仿宋_GB2312"/>
          <w:sz w:val="32"/>
          <w:szCs w:val="32"/>
        </w:rPr>
        <w:t>、部门整体支出绩效评价基础数据</w:t>
      </w:r>
      <w:r>
        <w:rPr>
          <w:rFonts w:hint="eastAsia" w:ascii="宋体" w:hAnsi="宋体" w:cs="宋体"/>
          <w:sz w:val="32"/>
          <w:szCs w:val="32"/>
        </w:rPr>
        <w:t>表</w:t>
      </w:r>
    </w:p>
    <w:p>
      <w:pPr>
        <w:widowControl/>
        <w:spacing w:line="600" w:lineRule="exact"/>
        <w:ind w:firstLine="640" w:firstLineChars="200"/>
        <w:jc w:val="left"/>
        <w:rPr>
          <w:rFonts w:eastAsia="仿宋_GB2312"/>
          <w:sz w:val="32"/>
          <w:szCs w:val="32"/>
        </w:rPr>
      </w:pPr>
      <w:r>
        <w:rPr>
          <w:rFonts w:eastAsia="仿宋_GB2312"/>
          <w:sz w:val="32"/>
          <w:szCs w:val="32"/>
        </w:rPr>
        <w:t>2</w:t>
      </w:r>
      <w:r>
        <w:rPr>
          <w:rFonts w:ascii="仿宋_GB2312" w:hAnsi="仿宋_GB2312" w:eastAsia="仿宋_GB2312"/>
          <w:sz w:val="32"/>
          <w:szCs w:val="32"/>
        </w:rPr>
        <w:t>、部门整体支出绩效自评</w:t>
      </w:r>
      <w:r>
        <w:rPr>
          <w:rFonts w:hint="eastAsia" w:ascii="宋体" w:hAnsi="宋体" w:cs="宋体"/>
          <w:sz w:val="32"/>
          <w:szCs w:val="32"/>
        </w:rPr>
        <w:t>表</w:t>
      </w:r>
    </w:p>
    <w:p>
      <w:pPr>
        <w:widowControl/>
        <w:spacing w:line="600" w:lineRule="exact"/>
        <w:ind w:firstLine="640" w:firstLineChars="200"/>
        <w:jc w:val="left"/>
        <w:rPr>
          <w:rFonts w:eastAsia="仿宋_GB2312"/>
          <w:sz w:val="32"/>
          <w:szCs w:val="32"/>
        </w:rPr>
      </w:pPr>
      <w:r>
        <w:rPr>
          <w:rFonts w:eastAsia="仿宋_GB2312"/>
          <w:sz w:val="32"/>
          <w:szCs w:val="32"/>
        </w:rPr>
        <w:t>3</w:t>
      </w:r>
      <w:r>
        <w:rPr>
          <w:rFonts w:ascii="仿宋_GB2312" w:hAnsi="仿宋_GB2312" w:eastAsia="仿宋_GB2312"/>
          <w:sz w:val="32"/>
          <w:szCs w:val="32"/>
        </w:rPr>
        <w:t>、项目支出绩效自评表（一个项目支出一张表</w:t>
      </w:r>
      <w:r>
        <w:rPr>
          <w:rFonts w:hint="eastAsia" w:ascii="宋体" w:hAnsi="宋体" w:cs="宋体"/>
          <w:sz w:val="32"/>
          <w:szCs w:val="32"/>
        </w:rPr>
        <w:t>）</w:t>
      </w:r>
    </w:p>
    <w:p>
      <w:pPr>
        <w:widowControl/>
        <w:spacing w:line="600" w:lineRule="exact"/>
        <w:ind w:firstLine="640" w:firstLineChars="200"/>
        <w:jc w:val="left"/>
        <w:rPr>
          <w:rFonts w:eastAsia="仿宋_GB2312"/>
          <w:sz w:val="32"/>
          <w:szCs w:val="32"/>
        </w:rPr>
      </w:pPr>
      <w:r>
        <w:rPr>
          <w:rFonts w:eastAsia="仿宋_GB2312"/>
          <w:sz w:val="32"/>
          <w:szCs w:val="32"/>
        </w:rPr>
        <w:t>4</w:t>
      </w:r>
      <w:r>
        <w:rPr>
          <w:rFonts w:ascii="仿宋_GB2312" w:hAnsi="仿宋_GB2312" w:eastAsia="仿宋_GB2312"/>
          <w:sz w:val="32"/>
          <w:szCs w:val="32"/>
        </w:rPr>
        <w:t>、政府性基金预算支出情况</w:t>
      </w:r>
      <w:r>
        <w:rPr>
          <w:rFonts w:hint="eastAsia" w:ascii="宋体" w:hAnsi="宋体" w:cs="宋体"/>
          <w:sz w:val="32"/>
          <w:szCs w:val="32"/>
        </w:rPr>
        <w:t>表</w:t>
      </w:r>
    </w:p>
    <w:p>
      <w:pPr>
        <w:widowControl/>
        <w:spacing w:line="600" w:lineRule="exact"/>
        <w:ind w:firstLine="640" w:firstLineChars="200"/>
        <w:jc w:val="left"/>
        <w:rPr>
          <w:rFonts w:eastAsia="仿宋_GB2312"/>
          <w:sz w:val="32"/>
          <w:szCs w:val="32"/>
        </w:rPr>
      </w:pPr>
      <w:r>
        <w:rPr>
          <w:rFonts w:eastAsia="仿宋_GB2312"/>
          <w:sz w:val="32"/>
          <w:szCs w:val="32"/>
        </w:rPr>
        <w:t>5</w:t>
      </w:r>
      <w:r>
        <w:rPr>
          <w:rFonts w:ascii="仿宋_GB2312" w:hAnsi="仿宋_GB2312" w:eastAsia="仿宋_GB2312"/>
          <w:sz w:val="32"/>
          <w:szCs w:val="32"/>
        </w:rPr>
        <w:t>、国有资本经营预算支出情况</w:t>
      </w:r>
      <w:r>
        <w:rPr>
          <w:rFonts w:hint="eastAsia" w:ascii="宋体" w:hAnsi="宋体" w:cs="宋体"/>
          <w:sz w:val="32"/>
          <w:szCs w:val="32"/>
        </w:rPr>
        <w:t>表</w:t>
      </w:r>
    </w:p>
    <w:p>
      <w:pPr>
        <w:widowControl/>
        <w:spacing w:line="600" w:lineRule="exact"/>
        <w:ind w:firstLine="640" w:firstLineChars="200"/>
        <w:jc w:val="left"/>
        <w:rPr>
          <w:rFonts w:eastAsia="黑体"/>
          <w:sz w:val="28"/>
          <w:szCs w:val="28"/>
        </w:rPr>
      </w:pPr>
      <w:r>
        <w:rPr>
          <w:rFonts w:eastAsia="仿宋_GB2312"/>
          <w:sz w:val="32"/>
          <w:szCs w:val="32"/>
        </w:rPr>
        <w:t>6</w:t>
      </w:r>
      <w:r>
        <w:rPr>
          <w:rFonts w:ascii="仿宋_GB2312" w:hAnsi="仿宋_GB2312" w:eastAsia="仿宋_GB2312"/>
          <w:sz w:val="32"/>
          <w:szCs w:val="32"/>
        </w:rPr>
        <w:t>、社会保险基金预算支出情况</w:t>
      </w:r>
      <w:r>
        <w:rPr>
          <w:rFonts w:hint="eastAsia" w:ascii="宋体" w:hAnsi="宋体" w:cs="宋体"/>
          <w:sz w:val="32"/>
          <w:szCs w:val="32"/>
        </w:rPr>
        <w:t>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A9B7173-A722-4748-9806-BBD3EDBE7ED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097968E-9BFC-4E85-87F7-AB7FEEABFD61}"/>
  </w:font>
  <w:font w:name="Calibri Light">
    <w:panose1 w:val="020F03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3" w:fontKey="{2E97AF8A-F6DF-469B-9823-8FF35BA2B610}"/>
  </w:font>
  <w:font w:name="楷体_GB2312">
    <w:panose1 w:val="02010609030101010101"/>
    <w:charset w:val="86"/>
    <w:family w:val="auto"/>
    <w:pitch w:val="default"/>
    <w:sig w:usb0="00000001" w:usb1="080E0000" w:usb2="00000000" w:usb3="00000000" w:csb0="00040000" w:csb1="00000000"/>
    <w:embedRegular r:id="rId4" w:fontKey="{191FC996-83A2-4881-8D78-EEF4B6B86A4A}"/>
  </w:font>
  <w:font w:name="仿宋_GB2312">
    <w:panose1 w:val="02010609030101010101"/>
    <w:charset w:val="86"/>
    <w:family w:val="auto"/>
    <w:pitch w:val="default"/>
    <w:sig w:usb0="00000001" w:usb1="080E0000" w:usb2="00000000" w:usb3="00000000" w:csb0="00040000" w:csb1="00000000"/>
    <w:embedRegular r:id="rId5" w:fontKey="{4CDE6A99-9F64-4E26-9182-B517478828F9}"/>
  </w:font>
  <w:font w:name="华文楷体">
    <w:panose1 w:val="02010600040101010101"/>
    <w:charset w:val="86"/>
    <w:family w:val="auto"/>
    <w:pitch w:val="default"/>
    <w:sig w:usb0="00000287" w:usb1="080F0000" w:usb2="00000000" w:usb3="00000000" w:csb0="0004009F" w:csb1="DFD70000"/>
    <w:embedRegular r:id="rId6" w:fontKey="{8D1C674D-C4A8-40D9-88C4-0625A724E5A9}"/>
  </w:font>
  <w:font w:name="仿宋">
    <w:panose1 w:val="02010609060101010101"/>
    <w:charset w:val="86"/>
    <w:family w:val="modern"/>
    <w:pitch w:val="default"/>
    <w:sig w:usb0="800002BF" w:usb1="38CF7CFA" w:usb2="00000016" w:usb3="00000000" w:csb0="00040001" w:csb1="00000000"/>
    <w:embedRegular r:id="rId7" w:fontKey="{38022FAC-90D9-43EF-8F6C-0F1B841E2F1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U0NWRkYThhNGZmYTY0Yjg0NWU3YzljZDUzODVjZTAifQ=="/>
  </w:docVars>
  <w:rsids>
    <w:rsidRoot w:val="005B657C"/>
    <w:rsid w:val="00002644"/>
    <w:rsid w:val="00017A12"/>
    <w:rsid w:val="00022652"/>
    <w:rsid w:val="00044512"/>
    <w:rsid w:val="00054B78"/>
    <w:rsid w:val="0006781B"/>
    <w:rsid w:val="00071BE8"/>
    <w:rsid w:val="000933D2"/>
    <w:rsid w:val="000A18E5"/>
    <w:rsid w:val="000A4199"/>
    <w:rsid w:val="000A4F54"/>
    <w:rsid w:val="000B355F"/>
    <w:rsid w:val="000C10E0"/>
    <w:rsid w:val="000F30AA"/>
    <w:rsid w:val="00105C3A"/>
    <w:rsid w:val="001115CF"/>
    <w:rsid w:val="00125454"/>
    <w:rsid w:val="001324E3"/>
    <w:rsid w:val="00145802"/>
    <w:rsid w:val="0015437B"/>
    <w:rsid w:val="00172661"/>
    <w:rsid w:val="00176EB7"/>
    <w:rsid w:val="00192328"/>
    <w:rsid w:val="001B18ED"/>
    <w:rsid w:val="001B25A9"/>
    <w:rsid w:val="001D0C5A"/>
    <w:rsid w:val="001D2A5B"/>
    <w:rsid w:val="002158CB"/>
    <w:rsid w:val="00215A5B"/>
    <w:rsid w:val="00237680"/>
    <w:rsid w:val="0025629F"/>
    <w:rsid w:val="00256694"/>
    <w:rsid w:val="00264383"/>
    <w:rsid w:val="002A0943"/>
    <w:rsid w:val="002A5E83"/>
    <w:rsid w:val="002A68FA"/>
    <w:rsid w:val="002B1C3A"/>
    <w:rsid w:val="002D2BFC"/>
    <w:rsid w:val="002F3815"/>
    <w:rsid w:val="0030024C"/>
    <w:rsid w:val="003021FA"/>
    <w:rsid w:val="003138FC"/>
    <w:rsid w:val="00321CF7"/>
    <w:rsid w:val="00327153"/>
    <w:rsid w:val="003312DF"/>
    <w:rsid w:val="00342272"/>
    <w:rsid w:val="00365914"/>
    <w:rsid w:val="00367AE6"/>
    <w:rsid w:val="00372FDB"/>
    <w:rsid w:val="00376778"/>
    <w:rsid w:val="003B48F7"/>
    <w:rsid w:val="003B5649"/>
    <w:rsid w:val="003D1D87"/>
    <w:rsid w:val="004173E7"/>
    <w:rsid w:val="00431E8A"/>
    <w:rsid w:val="00432A9E"/>
    <w:rsid w:val="00446036"/>
    <w:rsid w:val="00446787"/>
    <w:rsid w:val="004747C7"/>
    <w:rsid w:val="004874FD"/>
    <w:rsid w:val="004A1126"/>
    <w:rsid w:val="004C6EA8"/>
    <w:rsid w:val="004D0642"/>
    <w:rsid w:val="004E4775"/>
    <w:rsid w:val="004E6FB6"/>
    <w:rsid w:val="004F176B"/>
    <w:rsid w:val="004F428C"/>
    <w:rsid w:val="004F7FCD"/>
    <w:rsid w:val="00515245"/>
    <w:rsid w:val="00517B06"/>
    <w:rsid w:val="005240AD"/>
    <w:rsid w:val="00536C46"/>
    <w:rsid w:val="00536FCF"/>
    <w:rsid w:val="0055289F"/>
    <w:rsid w:val="00564E41"/>
    <w:rsid w:val="00583484"/>
    <w:rsid w:val="005A5A62"/>
    <w:rsid w:val="005B306A"/>
    <w:rsid w:val="005B3110"/>
    <w:rsid w:val="005B657C"/>
    <w:rsid w:val="005B740C"/>
    <w:rsid w:val="005C0F09"/>
    <w:rsid w:val="005C2B9C"/>
    <w:rsid w:val="005C46B9"/>
    <w:rsid w:val="005E3607"/>
    <w:rsid w:val="005F308A"/>
    <w:rsid w:val="0060438A"/>
    <w:rsid w:val="00604903"/>
    <w:rsid w:val="00610AAA"/>
    <w:rsid w:val="00624022"/>
    <w:rsid w:val="006312FB"/>
    <w:rsid w:val="006317FC"/>
    <w:rsid w:val="00660F73"/>
    <w:rsid w:val="00661A30"/>
    <w:rsid w:val="00682A86"/>
    <w:rsid w:val="006A5E6D"/>
    <w:rsid w:val="006A75A6"/>
    <w:rsid w:val="006B1763"/>
    <w:rsid w:val="006B20B6"/>
    <w:rsid w:val="006C1911"/>
    <w:rsid w:val="006C58ED"/>
    <w:rsid w:val="006C6446"/>
    <w:rsid w:val="006C78DC"/>
    <w:rsid w:val="006D355C"/>
    <w:rsid w:val="006D3CDF"/>
    <w:rsid w:val="006E4116"/>
    <w:rsid w:val="006F43C6"/>
    <w:rsid w:val="00707EDC"/>
    <w:rsid w:val="00734225"/>
    <w:rsid w:val="00745E3A"/>
    <w:rsid w:val="00757BEB"/>
    <w:rsid w:val="00774B6E"/>
    <w:rsid w:val="00781DDD"/>
    <w:rsid w:val="00786885"/>
    <w:rsid w:val="007A1663"/>
    <w:rsid w:val="007A4E1C"/>
    <w:rsid w:val="007A7A64"/>
    <w:rsid w:val="007E0E77"/>
    <w:rsid w:val="007E178F"/>
    <w:rsid w:val="007E1815"/>
    <w:rsid w:val="008016E6"/>
    <w:rsid w:val="00826F94"/>
    <w:rsid w:val="008314A2"/>
    <w:rsid w:val="008404BD"/>
    <w:rsid w:val="00842DB5"/>
    <w:rsid w:val="00844B34"/>
    <w:rsid w:val="008601BA"/>
    <w:rsid w:val="00863C0C"/>
    <w:rsid w:val="00871071"/>
    <w:rsid w:val="00872BE0"/>
    <w:rsid w:val="00891F0C"/>
    <w:rsid w:val="008926A2"/>
    <w:rsid w:val="00897591"/>
    <w:rsid w:val="008A3414"/>
    <w:rsid w:val="008A6671"/>
    <w:rsid w:val="008D0963"/>
    <w:rsid w:val="008D2EF4"/>
    <w:rsid w:val="00907D19"/>
    <w:rsid w:val="00910D4E"/>
    <w:rsid w:val="00922778"/>
    <w:rsid w:val="009408D2"/>
    <w:rsid w:val="00940ECC"/>
    <w:rsid w:val="00942EA4"/>
    <w:rsid w:val="0094751E"/>
    <w:rsid w:val="00965A57"/>
    <w:rsid w:val="00974239"/>
    <w:rsid w:val="00977BEE"/>
    <w:rsid w:val="00982744"/>
    <w:rsid w:val="00984988"/>
    <w:rsid w:val="00984DB0"/>
    <w:rsid w:val="00987318"/>
    <w:rsid w:val="009B16BE"/>
    <w:rsid w:val="009B71B6"/>
    <w:rsid w:val="009C1931"/>
    <w:rsid w:val="009E49E1"/>
    <w:rsid w:val="009F39FD"/>
    <w:rsid w:val="00A13735"/>
    <w:rsid w:val="00A13FC1"/>
    <w:rsid w:val="00A25FC3"/>
    <w:rsid w:val="00A30F0D"/>
    <w:rsid w:val="00A37254"/>
    <w:rsid w:val="00A40BA8"/>
    <w:rsid w:val="00A44124"/>
    <w:rsid w:val="00A57EF8"/>
    <w:rsid w:val="00A65F10"/>
    <w:rsid w:val="00A836D3"/>
    <w:rsid w:val="00AB6B76"/>
    <w:rsid w:val="00AC726A"/>
    <w:rsid w:val="00AD04E7"/>
    <w:rsid w:val="00AD3A46"/>
    <w:rsid w:val="00AE3EF1"/>
    <w:rsid w:val="00AE4B51"/>
    <w:rsid w:val="00AF6B61"/>
    <w:rsid w:val="00B05D0B"/>
    <w:rsid w:val="00B066B3"/>
    <w:rsid w:val="00B1414A"/>
    <w:rsid w:val="00B37B0A"/>
    <w:rsid w:val="00B437BA"/>
    <w:rsid w:val="00B57988"/>
    <w:rsid w:val="00B630D9"/>
    <w:rsid w:val="00B80D6B"/>
    <w:rsid w:val="00B847FE"/>
    <w:rsid w:val="00B9539E"/>
    <w:rsid w:val="00B96E19"/>
    <w:rsid w:val="00BA4DB8"/>
    <w:rsid w:val="00BC1B6D"/>
    <w:rsid w:val="00BE7EDE"/>
    <w:rsid w:val="00BF41C2"/>
    <w:rsid w:val="00C62B6F"/>
    <w:rsid w:val="00C62F87"/>
    <w:rsid w:val="00C63C58"/>
    <w:rsid w:val="00C92729"/>
    <w:rsid w:val="00C97D51"/>
    <w:rsid w:val="00CB57EB"/>
    <w:rsid w:val="00CB5A6D"/>
    <w:rsid w:val="00CB7E54"/>
    <w:rsid w:val="00CC7871"/>
    <w:rsid w:val="00CE444D"/>
    <w:rsid w:val="00D0073C"/>
    <w:rsid w:val="00D11AD8"/>
    <w:rsid w:val="00D20413"/>
    <w:rsid w:val="00D222DB"/>
    <w:rsid w:val="00D27981"/>
    <w:rsid w:val="00D54982"/>
    <w:rsid w:val="00D616B9"/>
    <w:rsid w:val="00D6347E"/>
    <w:rsid w:val="00D70678"/>
    <w:rsid w:val="00D7412D"/>
    <w:rsid w:val="00D81DB8"/>
    <w:rsid w:val="00D93E70"/>
    <w:rsid w:val="00DC6035"/>
    <w:rsid w:val="00DD28CF"/>
    <w:rsid w:val="00DE6173"/>
    <w:rsid w:val="00DF1048"/>
    <w:rsid w:val="00DF76A1"/>
    <w:rsid w:val="00E008E4"/>
    <w:rsid w:val="00E145C1"/>
    <w:rsid w:val="00E270D7"/>
    <w:rsid w:val="00E45BD9"/>
    <w:rsid w:val="00E46358"/>
    <w:rsid w:val="00E46CDB"/>
    <w:rsid w:val="00E46F11"/>
    <w:rsid w:val="00E50EF1"/>
    <w:rsid w:val="00EA0306"/>
    <w:rsid w:val="00EC42A7"/>
    <w:rsid w:val="00ED64F7"/>
    <w:rsid w:val="00EE0692"/>
    <w:rsid w:val="00EE0F5F"/>
    <w:rsid w:val="00EE2546"/>
    <w:rsid w:val="00EE3817"/>
    <w:rsid w:val="00EE5256"/>
    <w:rsid w:val="00EF0C1A"/>
    <w:rsid w:val="00F03006"/>
    <w:rsid w:val="00F20905"/>
    <w:rsid w:val="00F24022"/>
    <w:rsid w:val="00F250B6"/>
    <w:rsid w:val="00F30F0D"/>
    <w:rsid w:val="00F3546B"/>
    <w:rsid w:val="00F41A84"/>
    <w:rsid w:val="00F43991"/>
    <w:rsid w:val="00F617B9"/>
    <w:rsid w:val="00F61DB7"/>
    <w:rsid w:val="00F6368B"/>
    <w:rsid w:val="00F65530"/>
    <w:rsid w:val="00F66849"/>
    <w:rsid w:val="00F730E3"/>
    <w:rsid w:val="00F80889"/>
    <w:rsid w:val="00FA1A6B"/>
    <w:rsid w:val="00FB5E46"/>
    <w:rsid w:val="00FE1F1B"/>
    <w:rsid w:val="00FF1FE6"/>
    <w:rsid w:val="0D3037CB"/>
    <w:rsid w:val="0DD34156"/>
    <w:rsid w:val="184B14B9"/>
    <w:rsid w:val="220F3557"/>
    <w:rsid w:val="22A46395"/>
    <w:rsid w:val="244B2840"/>
    <w:rsid w:val="27901B69"/>
    <w:rsid w:val="2B8F5708"/>
    <w:rsid w:val="2D7626DC"/>
    <w:rsid w:val="2E426D50"/>
    <w:rsid w:val="2FE66EC6"/>
    <w:rsid w:val="30FF50DE"/>
    <w:rsid w:val="3A184B1B"/>
    <w:rsid w:val="3A5913BB"/>
    <w:rsid w:val="3ECD2378"/>
    <w:rsid w:val="41D852BC"/>
    <w:rsid w:val="47C63E08"/>
    <w:rsid w:val="4DAA54C6"/>
    <w:rsid w:val="4DF06083"/>
    <w:rsid w:val="50FE2865"/>
    <w:rsid w:val="52120376"/>
    <w:rsid w:val="56B23ED5"/>
    <w:rsid w:val="58A65CBC"/>
    <w:rsid w:val="62E713AB"/>
    <w:rsid w:val="705931BC"/>
    <w:rsid w:val="76165DD7"/>
    <w:rsid w:val="7CAB2F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4"/>
    <w:qFormat/>
    <w:uiPriority w:val="99"/>
    <w:pPr>
      <w:spacing w:after="120"/>
    </w:pPr>
  </w:style>
  <w:style w:type="paragraph" w:styleId="3">
    <w:name w:val="Body Text Indent"/>
    <w:basedOn w:val="1"/>
    <w:link w:val="15"/>
    <w:semiHidden/>
    <w:unhideWhenUsed/>
    <w:qFormat/>
    <w:uiPriority w:val="99"/>
    <w:pPr>
      <w:spacing w:after="120"/>
      <w:ind w:left="420" w:leftChars="200"/>
    </w:pPr>
  </w:style>
  <w:style w:type="paragraph" w:styleId="4">
    <w:name w:val="footer"/>
    <w:basedOn w:val="1"/>
    <w:link w:val="21"/>
    <w:unhideWhenUsed/>
    <w:qFormat/>
    <w:uiPriority w:val="99"/>
    <w:pPr>
      <w:tabs>
        <w:tab w:val="center" w:pos="4153"/>
        <w:tab w:val="right" w:pos="8306"/>
      </w:tabs>
      <w:snapToGrid w:val="0"/>
      <w:jc w:val="left"/>
    </w:pPr>
    <w:rPr>
      <w:sz w:val="18"/>
      <w:szCs w:val="18"/>
    </w:rPr>
  </w:style>
  <w:style w:type="paragraph" w:styleId="5">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asciiTheme="minorHAnsi" w:hAnsiTheme="minorHAnsi" w:eastAsiaTheme="minorEastAsia"/>
      <w:kern w:val="0"/>
      <w:sz w:val="24"/>
      <w:szCs w:val="24"/>
    </w:rPr>
  </w:style>
  <w:style w:type="paragraph" w:styleId="7">
    <w:name w:val="Title"/>
    <w:basedOn w:val="1"/>
    <w:next w:val="1"/>
    <w:link w:val="19"/>
    <w:qFormat/>
    <w:uiPriority w:val="10"/>
    <w:pPr>
      <w:spacing w:before="240" w:after="60"/>
      <w:jc w:val="center"/>
      <w:outlineLvl w:val="0"/>
    </w:pPr>
    <w:rPr>
      <w:rFonts w:asciiTheme="majorHAnsi" w:hAnsiTheme="majorHAnsi" w:cstheme="majorBidi"/>
      <w:b/>
      <w:bCs/>
      <w:sz w:val="32"/>
      <w:szCs w:val="32"/>
    </w:rPr>
  </w:style>
  <w:style w:type="paragraph" w:styleId="8">
    <w:name w:val="Body Text First Indent 2"/>
    <w:basedOn w:val="3"/>
    <w:link w:val="16"/>
    <w:qFormat/>
    <w:uiPriority w:val="0"/>
    <w:pPr>
      <w:spacing w:after="0" w:line="560" w:lineRule="exact"/>
      <w:ind w:left="0" w:leftChars="0" w:firstLine="420"/>
    </w:pPr>
  </w:style>
  <w:style w:type="character" w:styleId="11">
    <w:name w:val="Hyperlink"/>
    <w:basedOn w:val="10"/>
    <w:semiHidden/>
    <w:unhideWhenUsed/>
    <w:qFormat/>
    <w:uiPriority w:val="99"/>
    <w:rPr>
      <w:color w:val="0000FF"/>
      <w:u w:val="single"/>
    </w:rPr>
  </w:style>
  <w:style w:type="paragraph" w:customStyle="1" w:styleId="12">
    <w:name w:val="列出段落1"/>
    <w:basedOn w:val="1"/>
    <w:qFormat/>
    <w:uiPriority w:val="0"/>
    <w:pPr>
      <w:ind w:firstLine="420" w:firstLineChars="200"/>
    </w:pPr>
    <w:rPr>
      <w:rFonts w:ascii="Calibri" w:hAnsi="Calibri"/>
    </w:rPr>
  </w:style>
  <w:style w:type="paragraph" w:customStyle="1" w:styleId="13">
    <w:name w:val="Body text|1"/>
    <w:basedOn w:val="1"/>
    <w:qFormat/>
    <w:uiPriority w:val="0"/>
    <w:pPr>
      <w:spacing w:line="427" w:lineRule="auto"/>
      <w:ind w:firstLine="400"/>
    </w:pPr>
    <w:rPr>
      <w:rFonts w:ascii="宋体" w:hAnsi="宋体" w:cs="宋体"/>
      <w:sz w:val="20"/>
      <w:szCs w:val="20"/>
      <w:lang w:val="zh-TW" w:eastAsia="zh-TW" w:bidi="zh-TW"/>
    </w:rPr>
  </w:style>
  <w:style w:type="character" w:customStyle="1" w:styleId="14">
    <w:name w:val="正文文本 Char"/>
    <w:basedOn w:val="10"/>
    <w:link w:val="2"/>
    <w:qFormat/>
    <w:uiPriority w:val="99"/>
    <w:rPr>
      <w:rFonts w:ascii="Times New Roman" w:hAnsi="Times New Roman" w:eastAsia="宋体" w:cs="Times New Roman"/>
      <w:szCs w:val="21"/>
    </w:rPr>
  </w:style>
  <w:style w:type="character" w:customStyle="1" w:styleId="15">
    <w:name w:val="正文文本缩进 Char"/>
    <w:basedOn w:val="10"/>
    <w:link w:val="3"/>
    <w:semiHidden/>
    <w:qFormat/>
    <w:uiPriority w:val="99"/>
    <w:rPr>
      <w:rFonts w:ascii="Times New Roman" w:hAnsi="Times New Roman" w:eastAsia="宋体" w:cs="Times New Roman"/>
      <w:szCs w:val="21"/>
    </w:rPr>
  </w:style>
  <w:style w:type="character" w:customStyle="1" w:styleId="16">
    <w:name w:val="正文首行缩进 2 Char"/>
    <w:basedOn w:val="15"/>
    <w:link w:val="8"/>
    <w:qFormat/>
    <w:uiPriority w:val="0"/>
    <w:rPr>
      <w:rFonts w:ascii="Times New Roman" w:hAnsi="Times New Roman" w:eastAsia="宋体" w:cs="Times New Roman"/>
      <w:szCs w:val="21"/>
    </w:rPr>
  </w:style>
  <w:style w:type="paragraph" w:customStyle="1" w:styleId="17">
    <w:name w:val="正文文本缩进 21"/>
    <w:next w:val="2"/>
    <w:qFormat/>
    <w:uiPriority w:val="0"/>
    <w:pPr>
      <w:widowControl w:val="0"/>
      <w:spacing w:after="120" w:line="480" w:lineRule="auto"/>
      <w:ind w:left="420" w:leftChars="200"/>
      <w:jc w:val="both"/>
    </w:pPr>
    <w:rPr>
      <w:rFonts w:ascii="Calibri" w:hAnsi="Calibri" w:eastAsia="宋体" w:cs="Times New Roman"/>
      <w:kern w:val="2"/>
      <w:sz w:val="21"/>
      <w:szCs w:val="24"/>
      <w:lang w:val="en-US" w:eastAsia="zh-CN" w:bidi="ar-SA"/>
    </w:rPr>
  </w:style>
  <w:style w:type="character" w:customStyle="1" w:styleId="18">
    <w:name w:val="NormalCharacter"/>
    <w:basedOn w:val="10"/>
    <w:qFormat/>
    <w:uiPriority w:val="0"/>
  </w:style>
  <w:style w:type="character" w:customStyle="1" w:styleId="19">
    <w:name w:val="标题 Char"/>
    <w:basedOn w:val="10"/>
    <w:link w:val="7"/>
    <w:qFormat/>
    <w:uiPriority w:val="10"/>
    <w:rPr>
      <w:rFonts w:eastAsia="宋体" w:asciiTheme="majorHAnsi" w:hAnsiTheme="majorHAnsi" w:cstheme="majorBidi"/>
      <w:b/>
      <w:bCs/>
      <w:sz w:val="32"/>
      <w:szCs w:val="32"/>
    </w:rPr>
  </w:style>
  <w:style w:type="character" w:customStyle="1" w:styleId="20">
    <w:name w:val="页眉 Char"/>
    <w:basedOn w:val="10"/>
    <w:link w:val="5"/>
    <w:qFormat/>
    <w:uiPriority w:val="99"/>
    <w:rPr>
      <w:rFonts w:ascii="Times New Roman" w:hAnsi="Times New Roman" w:eastAsia="宋体" w:cs="Times New Roman"/>
      <w:sz w:val="18"/>
      <w:szCs w:val="18"/>
    </w:rPr>
  </w:style>
  <w:style w:type="character" w:customStyle="1" w:styleId="21">
    <w:name w:val="页脚 Char"/>
    <w:basedOn w:val="10"/>
    <w:link w:val="4"/>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33</Pages>
  <Words>15037</Words>
  <Characters>16047</Characters>
  <Lines>115</Lines>
  <Paragraphs>32</Paragraphs>
  <TotalTime>20</TotalTime>
  <ScaleCrop>false</ScaleCrop>
  <LinksUpToDate>false</LinksUpToDate>
  <CharactersWithSpaces>16081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2023-03-17T09:29:00Z</dcterms:created>
  <dc:creator>LENOVO</dc:creator>
  <cp:lastModifiedBy>melody</cp:lastModifiedBy>
  <dcterms:modified xsi:type="dcterms:W3CDTF">2023-12-08T01:46:08Z</dcterms:modified>
  <cp:revision>255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2A021F18C62D40FA9D4C75818B5EF698_13</vt:lpwstr>
  </property>
</Properties>
</file>