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ascii="微软雅黑" w:hAnsi="微软雅黑" w:eastAsia="微软雅黑" w:cs="宋体"/>
          <w:b/>
          <w:bCs/>
          <w:color w:val="333333"/>
          <w:kern w:val="0"/>
          <w:sz w:val="30"/>
          <w:szCs w:val="30"/>
        </w:rPr>
      </w:pPr>
      <w:r>
        <w:rPr>
          <w:rFonts w:hint="eastAsia" w:ascii="微软雅黑" w:hAnsi="微软雅黑" w:eastAsia="微软雅黑" w:cs="宋体"/>
          <w:b/>
          <w:bCs/>
          <w:color w:val="333333"/>
          <w:kern w:val="0"/>
          <w:sz w:val="30"/>
          <w:szCs w:val="30"/>
        </w:rPr>
        <w:t>长沙商贸旅游职业技术学院2021年部门预算说明</w:t>
      </w:r>
    </w:p>
    <w:p>
      <w:pPr>
        <w:pStyle w:val="5"/>
        <w:shd w:val="clear" w:color="auto" w:fill="FFFFFF"/>
        <w:spacing w:before="0" w:beforeAutospacing="0" w:after="0" w:afterAutospacing="0" w:line="390" w:lineRule="exact"/>
        <w:ind w:firstLine="480"/>
        <w:jc w:val="center"/>
        <w:textAlignment w:val="center"/>
        <w:rPr>
          <w:rFonts w:ascii="微软雅黑" w:hAnsi="微软雅黑" w:eastAsia="微软雅黑"/>
          <w:b/>
          <w:color w:val="000000"/>
          <w:sz w:val="21"/>
          <w:szCs w:val="21"/>
        </w:rPr>
      </w:pPr>
      <w:r>
        <w:rPr>
          <w:rFonts w:hint="eastAsia"/>
          <w:b/>
          <w:color w:val="333333"/>
        </w:rPr>
        <w:t>目  录</w:t>
      </w:r>
    </w:p>
    <w:p>
      <w:pPr>
        <w:widowControl/>
        <w:shd w:val="clear" w:color="auto" w:fill="FFFFFF"/>
        <w:spacing w:line="390" w:lineRule="exact"/>
        <w:ind w:firstLine="480"/>
        <w:jc w:val="left"/>
        <w:rPr>
          <w:rFonts w:ascii="Arial" w:hAnsi="Arial" w:eastAsia="微软雅黑" w:cs="Arial"/>
          <w:b/>
          <w:bCs/>
          <w:color w:val="000000"/>
          <w:kern w:val="0"/>
          <w:sz w:val="24"/>
          <w:szCs w:val="24"/>
        </w:rPr>
      </w:pPr>
      <w:r>
        <w:rPr>
          <w:rFonts w:eastAsia="微软雅黑"/>
          <w:b/>
          <w:kern w:val="0"/>
          <w:sz w:val="24"/>
          <w:szCs w:val="24"/>
        </w:rPr>
        <w:t>第一部分 202</w:t>
      </w:r>
      <w:r>
        <w:rPr>
          <w:rFonts w:hint="eastAsia" w:eastAsia="微软雅黑"/>
          <w:b/>
          <w:kern w:val="0"/>
          <w:sz w:val="24"/>
          <w:szCs w:val="24"/>
        </w:rPr>
        <w:t>1</w:t>
      </w:r>
      <w:r>
        <w:rPr>
          <w:rFonts w:eastAsia="微软雅黑"/>
          <w:b/>
          <w:kern w:val="0"/>
          <w:sz w:val="24"/>
          <w:szCs w:val="24"/>
        </w:rPr>
        <w:t>年部门预算说明</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一、部门基本情况</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（一）职能职责</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（二）机构设置</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二、部门预算单位构成</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三、部门收支总体情况</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（一）收入预算</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（二）支出预算</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四、一般公共预算拨款支出预算</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（一）基本支出</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（二）项目支出</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五、</w:t>
      </w:r>
      <w:r>
        <w:rPr>
          <w:color w:val="333333"/>
        </w:rPr>
        <w:t>政府性基金预算支出</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六、其他重要事项的情况说明</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（一）机关运行经费</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（二）“三公”经费预算</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（三）</w:t>
      </w:r>
      <w:r>
        <w:rPr>
          <w:color w:val="333333"/>
        </w:rPr>
        <w:t>一般性支出情况</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（四）政府采购情况</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（五）国有资产占用使用</w:t>
      </w:r>
      <w:r>
        <w:rPr>
          <w:color w:val="333333"/>
        </w:rPr>
        <w:t>及新增资产配置情况</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（六）预算绩效管理情况</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七、名词解释</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（一）机关运行经费</w:t>
      </w:r>
    </w:p>
    <w:p>
      <w:pPr>
        <w:pStyle w:val="5"/>
        <w:shd w:val="clear" w:color="auto" w:fill="FFFFFF"/>
        <w:spacing w:before="0" w:beforeAutospacing="0" w:after="0" w:afterAutospacing="0" w:line="390" w:lineRule="exact"/>
        <w:ind w:firstLine="482"/>
        <w:textAlignment w:val="center"/>
        <w:rPr>
          <w:color w:val="333333"/>
        </w:rPr>
      </w:pPr>
      <w:r>
        <w:rPr>
          <w:rFonts w:hint="eastAsia"/>
          <w:color w:val="333333"/>
        </w:rPr>
        <w:t>（二）“三公”经费 </w:t>
      </w:r>
    </w:p>
    <w:p>
      <w:pPr>
        <w:widowControl/>
        <w:shd w:val="clear" w:color="auto" w:fill="FFFFFF"/>
        <w:spacing w:line="390" w:lineRule="exact"/>
        <w:ind w:firstLine="480"/>
        <w:jc w:val="left"/>
        <w:rPr>
          <w:rFonts w:ascii="微软雅黑" w:hAnsi="微软雅黑" w:eastAsia="微软雅黑" w:cs="宋体"/>
          <w:color w:val="000000"/>
          <w:kern w:val="0"/>
          <w:szCs w:val="21"/>
        </w:rPr>
      </w:pPr>
      <w:r>
        <w:rPr>
          <w:rFonts w:ascii="Arial" w:hAnsi="Arial" w:eastAsia="微软雅黑" w:cs="Arial"/>
          <w:b/>
          <w:bCs/>
          <w:color w:val="000000"/>
          <w:kern w:val="0"/>
          <w:sz w:val="24"/>
          <w:szCs w:val="24"/>
        </w:rPr>
        <w:t>第二部分 202</w:t>
      </w:r>
      <w:r>
        <w:rPr>
          <w:rFonts w:hint="eastAsia" w:ascii="Arial" w:hAnsi="Arial" w:eastAsia="微软雅黑" w:cs="Arial"/>
          <w:b/>
          <w:bCs/>
          <w:color w:val="000000"/>
          <w:kern w:val="0"/>
          <w:sz w:val="24"/>
          <w:szCs w:val="24"/>
        </w:rPr>
        <w:t>1</w:t>
      </w:r>
      <w:r>
        <w:rPr>
          <w:rFonts w:ascii="Arial" w:hAnsi="Arial" w:eastAsia="微软雅黑" w:cs="Arial"/>
          <w:b/>
          <w:bCs/>
          <w:color w:val="000000"/>
          <w:kern w:val="0"/>
          <w:sz w:val="24"/>
          <w:szCs w:val="24"/>
        </w:rPr>
        <w:t>年部门预算公开表格</w:t>
      </w:r>
    </w:p>
    <w:p>
      <w:pPr>
        <w:pStyle w:val="5"/>
        <w:shd w:val="clear" w:color="auto" w:fill="FFFFFF"/>
        <w:spacing w:before="0" w:beforeAutospacing="0" w:after="0" w:afterAutospacing="0" w:line="390" w:lineRule="exact"/>
        <w:ind w:firstLine="482"/>
        <w:textAlignment w:val="center"/>
        <w:rPr>
          <w:color w:val="333333"/>
        </w:rPr>
      </w:pPr>
      <w:r>
        <w:rPr>
          <w:color w:val="333333"/>
        </w:rPr>
        <w:t>一、部门收支总体情况表</w:t>
      </w:r>
    </w:p>
    <w:p>
      <w:pPr>
        <w:pStyle w:val="5"/>
        <w:shd w:val="clear" w:color="auto" w:fill="FFFFFF"/>
        <w:spacing w:before="0" w:beforeAutospacing="0" w:after="0" w:afterAutospacing="0" w:line="390" w:lineRule="exact"/>
        <w:ind w:firstLine="482"/>
        <w:textAlignment w:val="center"/>
        <w:rPr>
          <w:color w:val="333333"/>
        </w:rPr>
      </w:pPr>
      <w:r>
        <w:rPr>
          <w:color w:val="333333"/>
        </w:rPr>
        <w:t>二、部门收入总体情况表</w:t>
      </w:r>
    </w:p>
    <w:p>
      <w:pPr>
        <w:pStyle w:val="5"/>
        <w:shd w:val="clear" w:color="auto" w:fill="FFFFFF"/>
        <w:spacing w:before="0" w:beforeAutospacing="0" w:after="0" w:afterAutospacing="0" w:line="390" w:lineRule="exact"/>
        <w:ind w:firstLine="482"/>
        <w:textAlignment w:val="center"/>
        <w:rPr>
          <w:color w:val="333333"/>
        </w:rPr>
      </w:pPr>
      <w:r>
        <w:rPr>
          <w:color w:val="333333"/>
        </w:rPr>
        <w:t>三、部门支出总体情况表</w:t>
      </w:r>
    </w:p>
    <w:p>
      <w:pPr>
        <w:pStyle w:val="5"/>
        <w:shd w:val="clear" w:color="auto" w:fill="FFFFFF"/>
        <w:spacing w:before="0" w:beforeAutospacing="0" w:after="0" w:afterAutospacing="0" w:line="390" w:lineRule="exact"/>
        <w:ind w:firstLine="482"/>
        <w:textAlignment w:val="center"/>
        <w:rPr>
          <w:color w:val="333333"/>
        </w:rPr>
      </w:pPr>
      <w:r>
        <w:rPr>
          <w:color w:val="333333"/>
        </w:rPr>
        <w:t>四、财政拨款收支总体情况表</w:t>
      </w:r>
    </w:p>
    <w:p>
      <w:pPr>
        <w:pStyle w:val="5"/>
        <w:shd w:val="clear" w:color="auto" w:fill="FFFFFF"/>
        <w:spacing w:before="0" w:beforeAutospacing="0" w:after="0" w:afterAutospacing="0" w:line="390" w:lineRule="exact"/>
        <w:ind w:firstLine="482"/>
        <w:textAlignment w:val="center"/>
        <w:rPr>
          <w:color w:val="333333"/>
        </w:rPr>
      </w:pPr>
      <w:r>
        <w:rPr>
          <w:color w:val="333333"/>
        </w:rPr>
        <w:t>五、一般公共预算支出情况表</w:t>
      </w:r>
    </w:p>
    <w:p>
      <w:pPr>
        <w:pStyle w:val="5"/>
        <w:shd w:val="clear" w:color="auto" w:fill="FFFFFF"/>
        <w:spacing w:before="0" w:beforeAutospacing="0" w:after="0" w:afterAutospacing="0" w:line="390" w:lineRule="exact"/>
        <w:ind w:firstLine="482"/>
        <w:textAlignment w:val="center"/>
        <w:rPr>
          <w:color w:val="333333"/>
        </w:rPr>
      </w:pPr>
      <w:r>
        <w:rPr>
          <w:color w:val="333333"/>
        </w:rPr>
        <w:t>六、一般公共预算基本支出情况表</w:t>
      </w:r>
    </w:p>
    <w:p>
      <w:pPr>
        <w:pStyle w:val="5"/>
        <w:shd w:val="clear" w:color="auto" w:fill="FFFFFF"/>
        <w:spacing w:before="0" w:beforeAutospacing="0" w:after="0" w:afterAutospacing="0" w:line="390" w:lineRule="exact"/>
        <w:ind w:firstLine="482"/>
        <w:textAlignment w:val="center"/>
        <w:rPr>
          <w:color w:val="333333"/>
        </w:rPr>
      </w:pPr>
      <w:r>
        <w:rPr>
          <w:color w:val="333333"/>
        </w:rPr>
        <w:t>七、一般公共预算“三公”经费支出情况表</w:t>
      </w:r>
    </w:p>
    <w:p>
      <w:pPr>
        <w:pStyle w:val="5"/>
        <w:shd w:val="clear" w:color="auto" w:fill="FFFFFF"/>
        <w:spacing w:before="0" w:beforeAutospacing="0" w:after="0" w:afterAutospacing="0" w:line="390" w:lineRule="exact"/>
        <w:ind w:firstLine="482"/>
        <w:textAlignment w:val="center"/>
        <w:rPr>
          <w:color w:val="333333"/>
        </w:rPr>
      </w:pPr>
      <w:r>
        <w:rPr>
          <w:color w:val="333333"/>
        </w:rPr>
        <w:t>八、政府性基金预算支出情况表</w:t>
      </w:r>
    </w:p>
    <w:p>
      <w:pPr>
        <w:pStyle w:val="5"/>
        <w:shd w:val="clear" w:color="auto" w:fill="FFFFFF"/>
        <w:spacing w:before="0" w:beforeAutospacing="0" w:after="0" w:afterAutospacing="0" w:line="390" w:lineRule="exact"/>
        <w:ind w:firstLine="482"/>
        <w:textAlignment w:val="center"/>
        <w:rPr>
          <w:color w:val="333333"/>
        </w:rPr>
      </w:pPr>
      <w:r>
        <w:rPr>
          <w:color w:val="333333"/>
        </w:rPr>
        <w:t>九、项目支出绩效目标表</w:t>
      </w:r>
    </w:p>
    <w:p>
      <w:pPr>
        <w:pStyle w:val="5"/>
        <w:shd w:val="clear" w:color="auto" w:fill="FFFFFF"/>
        <w:spacing w:before="0" w:beforeAutospacing="0" w:after="0" w:afterAutospacing="0" w:line="390" w:lineRule="exact"/>
        <w:ind w:firstLine="482"/>
        <w:textAlignment w:val="center"/>
        <w:rPr>
          <w:color w:val="333333"/>
        </w:rPr>
      </w:pPr>
      <w:r>
        <w:rPr>
          <w:color w:val="333333"/>
        </w:rPr>
        <w:t>十、20</w:t>
      </w:r>
      <w:r>
        <w:rPr>
          <w:rFonts w:hint="eastAsia"/>
          <w:color w:val="333333"/>
        </w:rPr>
        <w:t>19</w:t>
      </w:r>
      <w:r>
        <w:rPr>
          <w:color w:val="333333"/>
        </w:rPr>
        <w:t>年财政项目支出绩效评价报告</w:t>
      </w:r>
    </w:p>
    <w:p>
      <w:pPr>
        <w:pStyle w:val="5"/>
        <w:shd w:val="clear" w:color="auto" w:fill="FFFFFF"/>
        <w:spacing w:before="0" w:beforeAutospacing="0" w:after="0" w:afterAutospacing="0" w:line="420" w:lineRule="atLeast"/>
        <w:ind w:firstLine="480"/>
        <w:jc w:val="center"/>
        <w:textAlignment w:val="center"/>
        <w:rPr>
          <w:rFonts w:ascii="微软雅黑" w:hAnsi="微软雅黑" w:eastAsia="微软雅黑"/>
          <w:color w:val="000000"/>
          <w:sz w:val="21"/>
          <w:szCs w:val="21"/>
        </w:rPr>
      </w:pPr>
      <w:r>
        <w:rPr>
          <w:rStyle w:val="8"/>
          <w:rFonts w:ascii="Arial" w:hAnsi="Arial" w:cs="Arial"/>
          <w:color w:val="000000"/>
          <w:shd w:val="clear" w:color="auto" w:fill="FFFFFF"/>
        </w:rPr>
        <w:t>第一部分 202</w:t>
      </w:r>
      <w:r>
        <w:rPr>
          <w:rStyle w:val="8"/>
          <w:rFonts w:hint="eastAsia" w:ascii="Arial" w:hAnsi="Arial" w:cs="Arial"/>
          <w:color w:val="000000"/>
          <w:shd w:val="clear" w:color="auto" w:fill="FFFFFF"/>
        </w:rPr>
        <w:t>1</w:t>
      </w:r>
      <w:r>
        <w:rPr>
          <w:rStyle w:val="8"/>
          <w:rFonts w:ascii="Arial" w:hAnsi="Arial" w:cs="Arial"/>
          <w:color w:val="000000"/>
          <w:shd w:val="clear" w:color="auto" w:fill="FFFFFF"/>
        </w:rPr>
        <w:t>年部门预算说明</w:t>
      </w:r>
    </w:p>
    <w:p>
      <w:pPr>
        <w:pStyle w:val="5"/>
        <w:shd w:val="clear" w:color="auto" w:fill="FFFFFF"/>
        <w:spacing w:before="0" w:beforeAutospacing="0" w:after="0" w:afterAutospacing="0" w:line="420" w:lineRule="atLeast"/>
        <w:ind w:firstLine="480"/>
        <w:textAlignment w:val="center"/>
        <w:rPr>
          <w:b/>
          <w:color w:val="333333"/>
        </w:rPr>
      </w:pPr>
      <w:r>
        <w:rPr>
          <w:rFonts w:hint="eastAsia"/>
          <w:b/>
          <w:color w:val="333333"/>
        </w:rPr>
        <w:t>一、部门基本情况</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（一）职能职责</w:t>
      </w:r>
    </w:p>
    <w:p>
      <w:pPr>
        <w:pStyle w:val="5"/>
        <w:shd w:val="clear" w:color="auto" w:fill="FFFFFF"/>
        <w:spacing w:before="0" w:beforeAutospacing="0" w:after="0" w:afterAutospacing="0" w:line="420" w:lineRule="atLeast"/>
        <w:ind w:firstLine="480" w:firstLineChars="200"/>
        <w:textAlignment w:val="center"/>
        <w:rPr>
          <w:color w:val="333333"/>
        </w:rPr>
      </w:pPr>
      <w:r>
        <w:rPr>
          <w:rFonts w:hint="eastAsia"/>
          <w:color w:val="333333"/>
        </w:rPr>
        <w:t>长沙商贸旅游职业技术学院是2003年由长沙市商业学校（创办于1960年）和长沙市商业职业中专学校（创办于1956年）合并升格的全日制公办普通高等学校，由长沙市人民政府主办，湖南省教育厅负责业务指导。学校紧紧围绕“立足长沙，服务‘三湘’（湘菜、湘商、湘旅）”的办学定位，通过打造一流“三湘”专业群、建设卓越师资队伍、完善内部治理体系，培养高素质技术技能人才。</w:t>
      </w:r>
    </w:p>
    <w:p>
      <w:pPr>
        <w:pStyle w:val="5"/>
        <w:shd w:val="clear" w:color="auto" w:fill="FFFFFF"/>
        <w:spacing w:before="0" w:beforeAutospacing="0" w:after="0" w:afterAutospacing="0" w:line="420" w:lineRule="atLeast"/>
        <w:ind w:firstLine="480" w:firstLineChars="200"/>
        <w:textAlignment w:val="center"/>
        <w:rPr>
          <w:color w:val="333333"/>
        </w:rPr>
      </w:pPr>
      <w:r>
        <w:rPr>
          <w:rFonts w:hint="eastAsia"/>
          <w:color w:val="333333"/>
        </w:rPr>
        <w:t xml:space="preserve">学院坐落于雨花经济开发区长沙职教基地，目前在校生规模近9000人，现有教职工522人，其中“双师型”教师230人，教授、副教授职称教师145人，中青年教师基本具有博士或硕士学位；15位知名专家或行业大师担任客座教授。  </w:t>
      </w:r>
    </w:p>
    <w:p>
      <w:pPr>
        <w:pStyle w:val="5"/>
        <w:shd w:val="clear" w:color="auto" w:fill="FFFFFF"/>
        <w:spacing w:before="0" w:beforeAutospacing="0" w:after="0" w:afterAutospacing="0" w:line="420" w:lineRule="atLeast"/>
        <w:ind w:firstLine="480" w:firstLineChars="200"/>
        <w:textAlignment w:val="center"/>
        <w:rPr>
          <w:color w:val="333333"/>
        </w:rPr>
      </w:pPr>
      <w:r>
        <w:rPr>
          <w:color w:val="333333"/>
        </w:rPr>
        <w:t>目前，学校是国家优质专科高等职业学校、入围国家“双高计划”建设学校、国家级旅游类校企合作示范基地、国家职业院校数字校园建设样板校、全国第二批数字校园建设实验校、全国黄炎培职业教育奖优秀学校、全国第三批现代学徒制试点单位</w:t>
      </w:r>
      <w:r>
        <w:rPr>
          <w:rFonts w:hint="eastAsia"/>
          <w:color w:val="333333"/>
        </w:rPr>
        <w:t>、</w:t>
      </w:r>
      <w:r>
        <w:rPr>
          <w:color w:val="333333"/>
        </w:rPr>
        <w:t>省级示范性职业教育集团。拥有国家级教学成果奖1项、全国职业院校旅游类示范专业点2个、国家级骨干专业5个、国家级协同创新中心1个、国家级“双师型”教师培养培训基地各1个、国家级职业教育专业教学资源库（会展策划与管理专业）1各、省级一流特色专业群3个</w:t>
      </w:r>
      <w:r>
        <w:rPr>
          <w:rFonts w:hint="eastAsia"/>
          <w:color w:val="333333"/>
        </w:rPr>
        <w:t>。</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（二）机构设置</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学院设有党政办公室、组织人事处、宣传统战处、纪检监察审计室、教务处、科研发展与规划处、学生工作处（武装部）、后勤与基建管理处、团委、图书馆、工会、校企合作处、质量管理中心、招生与就业工作处、财务处、保卫处、机关党总支、网络安全与信息技术管理中心18个党政机构，设有湘菜学院、会计金融学院、湘商学院、湘旅学院、文化创意学院、软件学院、创业学院、国际交流与培训中心、公共课教学部、马克思主义学院，共10个教学部门，并设有湘菜、湘商、湘旅和高职研究等4个研究所。</w:t>
      </w:r>
    </w:p>
    <w:p>
      <w:pPr>
        <w:pStyle w:val="5"/>
        <w:shd w:val="clear" w:color="auto" w:fill="FFFFFF"/>
        <w:spacing w:before="0" w:beforeAutospacing="0" w:after="0" w:afterAutospacing="0" w:line="420" w:lineRule="atLeast"/>
        <w:ind w:firstLine="480"/>
        <w:textAlignment w:val="center"/>
        <w:rPr>
          <w:b/>
          <w:color w:val="333333"/>
        </w:rPr>
      </w:pPr>
      <w:r>
        <w:rPr>
          <w:rFonts w:hint="eastAsia"/>
          <w:b/>
          <w:color w:val="333333"/>
        </w:rPr>
        <w:t>二、部门预算单位构成</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长沙商贸旅游职业技术学院只有本级，没有其他二级预算单位，因此，纳入2021年部门预算编制范围的只有长沙商贸旅游职业技术学院本级。</w:t>
      </w:r>
    </w:p>
    <w:p>
      <w:pPr>
        <w:pStyle w:val="5"/>
        <w:shd w:val="clear" w:color="auto" w:fill="FFFFFF"/>
        <w:spacing w:before="0" w:beforeAutospacing="0" w:after="0" w:afterAutospacing="0" w:line="420" w:lineRule="atLeast"/>
        <w:ind w:firstLine="480"/>
        <w:textAlignment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三、部门收支总体情况</w:t>
      </w:r>
    </w:p>
    <w:p>
      <w:pPr>
        <w:pStyle w:val="5"/>
        <w:shd w:val="clear" w:color="auto" w:fill="FFFFFF"/>
        <w:spacing w:before="0" w:beforeAutospacing="0" w:after="0" w:afterAutospacing="0" w:line="420" w:lineRule="atLeast"/>
        <w:ind w:firstLine="480"/>
        <w:textAlignment w:val="center"/>
        <w:rPr>
          <w:color w:val="333333"/>
        </w:rPr>
      </w:pPr>
      <w:r>
        <w:rPr>
          <w:rFonts w:hint="eastAsia"/>
          <w:color w:val="000000" w:themeColor="text1"/>
          <w14:textFill>
            <w14:solidFill>
              <w14:schemeClr w14:val="tx1"/>
            </w14:solidFill>
          </w14:textFill>
        </w:rPr>
        <w:t>2</w:t>
      </w:r>
      <w:r>
        <w:rPr>
          <w:rFonts w:hint="eastAsia"/>
          <w:color w:val="333333"/>
        </w:rPr>
        <w:t>021预算为本级预算。收入包括一般公共预算收入和事业收入；支出为教育支出，包括高等职业教育。</w:t>
      </w:r>
    </w:p>
    <w:p>
      <w:pPr>
        <w:pStyle w:val="5"/>
        <w:shd w:val="clear" w:color="auto" w:fill="FFFFFF"/>
        <w:spacing w:before="0" w:beforeAutospacing="0" w:after="0" w:afterAutospacing="0" w:line="420" w:lineRule="atLeast"/>
        <w:ind w:firstLine="480"/>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（一）收入预算，2021年年初预算数22197.45万元，其中，一般公共预算拨款11996.40万元，事业收入10201.05万元。2020年收入预算数为17312.60万元，2021年较2020年增加了4884.85万元，</w:t>
      </w:r>
      <w:r>
        <w:rPr>
          <w:rFonts w:hint="eastAsia"/>
          <w:shd w:val="clear" w:color="auto" w:fill="FFFFFF"/>
        </w:rPr>
        <w:t>主要原因是由于2021年学院在校学生人数较2020年增加使得生均拨款和事业收入同时增加</w:t>
      </w:r>
      <w:r>
        <w:rPr>
          <w:rFonts w:hint="eastAsia"/>
        </w:rPr>
        <w:t>。</w:t>
      </w:r>
    </w:p>
    <w:p>
      <w:pPr>
        <w:pStyle w:val="5"/>
        <w:shd w:val="clear" w:color="auto" w:fill="FFFFFF"/>
        <w:spacing w:before="0" w:beforeAutospacing="0" w:after="0" w:afterAutospacing="0" w:line="420" w:lineRule="atLeast"/>
        <w:ind w:firstLine="480"/>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（二）支出预算，2021年年初预算数22197.45万元，教育支出22197.45万元，其中基本支出13700.84万元，项目支出8496.61万元。2020年支出预算数为17312.60万元，2021年较2020年增加了4884.85万元，</w:t>
      </w:r>
      <w:r>
        <w:rPr>
          <w:rFonts w:hint="eastAsia"/>
          <w:color w:val="000000" w:themeColor="text1"/>
          <w:shd w:val="clear" w:color="auto" w:fill="FFFFFF"/>
          <w14:textFill>
            <w14:solidFill>
              <w14:schemeClr w14:val="tx1"/>
            </w14:solidFill>
          </w14:textFill>
        </w:rPr>
        <w:t>主要原因是人员经费支出增加。</w:t>
      </w:r>
    </w:p>
    <w:p>
      <w:pPr>
        <w:pStyle w:val="5"/>
        <w:shd w:val="clear" w:color="auto" w:fill="FFFFFF"/>
        <w:spacing w:before="0" w:beforeAutospacing="0" w:after="0" w:afterAutospacing="0" w:line="420" w:lineRule="atLeast"/>
        <w:ind w:firstLine="480"/>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无政府性基金收入和支出。</w:t>
      </w:r>
    </w:p>
    <w:p>
      <w:pPr>
        <w:pStyle w:val="5"/>
        <w:shd w:val="clear" w:color="auto" w:fill="FFFFFF"/>
        <w:spacing w:before="0" w:beforeAutospacing="0" w:after="0" w:afterAutospacing="0" w:line="420" w:lineRule="atLeast"/>
        <w:ind w:firstLine="480"/>
        <w:textAlignment w:val="center"/>
        <w:rPr>
          <w:b/>
          <w:color w:val="333333"/>
        </w:rPr>
      </w:pPr>
      <w:r>
        <w:rPr>
          <w:rFonts w:hint="eastAsia"/>
          <w:b/>
          <w:color w:val="333333"/>
        </w:rPr>
        <w:t>四、一般公共预算拨款支出预算</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2021年一般公共预算拨款收入11996.40万元，其中基本支出8710.15万元，占73%，项目支出3286.25万元，占27%。2021年一般公共预算拨款收入具体安排情况如下：</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一）基本支出：2021年年初预算数为8710.15万元，其中人员经费8199.08万元，公用经费为511.07万元。基本支出是指为保障单位机构正常运转、完成日常工作任务而发生的各项支出，包括用于基本工资、津贴补贴等人员经费以及办公费、水电费、办公设备购置等日常公用经费。</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二）项目支出：2021年年初预算数为3286.25万元，其中预留经费3286.25万元。项目支出是指单位为完成特定行政工作任务或事业发展目标而发生的支出，包括有关事业发展专项、专项业务费、相关建设支出，其中：其他商品和服务支出3286.25万元。</w:t>
      </w:r>
    </w:p>
    <w:p>
      <w:pPr>
        <w:pStyle w:val="5"/>
        <w:shd w:val="clear" w:color="auto" w:fill="FFFFFF"/>
        <w:spacing w:before="0" w:beforeAutospacing="0" w:after="0" w:afterAutospacing="0" w:line="420" w:lineRule="atLeast"/>
        <w:ind w:firstLine="480"/>
        <w:textAlignment w:val="center"/>
        <w:rPr>
          <w:b/>
          <w:color w:val="333333"/>
        </w:rPr>
      </w:pPr>
      <w:r>
        <w:rPr>
          <w:rFonts w:hint="eastAsia"/>
          <w:b/>
          <w:color w:val="333333"/>
        </w:rPr>
        <w:t>五、</w:t>
      </w:r>
      <w:r>
        <w:rPr>
          <w:b/>
          <w:color w:val="333333"/>
        </w:rPr>
        <w:t>政府性基金预算支出</w:t>
      </w:r>
    </w:p>
    <w:p>
      <w:pPr>
        <w:pStyle w:val="5"/>
        <w:shd w:val="clear" w:color="auto" w:fill="FFFFFF"/>
        <w:spacing w:before="0" w:beforeAutospacing="0" w:after="0" w:afterAutospacing="0" w:line="420" w:lineRule="atLeast"/>
        <w:ind w:firstLine="480"/>
        <w:textAlignment w:val="center"/>
        <w:rPr>
          <w:color w:val="333333"/>
        </w:rPr>
      </w:pPr>
      <w:r>
        <w:rPr>
          <w:color w:val="333333"/>
        </w:rPr>
        <w:t>本部门无政府性基金安排的支出。</w:t>
      </w:r>
    </w:p>
    <w:p>
      <w:pPr>
        <w:pStyle w:val="5"/>
        <w:shd w:val="clear" w:color="auto" w:fill="FFFFFF"/>
        <w:spacing w:before="0" w:beforeAutospacing="0" w:after="0" w:afterAutospacing="0" w:line="420" w:lineRule="atLeast"/>
        <w:ind w:firstLine="480"/>
        <w:textAlignment w:val="center"/>
        <w:rPr>
          <w:b/>
          <w:color w:val="333333"/>
        </w:rPr>
      </w:pPr>
      <w:r>
        <w:rPr>
          <w:rFonts w:hint="eastAsia"/>
          <w:b/>
          <w:color w:val="333333"/>
        </w:rPr>
        <w:t>六、其他重要事项的情况说明</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1.机关运行经费</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机关运行经费是指为保障本单位（包括参照公务员法管理的事业单位）运行，用当年财政拨款安排的用于购买货物和服务的各项资金，包括办公费、邮电费、差旅费、福利费、日常维修费、水电费、公务用车运行维护费以及其他费用等。2021年我校的机关运行经费财政拨款算（主要是指一般公共预算拨款，无政府性基金预算拨款）511.07万元，比2020年478.46万元增加32.61万元，增涨6.82%，主要是因为学生及教职工人数增加。</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2.“三公”经费预算</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2021年“三公”经费预算数为34万元，其中公务接待费4万元，公务用车购置费0万元、公务用车运行维护费20万元，因公出国（境）费10万元。2021年“三公”经费预算较2020年减少1万元，其中公务接待费较2020年减少1万元，公务用车购置费及运行维护费较2020年持平，因公出国（境）费较2020年持平。主要原因是我校严格遵循中央“八项规定”的要求，厉行节约，严格控制三公经费支出。</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3、</w:t>
      </w:r>
      <w:r>
        <w:rPr>
          <w:color w:val="333333"/>
        </w:rPr>
        <w:t>一般性支出情况</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2021</w:t>
      </w:r>
      <w:r>
        <w:rPr>
          <w:color w:val="333333"/>
        </w:rPr>
        <w:t>年本部门会议费预算</w:t>
      </w:r>
      <w:r>
        <w:rPr>
          <w:rFonts w:hint="eastAsia"/>
          <w:color w:val="333333"/>
        </w:rPr>
        <w:t>20</w:t>
      </w:r>
      <w:r>
        <w:rPr>
          <w:color w:val="333333"/>
        </w:rPr>
        <w:t>万元，拟召开</w:t>
      </w:r>
      <w:r>
        <w:rPr>
          <w:rFonts w:hint="eastAsia"/>
          <w:color w:val="333333"/>
        </w:rPr>
        <w:t>2</w:t>
      </w:r>
      <w:r>
        <w:rPr>
          <w:color w:val="333333"/>
        </w:rPr>
        <w:t>会议，人数</w:t>
      </w:r>
      <w:r>
        <w:rPr>
          <w:rFonts w:hint="eastAsia"/>
          <w:color w:val="333333"/>
        </w:rPr>
        <w:t>300</w:t>
      </w:r>
      <w:r>
        <w:rPr>
          <w:color w:val="333333"/>
        </w:rPr>
        <w:t>人左右，内容为会展资源库验收相关会议；</w:t>
      </w:r>
      <w:r>
        <w:rPr>
          <w:rFonts w:hint="eastAsia"/>
          <w:color w:val="333333"/>
        </w:rPr>
        <w:t>20201年本部门</w:t>
      </w:r>
      <w:r>
        <w:rPr>
          <w:color w:val="333333"/>
        </w:rPr>
        <w:t>培训费预算</w:t>
      </w:r>
      <w:r>
        <w:rPr>
          <w:rFonts w:hint="eastAsia"/>
          <w:color w:val="333333"/>
        </w:rPr>
        <w:t>100</w:t>
      </w:r>
      <w:r>
        <w:rPr>
          <w:color w:val="333333"/>
        </w:rPr>
        <w:t>万元，拟用于教师教学相关培训。</w:t>
      </w:r>
      <w:bookmarkStart w:id="0" w:name="_GoBack"/>
      <w:bookmarkEnd w:id="0"/>
    </w:p>
    <w:p>
      <w:pPr>
        <w:pStyle w:val="5"/>
        <w:shd w:val="clear" w:color="auto" w:fill="FFFFFF"/>
        <w:spacing w:before="0" w:beforeAutospacing="0" w:after="0" w:afterAutospacing="0" w:line="420" w:lineRule="atLeast"/>
        <w:ind w:firstLine="480"/>
        <w:textAlignment w:val="center"/>
        <w:rPr>
          <w:color w:val="333333"/>
          <w:highlight w:val="none"/>
        </w:rPr>
      </w:pPr>
      <w:r>
        <w:rPr>
          <w:rFonts w:hint="eastAsia"/>
          <w:color w:val="333333"/>
          <w:highlight w:val="none"/>
        </w:rPr>
        <w:t>4.政府采购安排情况说明</w:t>
      </w:r>
    </w:p>
    <w:p>
      <w:pPr>
        <w:pStyle w:val="5"/>
        <w:shd w:val="clear" w:color="auto" w:fill="FFFFFF"/>
        <w:spacing w:before="0" w:beforeAutospacing="0" w:after="0" w:afterAutospacing="0" w:line="420" w:lineRule="atLeast"/>
        <w:ind w:firstLine="480"/>
        <w:textAlignment w:val="center"/>
        <w:rPr>
          <w:highlight w:val="none"/>
        </w:rPr>
      </w:pPr>
      <w:r>
        <w:rPr>
          <w:rFonts w:hint="eastAsia"/>
          <w:color w:val="333333"/>
          <w:highlight w:val="none"/>
        </w:rPr>
        <w:t>2021年我校按照市财政局和长沙市政府采购监督管理局的要求，严格货物、工程和服务采购程序，全年政府采购预算支出2721.84万</w:t>
      </w:r>
      <w:r>
        <w:rPr>
          <w:rFonts w:hint="eastAsia"/>
          <w:highlight w:val="none"/>
        </w:rPr>
        <w:t>元，其中政府采购货物支出2191.84万元，政府采购服务支出530万元，政府采购工程支出0万元。</w:t>
      </w:r>
    </w:p>
    <w:p>
      <w:pPr>
        <w:pStyle w:val="5"/>
        <w:shd w:val="clear" w:color="auto" w:fill="FFFFFF"/>
        <w:spacing w:before="0" w:beforeAutospacing="0" w:after="0" w:afterAutospacing="0" w:line="420" w:lineRule="atLeast"/>
        <w:ind w:firstLine="480"/>
        <w:textAlignment w:val="center"/>
        <w:rPr>
          <w:color w:val="333333"/>
          <w:highlight w:val="none"/>
        </w:rPr>
      </w:pPr>
      <w:r>
        <w:rPr>
          <w:rFonts w:hint="eastAsia"/>
          <w:color w:val="333333"/>
          <w:highlight w:val="none"/>
        </w:rPr>
        <w:t>5、国有资产占用情况</w:t>
      </w:r>
      <w:r>
        <w:rPr>
          <w:color w:val="333333"/>
          <w:highlight w:val="none"/>
        </w:rPr>
        <w:t>及新增资产配置情况</w:t>
      </w:r>
    </w:p>
    <w:p>
      <w:pPr>
        <w:pStyle w:val="5"/>
        <w:shd w:val="clear" w:color="auto" w:fill="FFFFFF"/>
        <w:spacing w:before="0" w:beforeAutospacing="0" w:after="0" w:afterAutospacing="0" w:line="420" w:lineRule="atLeast"/>
        <w:ind w:firstLine="480"/>
        <w:textAlignment w:val="center"/>
        <w:rPr>
          <w:color w:val="333333"/>
          <w:highlight w:val="none"/>
        </w:rPr>
      </w:pPr>
      <w:r>
        <w:rPr>
          <w:rFonts w:hint="eastAsia"/>
          <w:color w:val="333333"/>
          <w:highlight w:val="none"/>
        </w:rPr>
        <w:t>截至2020年12月31日，本部门共有公务车辆14辆，其中，应急保障用车12辆，机要通信用车1辆，离退休干部用车1辆，执法执勤用车0辆，特种专业技术用车0辆，副部（省）级及以上领导用车0辆，主要领导干部用车0辆，其他用车0辆；单位价值50万元以上通用设备7台（套），单价100万元以上专用设备2台（套）。</w:t>
      </w:r>
    </w:p>
    <w:p>
      <w:pPr>
        <w:pStyle w:val="5"/>
        <w:shd w:val="clear" w:color="auto" w:fill="FFFFFF"/>
        <w:spacing w:before="0" w:beforeAutospacing="0" w:after="0" w:afterAutospacing="0" w:line="420" w:lineRule="atLeast"/>
        <w:ind w:firstLine="480"/>
        <w:textAlignment w:val="center"/>
        <w:rPr>
          <w:color w:val="333333"/>
          <w:highlight w:val="none"/>
        </w:rPr>
      </w:pPr>
      <w:r>
        <w:rPr>
          <w:rFonts w:hint="eastAsia"/>
          <w:color w:val="333333"/>
          <w:highlight w:val="none"/>
        </w:rPr>
        <w:t>2021年拟新增配置公务用车0辆，其中，应急保障用车0辆，机要通信用车0辆，离退休干部用车0辆，执法执勤用车0辆，特种专业技术用车0辆，副部（省）级及以上领导用车0辆，主要领导干部用车0辆，其他用车0辆；新增配备单位价值50万元以上通用设备0台，单位价值100万元以上专用设备0台。</w:t>
      </w:r>
    </w:p>
    <w:p>
      <w:pPr>
        <w:pStyle w:val="5"/>
        <w:shd w:val="clear" w:color="auto" w:fill="FFFFFF"/>
        <w:spacing w:before="0" w:beforeAutospacing="0" w:after="0" w:afterAutospacing="0" w:line="420" w:lineRule="atLeast"/>
        <w:ind w:firstLine="480" w:firstLineChars="200"/>
        <w:textAlignment w:val="center"/>
        <w:rPr>
          <w:color w:val="333333"/>
        </w:rPr>
      </w:pPr>
      <w:r>
        <w:rPr>
          <w:rFonts w:hint="eastAsia"/>
          <w:color w:val="333333"/>
        </w:rPr>
        <w:t>6、绩效目标和自评情况</w:t>
      </w:r>
    </w:p>
    <w:p>
      <w:pPr>
        <w:pStyle w:val="5"/>
        <w:shd w:val="clear" w:color="auto" w:fill="FFFFFF"/>
        <w:spacing w:before="0" w:beforeAutospacing="0" w:after="0" w:afterAutospacing="0" w:line="420" w:lineRule="atLeast"/>
        <w:ind w:firstLine="480"/>
        <w:textAlignment w:val="center"/>
        <w:rPr>
          <w:color w:val="FF0000"/>
        </w:rPr>
      </w:pPr>
      <w:r>
        <w:rPr>
          <w:rFonts w:hint="eastAsia"/>
          <w:color w:val="333333"/>
        </w:rPr>
        <w:t>2021年学院整体支出绩效目标5045.81万元，</w:t>
      </w:r>
      <w:r>
        <w:rPr>
          <w:rFonts w:hint="eastAsia"/>
        </w:rPr>
        <w:t>编制绩效目标的项目共2个，其中</w:t>
      </w:r>
      <w:r>
        <w:rPr>
          <w:rFonts w:hint="eastAsia"/>
          <w:color w:val="333333"/>
        </w:rPr>
        <w:t>：资产配置经费</w:t>
      </w:r>
      <w:r>
        <w:rPr>
          <w:rFonts w:hint="eastAsia"/>
        </w:rPr>
        <w:t>2691.84万元，教学业务费2353.97万元，全部实行项目支出绩效目标管理。</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2019年度学院部门整体项目支出绩效评价结果为良好。（附件10:2019年度长沙商贸旅游职业技术学院部门整体项目支出绩效评价报告）</w:t>
      </w:r>
    </w:p>
    <w:p>
      <w:pPr>
        <w:pStyle w:val="5"/>
        <w:shd w:val="clear" w:color="auto" w:fill="FFFFFF"/>
        <w:spacing w:before="0" w:beforeAutospacing="0" w:after="0" w:afterAutospacing="0" w:line="420" w:lineRule="atLeast"/>
        <w:ind w:firstLine="480"/>
        <w:textAlignment w:val="center"/>
        <w:rPr>
          <w:b/>
          <w:color w:val="333333"/>
        </w:rPr>
      </w:pPr>
    </w:p>
    <w:p>
      <w:pPr>
        <w:pStyle w:val="5"/>
        <w:shd w:val="clear" w:color="auto" w:fill="FFFFFF"/>
        <w:spacing w:before="0" w:beforeAutospacing="0" w:after="0" w:afterAutospacing="0" w:line="420" w:lineRule="atLeast"/>
        <w:ind w:firstLine="480"/>
        <w:textAlignment w:val="center"/>
        <w:rPr>
          <w:rFonts w:hint="eastAsia"/>
          <w:b/>
          <w:color w:val="333333"/>
        </w:rPr>
      </w:pPr>
    </w:p>
    <w:p>
      <w:pPr>
        <w:pStyle w:val="5"/>
        <w:shd w:val="clear" w:color="auto" w:fill="FFFFFF"/>
        <w:spacing w:before="0" w:beforeAutospacing="0" w:after="0" w:afterAutospacing="0" w:line="420" w:lineRule="atLeast"/>
        <w:ind w:firstLine="480"/>
        <w:textAlignment w:val="center"/>
        <w:rPr>
          <w:b/>
          <w:color w:val="333333"/>
        </w:rPr>
      </w:pPr>
    </w:p>
    <w:p>
      <w:pPr>
        <w:pStyle w:val="5"/>
        <w:shd w:val="clear" w:color="auto" w:fill="FFFFFF"/>
        <w:spacing w:before="0" w:beforeAutospacing="0" w:after="0" w:afterAutospacing="0" w:line="420" w:lineRule="atLeast"/>
        <w:ind w:firstLine="480"/>
        <w:textAlignment w:val="center"/>
        <w:rPr>
          <w:b/>
          <w:color w:val="333333"/>
        </w:rPr>
      </w:pPr>
      <w:r>
        <w:rPr>
          <w:rFonts w:hint="eastAsia"/>
          <w:b/>
          <w:color w:val="333333"/>
        </w:rPr>
        <w:t>七、名词解释</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1、机关运行经费：为保障行政单位（包括参照公务员法管理的事业单位）运行，用当年财政拨款安排的用于购买货物和服务的各项资金，包括办公及印刷费、邮电费、差旅费、会议费、福利费、日常维修费、水电费、公务用车运行维护费以及其他费用等。</w:t>
      </w:r>
    </w:p>
    <w:p>
      <w:pPr>
        <w:pStyle w:val="5"/>
        <w:shd w:val="clear" w:color="auto" w:fill="FFFFFF"/>
        <w:spacing w:before="0" w:beforeAutospacing="0" w:after="0" w:afterAutospacing="0" w:line="420" w:lineRule="atLeast"/>
        <w:ind w:firstLine="480"/>
        <w:textAlignment w:val="center"/>
        <w:rPr>
          <w:rFonts w:ascii="微软雅黑" w:hAnsi="微软雅黑" w:eastAsia="微软雅黑" w:cs="微软雅黑"/>
          <w:color w:val="000000"/>
          <w:sz w:val="21"/>
          <w:szCs w:val="21"/>
        </w:rPr>
      </w:pPr>
      <w:r>
        <w:rPr>
          <w:rFonts w:hint="eastAsia"/>
          <w:color w:val="333333"/>
        </w:rPr>
        <w:t>2、“三公”经费：纳入省财政预算管理的“三公“经费，是指用当年一般公共预算拨款安排的公务接待费、公务用车购置及运行维护费和因公出国（境）费。其中，公务接待费反映单位按规定开支的各类公务接待支出；公务用车购置及运行费反映单位公务用车车辆购置支出（含车辆购置税）及燃料费、维修费、保险费等支出；因公出国（境）费反映单位公务出国（境）的国际旅费、国外城市间交通费、住宿费等支出。</w:t>
      </w:r>
    </w:p>
    <w:p>
      <w:pPr>
        <w:pStyle w:val="5"/>
        <w:shd w:val="clear" w:color="auto" w:fill="FFFFFF"/>
        <w:spacing w:before="0" w:beforeAutospacing="0" w:after="0" w:afterAutospacing="0" w:line="420" w:lineRule="atLeast"/>
        <w:ind w:firstLine="480"/>
        <w:textAlignment w:val="center"/>
        <w:rPr>
          <w:color w:val="333333"/>
        </w:rPr>
      </w:pPr>
      <w:r>
        <w:rPr>
          <w:color w:val="333333"/>
        </w:rPr>
        <w:t>3、一般公共预算财政拨款收入：指市财政当年拨付的资金。</w:t>
      </w:r>
    </w:p>
    <w:p>
      <w:pPr>
        <w:pStyle w:val="5"/>
        <w:shd w:val="clear" w:color="auto" w:fill="FFFFFF"/>
        <w:spacing w:before="0" w:beforeAutospacing="0" w:after="0" w:afterAutospacing="0" w:line="420" w:lineRule="atLeast"/>
        <w:ind w:firstLine="480"/>
        <w:textAlignment w:val="center"/>
        <w:rPr>
          <w:color w:val="333333"/>
        </w:rPr>
      </w:pPr>
      <w:r>
        <w:rPr>
          <w:color w:val="333333"/>
        </w:rPr>
        <w:t>4、基本支出：指为保障机构正常运转、完成日常工作任务而发生的人员支出和公用支出。</w:t>
      </w:r>
    </w:p>
    <w:p>
      <w:pPr>
        <w:pStyle w:val="5"/>
        <w:shd w:val="clear" w:color="auto" w:fill="FFFFFF"/>
        <w:spacing w:before="0" w:beforeAutospacing="0" w:after="0" w:afterAutospacing="0" w:line="420" w:lineRule="atLeast"/>
        <w:ind w:firstLine="480"/>
        <w:textAlignment w:val="center"/>
        <w:rPr>
          <w:color w:val="333333"/>
        </w:rPr>
      </w:pPr>
      <w:r>
        <w:rPr>
          <w:color w:val="333333"/>
        </w:rPr>
        <w:t>5、项目支出：指在基本支出之外完成特定行政任务和事业发展目标所发生的支出。   </w:t>
      </w:r>
    </w:p>
    <w:p>
      <w:pPr>
        <w:pStyle w:val="5"/>
        <w:shd w:val="clear" w:color="auto" w:fill="FFFFFF"/>
        <w:spacing w:before="0" w:beforeAutospacing="0" w:after="0" w:afterAutospacing="0" w:line="420" w:lineRule="atLeast"/>
        <w:ind w:firstLine="480"/>
        <w:textAlignment w:val="center"/>
        <w:rPr>
          <w:color w:val="333333"/>
        </w:rPr>
      </w:pPr>
    </w:p>
    <w:p>
      <w:pPr>
        <w:widowControl/>
        <w:shd w:val="clear" w:color="auto" w:fill="FFFFFF"/>
        <w:spacing w:line="315" w:lineRule="atLeast"/>
        <w:ind w:firstLine="480"/>
        <w:jc w:val="center"/>
        <w:rPr>
          <w:rFonts w:ascii="微软雅黑" w:hAnsi="微软雅黑" w:eastAsia="微软雅黑" w:cs="宋体"/>
          <w:color w:val="000000"/>
          <w:kern w:val="0"/>
          <w:szCs w:val="21"/>
        </w:rPr>
      </w:pPr>
      <w:r>
        <w:rPr>
          <w:rFonts w:ascii="Arial" w:hAnsi="Arial" w:eastAsia="微软雅黑" w:cs="Arial"/>
          <w:b/>
          <w:bCs/>
          <w:color w:val="000000"/>
          <w:kern w:val="0"/>
          <w:sz w:val="24"/>
          <w:szCs w:val="24"/>
        </w:rPr>
        <w:t>第二部分 202</w:t>
      </w:r>
      <w:r>
        <w:rPr>
          <w:rFonts w:hint="eastAsia" w:ascii="Arial" w:hAnsi="Arial" w:eastAsia="微软雅黑" w:cs="Arial"/>
          <w:b/>
          <w:bCs/>
          <w:color w:val="000000"/>
          <w:kern w:val="0"/>
          <w:sz w:val="24"/>
          <w:szCs w:val="24"/>
        </w:rPr>
        <w:t>1</w:t>
      </w:r>
      <w:r>
        <w:rPr>
          <w:rFonts w:ascii="Arial" w:hAnsi="Arial" w:eastAsia="微软雅黑" w:cs="Arial"/>
          <w:b/>
          <w:bCs/>
          <w:color w:val="000000"/>
          <w:kern w:val="0"/>
          <w:sz w:val="24"/>
          <w:szCs w:val="24"/>
        </w:rPr>
        <w:t>年部门预算公开表格</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部门预算公开的表格：</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1. 2021年部门收支总表</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2. 2021年部门收入总表</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3. 2021年部门支出总表</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4. 2021年财政拨款收支总表</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5. 2021年一般公共预算支出明细表</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6. 2021年一般公共预算基本支出明细表</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7. 2021年“三公”经费预算表</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8. 2021年政府性基金预算支出明细表（此表数据为0）</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9. 2021年项目支出绩效目标表</w:t>
      </w:r>
    </w:p>
    <w:p>
      <w:pPr>
        <w:pStyle w:val="5"/>
        <w:shd w:val="clear" w:color="auto" w:fill="FFFFFF"/>
        <w:spacing w:before="0" w:beforeAutospacing="0" w:after="0" w:afterAutospacing="0" w:line="420" w:lineRule="atLeast"/>
        <w:ind w:firstLine="480"/>
        <w:textAlignment w:val="center"/>
        <w:rPr>
          <w:color w:val="333333"/>
        </w:rPr>
      </w:pPr>
      <w:r>
        <w:rPr>
          <w:rFonts w:hint="eastAsia"/>
          <w:color w:val="333333"/>
        </w:rPr>
        <w:t>10.2019年度长沙商贸旅游职业技术学院部门整体项目支出绩效评价报告</w:t>
      </w:r>
    </w:p>
    <w:p>
      <w:pPr>
        <w:pStyle w:val="5"/>
        <w:shd w:val="clear" w:color="auto" w:fill="FFFFFF"/>
        <w:spacing w:before="0" w:beforeAutospacing="0" w:after="0" w:afterAutospacing="0" w:line="420" w:lineRule="atLeast"/>
        <w:ind w:firstLine="480"/>
        <w:textAlignment w:val="center"/>
        <w:rPr>
          <w:color w:val="333333"/>
        </w:rPr>
      </w:pPr>
    </w:p>
    <w:p>
      <w:pPr>
        <w:pStyle w:val="5"/>
        <w:shd w:val="clear" w:color="auto" w:fill="FFFFFF"/>
        <w:spacing w:before="0" w:beforeAutospacing="0" w:after="0" w:afterAutospacing="0"/>
        <w:ind w:firstLine="480"/>
        <w:jc w:val="right"/>
        <w:rPr>
          <w:rFonts w:ascii="微软雅黑" w:hAnsi="微软雅黑" w:eastAsia="微软雅黑"/>
          <w:color w:val="000000"/>
          <w:sz w:val="21"/>
          <w:szCs w:val="21"/>
        </w:rPr>
      </w:pPr>
      <w:r>
        <w:rPr>
          <w:rFonts w:hint="eastAsia"/>
          <w:color w:val="000000"/>
        </w:rPr>
        <w:t>长沙商贸旅游职业技术学院</w:t>
      </w:r>
    </w:p>
    <w:p>
      <w:pPr>
        <w:widowControl/>
        <w:shd w:val="clear" w:color="auto" w:fill="FFFFFF"/>
        <w:ind w:firstLine="480"/>
        <w:jc w:val="right"/>
        <w:rPr>
          <w:rFonts w:ascii="微软雅黑" w:hAnsi="微软雅黑" w:eastAsia="微软雅黑" w:cs="宋体"/>
          <w:color w:val="000000"/>
          <w:kern w:val="0"/>
          <w:szCs w:val="21"/>
        </w:rPr>
      </w:pPr>
      <w:r>
        <w:rPr>
          <w:rFonts w:hint="eastAsia" w:ascii="宋体" w:hAnsi="宋体" w:eastAsia="宋体" w:cs="宋体"/>
          <w:color w:val="000000"/>
          <w:kern w:val="0"/>
          <w:sz w:val="24"/>
          <w:szCs w:val="24"/>
        </w:rPr>
        <w:t>2021年2月24日</w:t>
      </w:r>
    </w:p>
    <w:p>
      <w:pPr>
        <w:pStyle w:val="5"/>
        <w:shd w:val="clear" w:color="auto" w:fill="FFFFFF"/>
        <w:spacing w:before="0" w:beforeAutospacing="0" w:after="0" w:afterAutospacing="0" w:line="420" w:lineRule="atLeast"/>
        <w:ind w:firstLine="480"/>
        <w:textAlignment w:val="center"/>
        <w:rPr>
          <w:color w:val="3333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942B85"/>
    <w:rsid w:val="0005225F"/>
    <w:rsid w:val="000A2286"/>
    <w:rsid w:val="000B0897"/>
    <w:rsid w:val="000C644B"/>
    <w:rsid w:val="000D30E4"/>
    <w:rsid w:val="000D3F63"/>
    <w:rsid w:val="0011371B"/>
    <w:rsid w:val="00162C3B"/>
    <w:rsid w:val="00183CB9"/>
    <w:rsid w:val="001972E0"/>
    <w:rsid w:val="001A6FBF"/>
    <w:rsid w:val="001F246D"/>
    <w:rsid w:val="00233B0F"/>
    <w:rsid w:val="00253518"/>
    <w:rsid w:val="00262CC0"/>
    <w:rsid w:val="002E6B7C"/>
    <w:rsid w:val="002F262C"/>
    <w:rsid w:val="00333554"/>
    <w:rsid w:val="00333CD0"/>
    <w:rsid w:val="003372D4"/>
    <w:rsid w:val="0034196B"/>
    <w:rsid w:val="003447DF"/>
    <w:rsid w:val="0034577B"/>
    <w:rsid w:val="00380A8E"/>
    <w:rsid w:val="004108B4"/>
    <w:rsid w:val="004748D7"/>
    <w:rsid w:val="00492D57"/>
    <w:rsid w:val="00503F86"/>
    <w:rsid w:val="0051526E"/>
    <w:rsid w:val="00557B19"/>
    <w:rsid w:val="0056051F"/>
    <w:rsid w:val="00575F23"/>
    <w:rsid w:val="00576EA5"/>
    <w:rsid w:val="00594902"/>
    <w:rsid w:val="005C5E07"/>
    <w:rsid w:val="005C72EA"/>
    <w:rsid w:val="005E1D67"/>
    <w:rsid w:val="00626155"/>
    <w:rsid w:val="006512E1"/>
    <w:rsid w:val="00672707"/>
    <w:rsid w:val="0067374E"/>
    <w:rsid w:val="0068662B"/>
    <w:rsid w:val="006B3896"/>
    <w:rsid w:val="006C6816"/>
    <w:rsid w:val="00701260"/>
    <w:rsid w:val="00736327"/>
    <w:rsid w:val="00760E56"/>
    <w:rsid w:val="007B1873"/>
    <w:rsid w:val="007D2144"/>
    <w:rsid w:val="007F1F1C"/>
    <w:rsid w:val="00855E74"/>
    <w:rsid w:val="008B3E72"/>
    <w:rsid w:val="008D1CFA"/>
    <w:rsid w:val="008E1E79"/>
    <w:rsid w:val="008F11CB"/>
    <w:rsid w:val="00912DBB"/>
    <w:rsid w:val="00942B85"/>
    <w:rsid w:val="00964113"/>
    <w:rsid w:val="009B0458"/>
    <w:rsid w:val="009C0F66"/>
    <w:rsid w:val="009C76D3"/>
    <w:rsid w:val="009D0467"/>
    <w:rsid w:val="009D1EAC"/>
    <w:rsid w:val="009D3783"/>
    <w:rsid w:val="009F3902"/>
    <w:rsid w:val="00A209ED"/>
    <w:rsid w:val="00A437B5"/>
    <w:rsid w:val="00A55FDE"/>
    <w:rsid w:val="00A56EFE"/>
    <w:rsid w:val="00A61DD0"/>
    <w:rsid w:val="00A96B2D"/>
    <w:rsid w:val="00B211E3"/>
    <w:rsid w:val="00B74E91"/>
    <w:rsid w:val="00BA5244"/>
    <w:rsid w:val="00BC1DB5"/>
    <w:rsid w:val="00BD2A0B"/>
    <w:rsid w:val="00BD563B"/>
    <w:rsid w:val="00BF2EB5"/>
    <w:rsid w:val="00C42A55"/>
    <w:rsid w:val="00C47B52"/>
    <w:rsid w:val="00C71285"/>
    <w:rsid w:val="00C83179"/>
    <w:rsid w:val="00C85060"/>
    <w:rsid w:val="00C870D5"/>
    <w:rsid w:val="00C941D8"/>
    <w:rsid w:val="00C968D0"/>
    <w:rsid w:val="00CA7234"/>
    <w:rsid w:val="00D2777A"/>
    <w:rsid w:val="00D30FFA"/>
    <w:rsid w:val="00D43565"/>
    <w:rsid w:val="00D72548"/>
    <w:rsid w:val="00DC65DA"/>
    <w:rsid w:val="00DF53E5"/>
    <w:rsid w:val="00E07B90"/>
    <w:rsid w:val="00E24EF8"/>
    <w:rsid w:val="00E7003A"/>
    <w:rsid w:val="00EA588D"/>
    <w:rsid w:val="00EE24E4"/>
    <w:rsid w:val="00EF63C8"/>
    <w:rsid w:val="00F20707"/>
    <w:rsid w:val="00F256B5"/>
    <w:rsid w:val="00F70E10"/>
    <w:rsid w:val="00F86FFA"/>
    <w:rsid w:val="00F97B3B"/>
    <w:rsid w:val="00FB02A7"/>
    <w:rsid w:val="0AEF1B22"/>
    <w:rsid w:val="1AC028B0"/>
    <w:rsid w:val="1DFA215C"/>
    <w:rsid w:val="3BDC0B61"/>
    <w:rsid w:val="3D3A6C3E"/>
    <w:rsid w:val="60167637"/>
    <w:rsid w:val="74F96265"/>
    <w:rsid w:val="7F421D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2 Char"/>
    <w:basedOn w:val="7"/>
    <w:link w:val="2"/>
    <w:uiPriority w:val="9"/>
    <w:rPr>
      <w:rFonts w:ascii="宋体" w:hAnsi="宋体" w:eastAsia="宋体" w:cs="宋体"/>
      <w:b/>
      <w:bCs/>
      <w:kern w:val="0"/>
      <w:sz w:val="36"/>
      <w:szCs w:val="36"/>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579</Words>
  <Characters>3303</Characters>
  <Lines>27</Lines>
  <Paragraphs>7</Paragraphs>
  <TotalTime>29</TotalTime>
  <ScaleCrop>false</ScaleCrop>
  <LinksUpToDate>false</LinksUpToDate>
  <CharactersWithSpaces>3875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2020-12-22T08:05:00Z</dcterms:created>
  <dc:creator>AutoBVT</dc:creator>
  <cp:lastModifiedBy>张圈圈</cp:lastModifiedBy>
  <cp:lastPrinted>2022-07-23T08:04:00Z</cp:lastPrinted>
  <dcterms:modified xsi:type="dcterms:W3CDTF">2022-08-09T08:20:05Z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3578EC4FF003410A838A3B9B32A4209F</vt:lpwstr>
  </property>
</Properties>
</file>