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9" w:lineRule="auto"/>
      </w:pPr>
    </w:p>
    <w:p>
      <w:pPr>
        <w:spacing w:line="359" w:lineRule="auto"/>
      </w:pPr>
    </w:p>
    <w:p>
      <w:pPr>
        <w:spacing w:line="375" w:lineRule="auto"/>
      </w:pPr>
    </w:p>
    <w:p>
      <w:pPr>
        <w:spacing w:line="275" w:lineRule="auto"/>
      </w:pPr>
    </w:p>
    <w:p>
      <w:pPr>
        <w:pStyle w:val="4"/>
      </w:pPr>
    </w:p>
    <w:p>
      <w:pPr>
        <w:spacing w:line="276" w:lineRule="auto"/>
      </w:pPr>
    </w:p>
    <w:p>
      <w:pPr>
        <w:spacing w:line="276" w:lineRule="auto"/>
      </w:pPr>
    </w:p>
    <w:p>
      <w:pPr>
        <w:spacing w:line="276" w:lineRule="auto"/>
      </w:pPr>
    </w:p>
    <w:p>
      <w:pPr>
        <w:spacing w:before="184" w:line="208" w:lineRule="auto"/>
        <w:ind w:right="1233"/>
        <w:jc w:val="center"/>
        <w:rPr>
          <w:rFonts w:ascii="微软雅黑" w:hAnsi="微软雅黑" w:eastAsia="微软雅黑" w:cs="微软雅黑"/>
          <w:spacing w:val="23"/>
          <w:sz w:val="43"/>
          <w:szCs w:val="43"/>
        </w:rPr>
      </w:pPr>
      <w:r>
        <w:rPr>
          <w:rFonts w:hint="eastAsia" w:ascii="Times New Roman" w:hAnsi="Times New Roman" w:eastAsia="宋体" w:cs="Times New Roman"/>
          <w:spacing w:val="32"/>
          <w:sz w:val="43"/>
          <w:szCs w:val="43"/>
          <w:lang w:val="en-US" w:eastAsia="zh-CN"/>
        </w:rPr>
        <w:t>2022</w:t>
      </w:r>
      <w:r>
        <w:rPr>
          <w:rFonts w:ascii="微软雅黑" w:hAnsi="微软雅黑" w:eastAsia="微软雅黑" w:cs="微软雅黑"/>
          <w:spacing w:val="23"/>
          <w:sz w:val="43"/>
          <w:szCs w:val="43"/>
        </w:rPr>
        <w:t>年度</w:t>
      </w:r>
      <w:r>
        <w:rPr>
          <w:rFonts w:hint="eastAsia" w:ascii="微软雅黑" w:hAnsi="微软雅黑" w:eastAsia="微软雅黑" w:cs="微软雅黑"/>
          <w:spacing w:val="23"/>
          <w:sz w:val="43"/>
          <w:szCs w:val="43"/>
          <w:lang w:val="en-US" w:eastAsia="zh-CN"/>
        </w:rPr>
        <w:t>长沙商贸旅游职业技术学院</w:t>
      </w:r>
      <w:r>
        <w:rPr>
          <w:rFonts w:ascii="微软雅黑" w:hAnsi="微软雅黑" w:eastAsia="微软雅黑" w:cs="微软雅黑"/>
          <w:spacing w:val="23"/>
          <w:sz w:val="43"/>
          <w:szCs w:val="43"/>
        </w:rPr>
        <w:t xml:space="preserve"> </w:t>
      </w:r>
    </w:p>
    <w:p>
      <w:pPr>
        <w:spacing w:before="184" w:line="208" w:lineRule="auto"/>
        <w:ind w:right="1233"/>
        <w:jc w:val="center"/>
        <w:rPr>
          <w:rFonts w:ascii="微软雅黑" w:hAnsi="微软雅黑" w:eastAsia="微软雅黑" w:cs="微软雅黑"/>
          <w:sz w:val="43"/>
          <w:szCs w:val="43"/>
        </w:rPr>
      </w:pPr>
      <w:r>
        <w:rPr>
          <w:rFonts w:ascii="微软雅黑" w:hAnsi="微软雅黑" w:eastAsia="微软雅黑" w:cs="微软雅黑"/>
          <w:spacing w:val="23"/>
          <w:sz w:val="43"/>
          <w:szCs w:val="43"/>
        </w:rPr>
        <w:t>整体支出</w:t>
      </w:r>
      <w:r>
        <w:rPr>
          <w:rFonts w:hint="eastAsia" w:ascii="微软雅黑" w:hAnsi="微软雅黑" w:eastAsia="微软雅黑" w:cs="微软雅黑"/>
          <w:spacing w:val="23"/>
          <w:sz w:val="43"/>
          <w:szCs w:val="43"/>
          <w:lang w:val="en-US" w:eastAsia="zh-CN"/>
        </w:rPr>
        <w:t xml:space="preserve"> </w:t>
      </w:r>
      <w:r>
        <w:rPr>
          <w:rFonts w:ascii="微软雅黑" w:hAnsi="微软雅黑" w:eastAsia="微软雅黑" w:cs="微软雅黑"/>
          <w:spacing w:val="11"/>
          <w:sz w:val="43"/>
          <w:szCs w:val="43"/>
        </w:rPr>
        <w:t>绩</w:t>
      </w:r>
      <w:r>
        <w:rPr>
          <w:rFonts w:ascii="微软雅黑" w:hAnsi="微软雅黑" w:eastAsia="微软雅黑" w:cs="微软雅黑"/>
          <w:spacing w:val="7"/>
          <w:sz w:val="43"/>
          <w:szCs w:val="43"/>
        </w:rPr>
        <w:t>效自评报告</w:t>
      </w:r>
    </w:p>
    <w:p>
      <w:pPr>
        <w:spacing w:line="254" w:lineRule="auto"/>
      </w:pPr>
    </w:p>
    <w:p>
      <w:pPr>
        <w:spacing w:line="255" w:lineRule="auto"/>
      </w:pPr>
    </w:p>
    <w:p>
      <w:pPr>
        <w:spacing w:line="247" w:lineRule="auto"/>
      </w:pPr>
    </w:p>
    <w:p>
      <w:pPr>
        <w:spacing w:line="247" w:lineRule="auto"/>
      </w:pPr>
    </w:p>
    <w:p>
      <w:pPr>
        <w:spacing w:line="247" w:lineRule="auto"/>
      </w:pPr>
    </w:p>
    <w:p>
      <w:pPr>
        <w:spacing w:line="247" w:lineRule="auto"/>
      </w:pPr>
    </w:p>
    <w:p>
      <w:pPr>
        <w:spacing w:line="247" w:lineRule="auto"/>
      </w:pPr>
    </w:p>
    <w:p>
      <w:pPr>
        <w:spacing w:line="247" w:lineRule="auto"/>
      </w:pPr>
    </w:p>
    <w:p>
      <w:pPr>
        <w:spacing w:line="247" w:lineRule="auto"/>
      </w:pPr>
    </w:p>
    <w:p>
      <w:pPr>
        <w:spacing w:line="247" w:lineRule="auto"/>
      </w:pPr>
    </w:p>
    <w:p>
      <w:pPr>
        <w:spacing w:line="247" w:lineRule="auto"/>
      </w:pPr>
    </w:p>
    <w:p>
      <w:pPr>
        <w:spacing w:line="247" w:lineRule="auto"/>
      </w:pPr>
    </w:p>
    <w:p>
      <w:pPr>
        <w:spacing w:line="247" w:lineRule="auto"/>
      </w:pPr>
    </w:p>
    <w:p>
      <w:pPr>
        <w:spacing w:line="248" w:lineRule="auto"/>
      </w:pPr>
    </w:p>
    <w:p>
      <w:pPr>
        <w:spacing w:line="248" w:lineRule="auto"/>
      </w:pPr>
    </w:p>
    <w:p>
      <w:pPr>
        <w:spacing w:line="248" w:lineRule="auto"/>
      </w:pPr>
    </w:p>
    <w:p>
      <w:pPr>
        <w:spacing w:line="248" w:lineRule="auto"/>
      </w:pPr>
    </w:p>
    <w:p>
      <w:pPr>
        <w:spacing w:line="248" w:lineRule="auto"/>
      </w:pPr>
    </w:p>
    <w:p>
      <w:pPr>
        <w:spacing w:line="248" w:lineRule="auto"/>
      </w:pPr>
    </w:p>
    <w:p>
      <w:pPr>
        <w:spacing w:line="248" w:lineRule="auto"/>
      </w:pPr>
    </w:p>
    <w:p>
      <w:pPr>
        <w:spacing w:line="248" w:lineRule="auto"/>
      </w:pPr>
    </w:p>
    <w:p>
      <w:pPr>
        <w:spacing w:line="248" w:lineRule="auto"/>
      </w:pPr>
    </w:p>
    <w:p>
      <w:pPr>
        <w:spacing w:line="248" w:lineRule="auto"/>
      </w:pPr>
    </w:p>
    <w:p>
      <w:pPr>
        <w:spacing w:line="248" w:lineRule="auto"/>
      </w:pPr>
    </w:p>
    <w:p>
      <w:pPr>
        <w:spacing w:line="248" w:lineRule="auto"/>
      </w:pPr>
    </w:p>
    <w:p>
      <w:pPr>
        <w:spacing w:before="114" w:line="223" w:lineRule="auto"/>
        <w:ind w:left="2734"/>
        <w:rPr>
          <w:rFonts w:ascii="黑体" w:hAnsi="黑体" w:eastAsia="黑体" w:cs="黑体"/>
          <w:sz w:val="35"/>
          <w:szCs w:val="35"/>
        </w:rPr>
      </w:pPr>
      <w:r>
        <w:rPr>
          <w:rFonts w:ascii="黑体" w:hAnsi="黑体" w:eastAsia="黑体" w:cs="黑体"/>
          <w:spacing w:val="5"/>
          <w:sz w:val="35"/>
          <w:szCs w:val="35"/>
        </w:rPr>
        <w:t>单</w:t>
      </w:r>
      <w:r>
        <w:rPr>
          <w:rFonts w:ascii="黑体" w:hAnsi="黑体" w:eastAsia="黑体" w:cs="黑体"/>
          <w:spacing w:val="3"/>
          <w:sz w:val="35"/>
          <w:szCs w:val="35"/>
        </w:rPr>
        <w:t>位名称 (盖章) ：</w:t>
      </w:r>
    </w:p>
    <w:p>
      <w:pPr>
        <w:spacing w:line="247" w:lineRule="auto"/>
      </w:pPr>
    </w:p>
    <w:p>
      <w:pPr>
        <w:spacing w:line="247" w:lineRule="auto"/>
      </w:pPr>
    </w:p>
    <w:p>
      <w:pPr>
        <w:spacing w:line="248" w:lineRule="auto"/>
      </w:pPr>
    </w:p>
    <w:p>
      <w:pPr>
        <w:spacing w:line="248" w:lineRule="auto"/>
      </w:pPr>
    </w:p>
    <w:p>
      <w:pPr>
        <w:spacing w:line="248" w:lineRule="auto"/>
      </w:pPr>
    </w:p>
    <w:p>
      <w:pPr>
        <w:spacing w:line="248" w:lineRule="auto"/>
      </w:pPr>
    </w:p>
    <w:p>
      <w:pPr>
        <w:spacing w:line="248" w:lineRule="auto"/>
      </w:pPr>
    </w:p>
    <w:p>
      <w:pPr>
        <w:spacing w:line="248" w:lineRule="auto"/>
      </w:pPr>
    </w:p>
    <w:p>
      <w:pPr>
        <w:spacing w:before="101" w:line="224" w:lineRule="auto"/>
        <w:ind w:left="3216"/>
        <w:rPr>
          <w:rFonts w:ascii="仿宋" w:hAnsi="仿宋" w:eastAsia="仿宋" w:cs="仿宋"/>
          <w:sz w:val="31"/>
          <w:szCs w:val="31"/>
        </w:rPr>
      </w:pPr>
      <w:r>
        <w:rPr>
          <w:rFonts w:ascii="仿宋" w:hAnsi="仿宋" w:eastAsia="仿宋" w:cs="仿宋"/>
          <w:spacing w:val="34"/>
          <w:sz w:val="31"/>
          <w:szCs w:val="31"/>
        </w:rPr>
        <w:t>(</w:t>
      </w:r>
      <w:r>
        <w:rPr>
          <w:rFonts w:ascii="仿宋" w:hAnsi="仿宋" w:eastAsia="仿宋" w:cs="仿宋"/>
          <w:spacing w:val="30"/>
          <w:sz w:val="31"/>
          <w:szCs w:val="31"/>
        </w:rPr>
        <w:t>此页为封面)</w:t>
      </w:r>
    </w:p>
    <w:p>
      <w:pPr>
        <w:sectPr>
          <w:footerReference r:id="rId3" w:type="default"/>
          <w:pgSz w:w="11906" w:h="16839"/>
          <w:pgMar w:top="1431" w:right="1585" w:bottom="1552" w:left="1621" w:header="0" w:footer="1310" w:gutter="0"/>
          <w:cols w:space="720" w:num="1"/>
        </w:sectPr>
      </w:pPr>
    </w:p>
    <w:p>
      <w:pPr>
        <w:spacing w:before="101" w:line="507" w:lineRule="exact"/>
        <w:ind w:left="655"/>
        <w:rPr>
          <w:rFonts w:ascii="黑体" w:hAnsi="黑体" w:eastAsia="黑体" w:cs="黑体"/>
          <w:sz w:val="31"/>
          <w:szCs w:val="31"/>
        </w:rPr>
      </w:pPr>
      <w:r>
        <w:rPr>
          <w:rFonts w:ascii="黑体" w:hAnsi="黑体" w:eastAsia="黑体" w:cs="黑体"/>
          <w:spacing w:val="7"/>
          <w:position w:val="4"/>
          <w:sz w:val="31"/>
          <w:szCs w:val="31"/>
        </w:rPr>
        <w:t>一</w:t>
      </w:r>
      <w:r>
        <w:rPr>
          <w:rFonts w:ascii="黑体" w:hAnsi="黑体" w:eastAsia="黑体" w:cs="黑体"/>
          <w:spacing w:val="6"/>
          <w:position w:val="4"/>
          <w:sz w:val="31"/>
          <w:szCs w:val="31"/>
        </w:rPr>
        <w:t>、部门概况</w:t>
      </w:r>
    </w:p>
    <w:p>
      <w:pPr>
        <w:spacing w:before="93" w:line="221" w:lineRule="auto"/>
        <w:ind w:left="637"/>
        <w:rPr>
          <w:rFonts w:ascii="楷体" w:hAnsi="楷体" w:eastAsia="楷体" w:cs="楷体"/>
          <w:sz w:val="31"/>
          <w:szCs w:val="31"/>
          <w:highlight w:val="none"/>
          <w14:textOutline w14:w="5791" w14:cap="sq" w14:cmpd="sng" w14:algn="ctr">
            <w14:solidFill>
              <w14:srgbClr w14:val="000000"/>
            </w14:solidFill>
            <w14:prstDash w14:val="solid"/>
            <w14:bevel/>
          </w14:textOutline>
        </w:rPr>
      </w:pPr>
      <w:r>
        <w:rPr>
          <w:rFonts w:ascii="楷体" w:hAnsi="楷体" w:eastAsia="楷体" w:cs="楷体"/>
          <w:spacing w:val="-1"/>
          <w:sz w:val="31"/>
          <w:szCs w:val="31"/>
          <w14:textOutline w14:w="5791" w14:cap="sq" w14:cmpd="sng" w14:algn="ctr">
            <w14:solidFill>
              <w14:srgbClr w14:val="000000"/>
            </w14:solidFill>
            <w14:prstDash w14:val="solid"/>
            <w14:bevel/>
          </w14:textOutline>
        </w:rPr>
        <w:t>(</w:t>
      </w:r>
      <w:r>
        <w:rPr>
          <w:rFonts w:ascii="楷体" w:hAnsi="楷体" w:eastAsia="楷体" w:cs="楷体"/>
          <w:spacing w:val="-1"/>
          <w:sz w:val="31"/>
          <w:szCs w:val="31"/>
        </w:rPr>
        <w:t xml:space="preserve"> </w:t>
      </w:r>
      <w:r>
        <w:rPr>
          <w:rFonts w:ascii="楷体" w:hAnsi="楷体" w:eastAsia="楷体" w:cs="楷体"/>
          <w:spacing w:val="-1"/>
          <w:sz w:val="31"/>
          <w:szCs w:val="31"/>
          <w14:textOutline w14:w="5791" w14:cap="sq" w14:cmpd="sng" w14:algn="ctr">
            <w14:solidFill>
              <w14:srgbClr w14:val="000000"/>
            </w14:solidFill>
            <w14:prstDash w14:val="solid"/>
            <w14:bevel/>
          </w14:textOutline>
        </w:rPr>
        <w:t>一</w:t>
      </w:r>
      <w:r>
        <w:rPr>
          <w:rFonts w:ascii="楷体" w:hAnsi="楷体" w:eastAsia="楷体" w:cs="楷体"/>
          <w:spacing w:val="-1"/>
          <w:sz w:val="31"/>
          <w:szCs w:val="31"/>
        </w:rPr>
        <w:t xml:space="preserve"> </w:t>
      </w:r>
      <w:r>
        <w:rPr>
          <w:rFonts w:ascii="楷体" w:hAnsi="楷体" w:eastAsia="楷体" w:cs="楷体"/>
          <w:spacing w:val="-1"/>
          <w:sz w:val="31"/>
          <w:szCs w:val="31"/>
          <w14:textOutline w14:w="5791" w14:cap="sq" w14:cmpd="sng" w14:algn="ctr">
            <w14:solidFill>
              <w14:srgbClr w14:val="000000"/>
            </w14:solidFill>
            <w14:prstDash w14:val="solid"/>
            <w14:bevel/>
          </w14:textOutline>
        </w:rPr>
        <w:t>)</w:t>
      </w:r>
      <w:r>
        <w:rPr>
          <w:rFonts w:ascii="楷体" w:hAnsi="楷体" w:eastAsia="楷体" w:cs="楷体"/>
          <w:spacing w:val="-1"/>
          <w:sz w:val="31"/>
          <w:szCs w:val="31"/>
          <w:highlight w:val="none"/>
        </w:rPr>
        <w:t xml:space="preserve"> </w:t>
      </w:r>
      <w:r>
        <w:rPr>
          <w:rFonts w:ascii="楷体" w:hAnsi="楷体" w:eastAsia="楷体" w:cs="楷体"/>
          <w:spacing w:val="-1"/>
          <w:sz w:val="31"/>
          <w:szCs w:val="31"/>
          <w:highlight w:val="none"/>
          <w14:textOutline w14:w="5791" w14:cap="sq" w14:cmpd="sng" w14:algn="ctr">
            <w14:solidFill>
              <w14:srgbClr w14:val="000000"/>
            </w14:solidFill>
            <w14:prstDash w14:val="solid"/>
            <w14:bevel/>
          </w14:textOutline>
        </w:rPr>
        <w:t>部门</w:t>
      </w:r>
      <w:r>
        <w:rPr>
          <w:rFonts w:ascii="楷体" w:hAnsi="楷体" w:eastAsia="楷体" w:cs="楷体"/>
          <w:spacing w:val="-1"/>
          <w:sz w:val="31"/>
          <w:szCs w:val="31"/>
          <w:highlight w:val="none"/>
        </w:rPr>
        <w:t xml:space="preserve"> </w:t>
      </w:r>
      <w:r>
        <w:rPr>
          <w:rFonts w:ascii="楷体" w:hAnsi="楷体" w:eastAsia="楷体" w:cs="楷体"/>
          <w:spacing w:val="-1"/>
          <w:sz w:val="31"/>
          <w:szCs w:val="31"/>
          <w:highlight w:val="none"/>
          <w14:textOutline w14:w="5791" w14:cap="sq" w14:cmpd="sng" w14:algn="ctr">
            <w14:solidFill>
              <w14:srgbClr w14:val="000000"/>
            </w14:solidFill>
            <w14:prstDash w14:val="solid"/>
            <w14:bevel/>
          </w14:textOutline>
        </w:rPr>
        <w:t>(单位)</w:t>
      </w:r>
      <w:r>
        <w:rPr>
          <w:rFonts w:ascii="楷体" w:hAnsi="楷体" w:eastAsia="楷体" w:cs="楷体"/>
          <w:spacing w:val="-1"/>
          <w:sz w:val="31"/>
          <w:szCs w:val="31"/>
          <w:highlight w:val="none"/>
        </w:rPr>
        <w:t xml:space="preserve"> </w:t>
      </w:r>
      <w:r>
        <w:rPr>
          <w:rFonts w:ascii="楷体" w:hAnsi="楷体" w:eastAsia="楷体" w:cs="楷体"/>
          <w:spacing w:val="-1"/>
          <w:sz w:val="31"/>
          <w:szCs w:val="31"/>
          <w:highlight w:val="none"/>
          <w14:textOutline w14:w="5791" w14:cap="sq" w14:cmpd="sng" w14:algn="ctr">
            <w14:solidFill>
              <w14:srgbClr w14:val="000000"/>
            </w14:solidFill>
            <w14:prstDash w14:val="solid"/>
            <w14:bevel/>
          </w14:textOutline>
        </w:rPr>
        <w:t>基本情</w:t>
      </w:r>
      <w:r>
        <w:rPr>
          <w:rFonts w:ascii="楷体" w:hAnsi="楷体" w:eastAsia="楷体" w:cs="楷体"/>
          <w:sz w:val="31"/>
          <w:szCs w:val="31"/>
          <w:highlight w:val="none"/>
          <w14:textOutline w14:w="5791" w14:cap="sq" w14:cmpd="sng" w14:algn="ctr">
            <w14:solidFill>
              <w14:srgbClr w14:val="000000"/>
            </w14:solidFill>
            <w14:prstDash w14:val="solid"/>
            <w14:bevel/>
          </w14:textOutline>
        </w:rPr>
        <w:t>况。</w:t>
      </w:r>
    </w:p>
    <w:p>
      <w:pPr>
        <w:spacing w:before="229" w:line="357" w:lineRule="auto"/>
        <w:ind w:left="5" w:right="186" w:firstLine="640"/>
        <w:rPr>
          <w:rFonts w:hint="eastAsia" w:ascii="仿宋" w:hAnsi="仿宋" w:eastAsia="仿宋" w:cs="仿宋"/>
          <w:spacing w:val="18"/>
          <w:sz w:val="31"/>
          <w:szCs w:val="31"/>
          <w:lang w:val="en-US"/>
        </w:rPr>
      </w:pPr>
      <w:r>
        <w:rPr>
          <w:rFonts w:hint="eastAsia" w:ascii="仿宋" w:hAnsi="仿宋" w:eastAsia="仿宋" w:cs="仿宋"/>
          <w:spacing w:val="18"/>
          <w:sz w:val="31"/>
          <w:szCs w:val="31"/>
          <w:lang w:val="en-US"/>
        </w:rPr>
        <w:t>长沙商贸旅游职业技术学院是由长沙市人民政府主办、湖南省教育厅指导业务的全日制公办普通高等学校，坐落于长沙市雨花经济开发区的长沙职教基地。学校在60</w:t>
      </w:r>
      <w:r>
        <w:rPr>
          <w:rFonts w:hint="eastAsia" w:ascii="仿宋" w:hAnsi="仿宋" w:eastAsia="仿宋" w:cs="仿宋"/>
          <w:spacing w:val="18"/>
          <w:sz w:val="31"/>
          <w:szCs w:val="31"/>
          <w:lang w:val="en-US" w:eastAsia="zh-CN"/>
        </w:rPr>
        <w:t>多</w:t>
      </w:r>
      <w:r>
        <w:rPr>
          <w:rFonts w:hint="eastAsia" w:ascii="仿宋" w:hAnsi="仿宋" w:eastAsia="仿宋" w:cs="仿宋"/>
          <w:spacing w:val="18"/>
          <w:sz w:val="31"/>
          <w:szCs w:val="31"/>
          <w:lang w:val="en-US"/>
        </w:rPr>
        <w:t>年的办学实践中，探索确立了“立足长沙、服务‘三湘’（湘菜、湘商、湘旅）”的办学定位，被社会美誉为“商界黄埔”和“经理摇篮”。近年来，学校抢抓发展机遇，实现了整体跃升。2015年成为湖南省首批8所卓越高职院校建设单位之一。2019年，相继被认定为国家优质高等专科学校(简称“国家优质校”)</w:t>
      </w:r>
      <w:r>
        <w:rPr>
          <w:rFonts w:hint="eastAsia" w:ascii="仿宋" w:hAnsi="仿宋" w:eastAsia="仿宋" w:cs="仿宋"/>
          <w:spacing w:val="18"/>
          <w:sz w:val="31"/>
          <w:szCs w:val="31"/>
          <w:lang w:val="en-US" w:eastAsia="zh-CN"/>
        </w:rPr>
        <w:t>和</w:t>
      </w:r>
      <w:r>
        <w:rPr>
          <w:rFonts w:hint="eastAsia" w:ascii="仿宋" w:hAnsi="仿宋" w:eastAsia="仿宋" w:cs="仿宋"/>
          <w:spacing w:val="18"/>
          <w:sz w:val="31"/>
          <w:szCs w:val="31"/>
          <w:lang w:val="en-US"/>
        </w:rPr>
        <w:t>立项为中国特色高水平高职学校和专业建设计划(简称“双高计划”)建设单位。2022年7月被立项为湖南省楚怡高水平高职学校（A档）。</w:t>
      </w:r>
    </w:p>
    <w:p>
      <w:pPr>
        <w:spacing w:before="229" w:line="357" w:lineRule="auto"/>
        <w:ind w:left="5" w:right="186" w:firstLine="640"/>
        <w:rPr>
          <w:rFonts w:hint="eastAsia" w:ascii="仿宋" w:hAnsi="仿宋" w:eastAsia="仿宋" w:cs="仿宋"/>
          <w:spacing w:val="18"/>
          <w:sz w:val="31"/>
          <w:szCs w:val="31"/>
          <w:lang w:val="en-US"/>
        </w:rPr>
      </w:pPr>
      <w:r>
        <w:rPr>
          <w:rFonts w:hint="eastAsia" w:ascii="仿宋" w:hAnsi="仿宋" w:eastAsia="仿宋" w:cs="仿宋"/>
          <w:spacing w:val="18"/>
          <w:sz w:val="31"/>
          <w:szCs w:val="31"/>
          <w:lang w:val="en-US" w:eastAsia="zh-CN"/>
        </w:rPr>
        <w:t>目前，学校</w:t>
      </w:r>
      <w:r>
        <w:rPr>
          <w:rFonts w:hint="eastAsia" w:ascii="仿宋" w:hAnsi="仿宋" w:eastAsia="仿宋" w:cs="仿宋"/>
          <w:spacing w:val="18"/>
          <w:sz w:val="31"/>
          <w:szCs w:val="31"/>
          <w:lang w:val="en-US"/>
        </w:rPr>
        <w:t>全日制在校学生</w:t>
      </w:r>
      <w:r>
        <w:rPr>
          <w:rFonts w:hint="eastAsia" w:ascii="仿宋" w:hAnsi="仿宋" w:eastAsia="仿宋" w:cs="仿宋"/>
          <w:spacing w:val="18"/>
          <w:sz w:val="31"/>
          <w:szCs w:val="31"/>
          <w:lang w:val="en-US" w:eastAsia="zh-CN"/>
        </w:rPr>
        <w:t>10426</w:t>
      </w:r>
      <w:r>
        <w:rPr>
          <w:rFonts w:hint="eastAsia" w:ascii="仿宋" w:hAnsi="仿宋" w:eastAsia="仿宋" w:cs="仿宋"/>
          <w:spacing w:val="18"/>
          <w:sz w:val="31"/>
          <w:szCs w:val="31"/>
          <w:lang w:val="en-US"/>
        </w:rPr>
        <w:t>人，教职工</w:t>
      </w:r>
      <w:r>
        <w:rPr>
          <w:rFonts w:hint="eastAsia" w:ascii="仿宋" w:hAnsi="仿宋" w:eastAsia="仿宋" w:cs="仿宋"/>
          <w:spacing w:val="18"/>
          <w:sz w:val="31"/>
          <w:szCs w:val="31"/>
          <w:lang w:val="en-US" w:eastAsia="zh-CN"/>
        </w:rPr>
        <w:t>541</w:t>
      </w:r>
      <w:r>
        <w:rPr>
          <w:rFonts w:hint="eastAsia" w:ascii="仿宋" w:hAnsi="仿宋" w:eastAsia="仿宋" w:cs="仿宋"/>
          <w:spacing w:val="18"/>
          <w:sz w:val="31"/>
          <w:szCs w:val="31"/>
          <w:lang w:val="en-US"/>
        </w:rPr>
        <w:t>人，其中专任教师427人，专任教师高级职称占比达到35.4%</w:t>
      </w:r>
      <w:r>
        <w:rPr>
          <w:rFonts w:hint="eastAsia" w:ascii="仿宋" w:hAnsi="仿宋" w:eastAsia="仿宋" w:cs="仿宋"/>
          <w:spacing w:val="18"/>
          <w:sz w:val="31"/>
          <w:szCs w:val="31"/>
          <w:lang w:val="en-US" w:eastAsia="zh-CN"/>
        </w:rPr>
        <w:t>，</w:t>
      </w:r>
      <w:r>
        <w:rPr>
          <w:rFonts w:hint="eastAsia" w:ascii="仿宋" w:hAnsi="仿宋" w:eastAsia="仿宋" w:cs="仿宋"/>
          <w:spacing w:val="18"/>
          <w:sz w:val="31"/>
          <w:szCs w:val="31"/>
          <w:lang w:val="en-US"/>
        </w:rPr>
        <w:t>中青年教师基本具有博士或硕士学位。设有湘菜学院、湘商学院、湘旅学院、会计金融学院、文化创意学院、软件学院、马克思主义学院、公共课教学部、</w:t>
      </w:r>
      <w:r>
        <w:rPr>
          <w:rFonts w:hint="eastAsia" w:ascii="仿宋" w:hAnsi="仿宋" w:eastAsia="仿宋" w:cs="仿宋"/>
          <w:spacing w:val="18"/>
          <w:sz w:val="31"/>
          <w:szCs w:val="31"/>
          <w:lang w:val="en-US" w:eastAsia="zh-CN"/>
        </w:rPr>
        <w:t>继续教育培训学院</w:t>
      </w:r>
      <w:r>
        <w:rPr>
          <w:rFonts w:hint="eastAsia" w:ascii="仿宋" w:hAnsi="仿宋" w:eastAsia="仿宋" w:cs="仿宋"/>
          <w:spacing w:val="18"/>
          <w:sz w:val="31"/>
          <w:szCs w:val="31"/>
          <w:lang w:val="en-US"/>
        </w:rPr>
        <w:t>、</w:t>
      </w:r>
      <w:r>
        <w:rPr>
          <w:rFonts w:hint="eastAsia" w:ascii="仿宋" w:hAnsi="仿宋" w:eastAsia="仿宋" w:cs="仿宋"/>
          <w:spacing w:val="18"/>
          <w:sz w:val="31"/>
          <w:szCs w:val="31"/>
          <w:lang w:val="en-US" w:eastAsia="zh-CN"/>
        </w:rPr>
        <w:t>创业就业指导中心</w:t>
      </w:r>
      <w:r>
        <w:rPr>
          <w:rFonts w:hint="eastAsia" w:ascii="仿宋" w:hAnsi="仿宋" w:eastAsia="仿宋" w:cs="仿宋"/>
          <w:spacing w:val="18"/>
          <w:sz w:val="31"/>
          <w:szCs w:val="31"/>
          <w:lang w:val="en-US"/>
        </w:rPr>
        <w:t>等10个教学部门，并设有</w:t>
      </w:r>
      <w:r>
        <w:rPr>
          <w:rFonts w:hint="eastAsia" w:ascii="仿宋" w:hAnsi="仿宋" w:eastAsia="仿宋" w:cs="仿宋"/>
          <w:spacing w:val="18"/>
          <w:sz w:val="31"/>
          <w:szCs w:val="31"/>
          <w:lang w:val="en-US" w:eastAsia="zh-CN"/>
        </w:rPr>
        <w:t>长沙市社科研究基地、长沙市统战理论研究基地、红色文化育人研究院、乡村振兴研究中心等</w:t>
      </w:r>
      <w:r>
        <w:rPr>
          <w:rFonts w:hint="eastAsia" w:ascii="仿宋" w:hAnsi="仿宋" w:eastAsia="仿宋" w:cs="仿宋"/>
          <w:spacing w:val="18"/>
          <w:sz w:val="31"/>
          <w:szCs w:val="31"/>
          <w:lang w:val="en-US"/>
        </w:rPr>
        <w:t>研究</w:t>
      </w:r>
      <w:r>
        <w:rPr>
          <w:rFonts w:hint="eastAsia" w:ascii="仿宋" w:hAnsi="仿宋" w:eastAsia="仿宋" w:cs="仿宋"/>
          <w:spacing w:val="18"/>
          <w:sz w:val="31"/>
          <w:szCs w:val="31"/>
          <w:lang w:val="en-US" w:eastAsia="zh-CN"/>
        </w:rPr>
        <w:t>机构</w:t>
      </w:r>
      <w:r>
        <w:rPr>
          <w:rFonts w:hint="eastAsia" w:ascii="仿宋" w:hAnsi="仿宋" w:eastAsia="仿宋" w:cs="仿宋"/>
          <w:spacing w:val="18"/>
          <w:sz w:val="31"/>
          <w:szCs w:val="31"/>
          <w:lang w:val="en-US"/>
        </w:rPr>
        <w:t>。开设有31个专业，构建</w:t>
      </w:r>
      <w:r>
        <w:rPr>
          <w:rFonts w:hint="eastAsia" w:ascii="仿宋" w:hAnsi="仿宋" w:eastAsia="仿宋" w:cs="仿宋"/>
          <w:spacing w:val="18"/>
          <w:sz w:val="31"/>
          <w:szCs w:val="31"/>
          <w:lang w:val="en-US" w:eastAsia="zh-CN"/>
        </w:rPr>
        <w:t>了</w:t>
      </w:r>
      <w:r>
        <w:rPr>
          <w:rFonts w:hint="eastAsia" w:ascii="仿宋" w:hAnsi="仿宋" w:eastAsia="仿宋" w:cs="仿宋"/>
          <w:spacing w:val="18"/>
          <w:sz w:val="31"/>
          <w:szCs w:val="31"/>
          <w:lang w:val="en-US"/>
        </w:rPr>
        <w:t>“1+6”专业群体系（即以“餐旅会”专业群为重点，包括湘菜产业专业群、旅游服务业专业群、电子商务专业群、现代金融业专业群、文化创意专业群和软件技术专业群），形成了“湘菜特色、高端会务、智慧旅游、品牌会展”四大职业教育高端办学形态，深度对接以长沙区域为核心、覆盖湖南省、面向全国的餐饮、旅游、会展和现代金融商贸服务业的高端发展需求，为建设幸福长沙提供了人才支撑和智力支撑。</w:t>
      </w:r>
    </w:p>
    <w:p>
      <w:pPr>
        <w:spacing w:before="229" w:line="357" w:lineRule="auto"/>
        <w:ind w:left="5" w:right="186" w:firstLine="640"/>
        <w:rPr>
          <w:rFonts w:hint="eastAsia" w:ascii="仿宋" w:hAnsi="仿宋" w:eastAsia="仿宋" w:cs="仿宋"/>
          <w:spacing w:val="18"/>
          <w:sz w:val="31"/>
          <w:szCs w:val="31"/>
          <w:lang w:val="en-US"/>
        </w:rPr>
      </w:pPr>
      <w:r>
        <w:rPr>
          <w:rFonts w:hint="eastAsia" w:ascii="仿宋" w:hAnsi="仿宋" w:eastAsia="仿宋" w:cs="仿宋"/>
          <w:spacing w:val="18"/>
          <w:sz w:val="31"/>
          <w:szCs w:val="31"/>
          <w:lang w:val="en-US" w:eastAsia="zh-CN"/>
        </w:rPr>
        <w:t>学校</w:t>
      </w:r>
      <w:r>
        <w:rPr>
          <w:rFonts w:hint="eastAsia" w:ascii="仿宋" w:hAnsi="仿宋" w:eastAsia="仿宋" w:cs="仿宋"/>
          <w:spacing w:val="18"/>
          <w:sz w:val="31"/>
          <w:szCs w:val="31"/>
          <w:lang w:val="en-US"/>
        </w:rPr>
        <w:t>坚持以党的建设为引领，全面落实立德树人的根本任务，人才培养质量、社会声誉、办学水平得到社会的广泛认可。</w:t>
      </w:r>
      <w:r>
        <w:rPr>
          <w:rFonts w:hint="eastAsia" w:ascii="仿宋" w:hAnsi="仿宋" w:eastAsia="仿宋" w:cs="仿宋"/>
          <w:spacing w:val="18"/>
          <w:sz w:val="31"/>
          <w:szCs w:val="31"/>
          <w:lang w:val="en-US" w:eastAsia="zh-CN"/>
        </w:rPr>
        <w:t>学校是湖南省党建工作示范校，</w:t>
      </w:r>
      <w:r>
        <w:rPr>
          <w:rFonts w:hint="eastAsia" w:ascii="仿宋" w:hAnsi="仿宋" w:eastAsia="仿宋" w:cs="仿宋"/>
          <w:spacing w:val="18"/>
          <w:sz w:val="31"/>
          <w:szCs w:val="31"/>
          <w:lang w:val="en-US"/>
        </w:rPr>
        <w:t>拥有全国“党建工作样板支部”1个，省“党建工作标杆院系”1个、“样板支部”</w:t>
      </w:r>
      <w:r>
        <w:rPr>
          <w:rFonts w:hint="eastAsia" w:ascii="仿宋" w:hAnsi="仿宋" w:eastAsia="仿宋" w:cs="仿宋"/>
          <w:spacing w:val="18"/>
          <w:sz w:val="31"/>
          <w:szCs w:val="31"/>
          <w:lang w:val="en-US" w:eastAsia="zh-CN"/>
        </w:rPr>
        <w:t>2</w:t>
      </w:r>
      <w:r>
        <w:rPr>
          <w:rFonts w:hint="eastAsia" w:ascii="仿宋" w:hAnsi="仿宋" w:eastAsia="仿宋" w:cs="仿宋"/>
          <w:spacing w:val="18"/>
          <w:sz w:val="31"/>
          <w:szCs w:val="31"/>
          <w:lang w:val="en-US"/>
        </w:rPr>
        <w:t>个、工人先锋号1个、“党员示范岗”</w:t>
      </w:r>
      <w:r>
        <w:rPr>
          <w:rFonts w:hint="eastAsia" w:ascii="仿宋" w:hAnsi="仿宋" w:eastAsia="仿宋" w:cs="仿宋"/>
          <w:spacing w:val="18"/>
          <w:sz w:val="31"/>
          <w:szCs w:val="31"/>
          <w:lang w:val="en-US" w:eastAsia="zh-CN"/>
        </w:rPr>
        <w:t>3</w:t>
      </w:r>
      <w:r>
        <w:rPr>
          <w:rFonts w:hint="eastAsia" w:ascii="仿宋" w:hAnsi="仿宋" w:eastAsia="仿宋" w:cs="仿宋"/>
          <w:spacing w:val="18"/>
          <w:sz w:val="31"/>
          <w:szCs w:val="31"/>
          <w:lang w:val="en-US"/>
        </w:rPr>
        <w:t>个、“党务工作示范岗”2个</w:t>
      </w:r>
      <w:r>
        <w:rPr>
          <w:rFonts w:hint="eastAsia" w:ascii="仿宋" w:hAnsi="仿宋" w:eastAsia="仿宋" w:cs="仿宋"/>
          <w:spacing w:val="18"/>
          <w:sz w:val="31"/>
          <w:szCs w:val="31"/>
          <w:lang w:val="en-US" w:eastAsia="zh-CN"/>
        </w:rPr>
        <w:t>、“双带头人标兵”1个、“青年教工党员示范岗”1个</w:t>
      </w:r>
      <w:r>
        <w:rPr>
          <w:rFonts w:hint="eastAsia" w:ascii="仿宋" w:hAnsi="仿宋" w:eastAsia="仿宋" w:cs="仿宋"/>
          <w:spacing w:val="18"/>
          <w:sz w:val="31"/>
          <w:szCs w:val="31"/>
          <w:lang w:val="en-US"/>
        </w:rPr>
        <w:t>。省教育系统“先进基层党组织”1个。</w:t>
      </w:r>
      <w:r>
        <w:rPr>
          <w:rFonts w:hint="eastAsia" w:ascii="仿宋" w:hAnsi="仿宋" w:eastAsia="仿宋" w:cs="仿宋"/>
          <w:spacing w:val="18"/>
          <w:sz w:val="31"/>
          <w:szCs w:val="31"/>
          <w:lang w:val="en-US" w:eastAsia="zh-CN"/>
        </w:rPr>
        <w:t>学校拥有</w:t>
      </w:r>
      <w:r>
        <w:rPr>
          <w:rFonts w:hint="eastAsia" w:ascii="仿宋" w:hAnsi="仿宋" w:eastAsia="仿宋" w:cs="仿宋"/>
          <w:spacing w:val="18"/>
          <w:sz w:val="31"/>
          <w:szCs w:val="31"/>
          <w:lang w:val="en-US"/>
        </w:rPr>
        <w:t>国家级会展策划与管理专业教学资源库</w:t>
      </w:r>
      <w:r>
        <w:rPr>
          <w:rFonts w:hint="eastAsia" w:ascii="仿宋" w:hAnsi="仿宋" w:eastAsia="仿宋" w:cs="仿宋"/>
          <w:spacing w:val="18"/>
          <w:sz w:val="31"/>
          <w:szCs w:val="31"/>
          <w:lang w:val="en-US" w:eastAsia="zh-CN"/>
        </w:rPr>
        <w:t>，是</w:t>
      </w:r>
      <w:r>
        <w:rPr>
          <w:rFonts w:hint="eastAsia" w:ascii="仿宋" w:hAnsi="仿宋" w:eastAsia="仿宋" w:cs="仿宋"/>
          <w:spacing w:val="18"/>
          <w:sz w:val="31"/>
          <w:szCs w:val="31"/>
          <w:lang w:val="en-US"/>
        </w:rPr>
        <w:t>全国现代学徒制试点单位、国家“双师型”教师培养培训基地、国家现代服务业应用技术协同创新中心、国家示范性职教集团（湖南商贸旅游职教集团）、全国职业院校数字校园建设样板校。餐饮智能管理专业群立项为国家高水平专业群，餐饮智能管理专业群、大数据与会计专业群、电子商务专业群3个专业群入选楚怡高水平高职专业群。烹调工艺与营养、会计、旅游管理、会展策划与管理、市场营销</w:t>
      </w:r>
      <w:r>
        <w:rPr>
          <w:rFonts w:hint="eastAsia" w:ascii="仿宋" w:hAnsi="仿宋" w:eastAsia="仿宋" w:cs="仿宋"/>
          <w:spacing w:val="18"/>
          <w:sz w:val="31"/>
          <w:szCs w:val="31"/>
          <w:lang w:val="en-US" w:eastAsia="zh-CN"/>
        </w:rPr>
        <w:t>5</w:t>
      </w:r>
      <w:r>
        <w:rPr>
          <w:rFonts w:hint="eastAsia" w:ascii="仿宋" w:hAnsi="仿宋" w:eastAsia="仿宋" w:cs="仿宋"/>
          <w:spacing w:val="18"/>
          <w:sz w:val="31"/>
          <w:szCs w:val="31"/>
          <w:lang w:val="en-US"/>
        </w:rPr>
        <w:t>个专业被认定为国家骨干专业。近三年，获国家级教学成果奖1项，省级教学成果奖12项，其中省级教学成果特等奖2项。教师获国家级、省级职业能力和信息化比赛奖项35项，其中一等奖14项。</w:t>
      </w:r>
    </w:p>
    <w:p>
      <w:pPr>
        <w:spacing w:before="229" w:line="357" w:lineRule="auto"/>
        <w:ind w:left="5" w:right="186" w:firstLine="640"/>
        <w:rPr>
          <w:rFonts w:hint="eastAsia" w:ascii="仿宋" w:hAnsi="仿宋" w:eastAsia="仿宋" w:cs="仿宋"/>
          <w:spacing w:val="18"/>
          <w:sz w:val="31"/>
          <w:szCs w:val="31"/>
          <w:lang w:val="en-US"/>
        </w:rPr>
      </w:pPr>
      <w:r>
        <w:rPr>
          <w:rFonts w:hint="eastAsia" w:ascii="仿宋" w:hAnsi="仿宋" w:eastAsia="仿宋" w:cs="仿宋"/>
          <w:spacing w:val="18"/>
          <w:sz w:val="31"/>
          <w:szCs w:val="31"/>
          <w:lang w:val="en-US"/>
        </w:rPr>
        <w:t>近年来，学校不断深化产教融合、校企合作，深度对接现代服务业办专业。学校陆续与世界500强企业京东集团在校成立京东·湘商学院，与京东集团共同运营微商事业部；建成了长沙市现代服务业公共实训基地，成立了中国（长沙）跨境电商综试区人才孵化基地；成立湖南湘菜产业学院，开发湘菜标准135个、湘菜新品和主题宴席产品655个；与华为技术有限公司共建华为云大数据产业学院，助力长沙建设国家重要先进制造业高地。先后对口帮扶吐鲁番职业技术学院和资兴市职业中专学校等5所院校，深得好评。师生连续6年服务全国“两会”的代表、委员，多次参加省市高端会务工作，均获得充分肯定，得到了国家级、省级主流媒体的广泛报道。学校毕业生就业率、就业质量均高于同类高校，历年毕业生初次就业率稳定在90%以上，本市就业率60%以上，用人单位满意度95%以上。学生在各级各类竞赛中获省级以上奖励192项，其中国家级9项，省级183项，获奖数在省内高职院校中名列前茅。学校在省教育厅组织的人才培养方案、学生专业技能、毕业生毕业设计等三大抽查中，均获得优异成绩。学校获评全国第六届黄炎培职业教育优秀学校奖，连续五届被授予普通高校就业创业工作“一把手工程”督查优秀单位</w:t>
      </w:r>
      <w:r>
        <w:rPr>
          <w:rFonts w:hint="eastAsia" w:ascii="仿宋" w:hAnsi="仿宋" w:eastAsia="仿宋" w:cs="仿宋"/>
          <w:spacing w:val="18"/>
          <w:sz w:val="31"/>
          <w:szCs w:val="31"/>
          <w:lang w:val="en-US" w:eastAsia="zh-CN"/>
        </w:rPr>
        <w:t>，</w:t>
      </w:r>
      <w:r>
        <w:rPr>
          <w:rFonts w:hint="eastAsia" w:ascii="仿宋" w:hAnsi="仿宋" w:eastAsia="仿宋" w:cs="仿宋"/>
          <w:spacing w:val="18"/>
          <w:sz w:val="31"/>
          <w:szCs w:val="31"/>
          <w:lang w:val="en-US"/>
        </w:rPr>
        <w:t>创业孵化基地被评为湖南省大学生创新创业示范孵化基地、省创新创业带动就业示范基地等。</w:t>
      </w:r>
    </w:p>
    <w:p>
      <w:pPr>
        <w:spacing w:before="229" w:line="357" w:lineRule="auto"/>
        <w:ind w:left="5" w:right="186" w:firstLine="640"/>
        <w:rPr>
          <w:rFonts w:hint="eastAsia" w:ascii="仿宋" w:hAnsi="仿宋" w:eastAsia="仿宋" w:cs="仿宋"/>
          <w:spacing w:val="18"/>
          <w:sz w:val="31"/>
          <w:szCs w:val="31"/>
          <w:lang w:val="en-US" w:eastAsia="zh-CN"/>
        </w:rPr>
      </w:pPr>
      <w:r>
        <w:rPr>
          <w:rFonts w:hint="eastAsia" w:ascii="仿宋" w:hAnsi="仿宋" w:eastAsia="仿宋" w:cs="仿宋"/>
          <w:spacing w:val="18"/>
          <w:sz w:val="31"/>
          <w:szCs w:val="31"/>
          <w:lang w:val="en-US" w:eastAsia="zh-CN"/>
        </w:rPr>
        <w:t>2022年10月，学校第一次党代会明确提出今后五年跻身全国百强校的奋斗目标。为此，学校</w:t>
      </w:r>
      <w:r>
        <w:rPr>
          <w:rFonts w:hint="eastAsia" w:ascii="仿宋" w:hAnsi="仿宋" w:eastAsia="仿宋" w:cs="仿宋"/>
          <w:spacing w:val="18"/>
          <w:sz w:val="31"/>
          <w:szCs w:val="31"/>
          <w:lang w:val="en-US"/>
        </w:rPr>
        <w:t>将坚持以习近平新时代中国特色社会主义思想为指导，深入贯彻党的</w:t>
      </w:r>
      <w:bookmarkStart w:id="0" w:name="_GoBack"/>
      <w:bookmarkEnd w:id="0"/>
      <w:r>
        <w:rPr>
          <w:rFonts w:hint="eastAsia" w:ascii="仿宋" w:hAnsi="仿宋" w:eastAsia="仿宋" w:cs="仿宋"/>
          <w:spacing w:val="18"/>
          <w:sz w:val="31"/>
          <w:szCs w:val="31"/>
          <w:lang w:val="en-US"/>
        </w:rPr>
        <w:t>二十大精神及全国、全省职业教育大会精神，主动抬高坐标，奋勇争先，</w:t>
      </w:r>
      <w:r>
        <w:rPr>
          <w:rFonts w:hint="eastAsia" w:ascii="仿宋" w:hAnsi="仿宋" w:eastAsia="仿宋" w:cs="仿宋"/>
          <w:spacing w:val="18"/>
          <w:sz w:val="31"/>
          <w:szCs w:val="31"/>
          <w:lang w:val="en-US" w:eastAsia="zh-CN"/>
        </w:rPr>
        <w:t>在</w:t>
      </w:r>
      <w:r>
        <w:rPr>
          <w:rFonts w:hint="eastAsia" w:ascii="仿宋" w:hAnsi="仿宋" w:eastAsia="仿宋" w:cs="仿宋"/>
          <w:spacing w:val="18"/>
          <w:sz w:val="31"/>
          <w:szCs w:val="31"/>
          <w:lang w:val="en-US"/>
        </w:rPr>
        <w:t>全面</w:t>
      </w:r>
      <w:r>
        <w:rPr>
          <w:rFonts w:hint="eastAsia" w:ascii="仿宋" w:hAnsi="仿宋" w:eastAsia="仿宋" w:cs="仿宋"/>
          <w:spacing w:val="18"/>
          <w:sz w:val="31"/>
          <w:szCs w:val="31"/>
          <w:lang w:val="en-US" w:eastAsia="zh-CN"/>
        </w:rPr>
        <w:t>服务</w:t>
      </w:r>
      <w:r>
        <w:rPr>
          <w:rFonts w:hint="eastAsia" w:ascii="仿宋" w:hAnsi="仿宋" w:eastAsia="仿宋" w:cs="仿宋"/>
          <w:spacing w:val="18"/>
          <w:sz w:val="31"/>
          <w:szCs w:val="31"/>
          <w:lang w:val="en-US"/>
        </w:rPr>
        <w:t>“三高四新”战略定位和使命任务、</w:t>
      </w:r>
      <w:r>
        <w:rPr>
          <w:rFonts w:hint="eastAsia" w:ascii="仿宋" w:hAnsi="仿宋" w:eastAsia="仿宋" w:cs="仿宋"/>
          <w:spacing w:val="18"/>
          <w:sz w:val="31"/>
          <w:szCs w:val="31"/>
          <w:lang w:val="en-US" w:eastAsia="zh-CN"/>
        </w:rPr>
        <w:t>大力</w:t>
      </w:r>
      <w:r>
        <w:rPr>
          <w:rFonts w:hint="eastAsia" w:ascii="仿宋" w:hAnsi="仿宋" w:eastAsia="仿宋" w:cs="仿宋"/>
          <w:spacing w:val="18"/>
          <w:sz w:val="31"/>
          <w:szCs w:val="31"/>
          <w:lang w:val="en-US"/>
        </w:rPr>
        <w:t>实施“强省会”战略</w:t>
      </w:r>
      <w:r>
        <w:rPr>
          <w:rFonts w:hint="eastAsia" w:ascii="仿宋" w:hAnsi="仿宋" w:eastAsia="仿宋" w:cs="仿宋"/>
          <w:spacing w:val="18"/>
          <w:sz w:val="31"/>
          <w:szCs w:val="31"/>
          <w:lang w:val="en-US" w:eastAsia="zh-CN"/>
        </w:rPr>
        <w:t>中实现高质量发展，</w:t>
      </w:r>
      <w:r>
        <w:rPr>
          <w:rFonts w:hint="eastAsia" w:ascii="仿宋" w:hAnsi="仿宋" w:eastAsia="仿宋" w:cs="仿宋"/>
          <w:spacing w:val="18"/>
          <w:sz w:val="31"/>
          <w:szCs w:val="31"/>
          <w:lang w:val="en-US"/>
        </w:rPr>
        <w:t>着力培养更多优质的高素质技术技能人才，为建设现代化新长沙提供全方位人才和技能支撑</w:t>
      </w:r>
      <w:r>
        <w:rPr>
          <w:rFonts w:hint="eastAsia" w:ascii="仿宋" w:hAnsi="仿宋" w:eastAsia="仿宋" w:cs="仿宋"/>
          <w:spacing w:val="18"/>
          <w:sz w:val="31"/>
          <w:szCs w:val="31"/>
          <w:lang w:val="en-US" w:eastAsia="zh-CN"/>
        </w:rPr>
        <w:t>，实现学校的再次跃升。</w:t>
      </w:r>
    </w:p>
    <w:p>
      <w:pPr>
        <w:spacing w:before="228" w:line="221" w:lineRule="auto"/>
        <w:ind w:left="637"/>
        <w:rPr>
          <w:rFonts w:ascii="楷体" w:hAnsi="楷体" w:eastAsia="楷体" w:cs="楷体"/>
          <w:sz w:val="31"/>
          <w:szCs w:val="31"/>
        </w:rPr>
      </w:pPr>
      <w:r>
        <w:rPr>
          <w:rFonts w:ascii="楷体" w:hAnsi="楷体" w:eastAsia="楷体" w:cs="楷体"/>
          <w:spacing w:val="18"/>
          <w:sz w:val="31"/>
          <w:szCs w:val="31"/>
          <w14:textOutline w14:w="5791" w14:cap="sq" w14:cmpd="sng" w14:algn="ctr">
            <w14:solidFill>
              <w14:srgbClr w14:val="000000"/>
            </w14:solidFill>
            <w14:prstDash w14:val="solid"/>
            <w14:bevel/>
          </w14:textOutline>
        </w:rPr>
        <w:t>(</w:t>
      </w:r>
      <w:r>
        <w:rPr>
          <w:rFonts w:ascii="楷体" w:hAnsi="楷体" w:eastAsia="楷体" w:cs="楷体"/>
          <w:spacing w:val="14"/>
          <w:sz w:val="31"/>
          <w:szCs w:val="31"/>
          <w14:textOutline w14:w="5791" w14:cap="sq" w14:cmpd="sng" w14:algn="ctr">
            <w14:solidFill>
              <w14:srgbClr w14:val="000000"/>
            </w14:solidFill>
            <w14:prstDash w14:val="solid"/>
            <w14:bevel/>
          </w14:textOutline>
        </w:rPr>
        <w:t>二</w:t>
      </w:r>
      <w:r>
        <w:rPr>
          <w:rFonts w:ascii="楷体" w:hAnsi="楷体" w:eastAsia="楷体" w:cs="楷体"/>
          <w:spacing w:val="9"/>
          <w:sz w:val="31"/>
          <w:szCs w:val="31"/>
          <w14:textOutline w14:w="5791" w14:cap="sq" w14:cmpd="sng" w14:algn="ctr">
            <w14:solidFill>
              <w14:srgbClr w14:val="000000"/>
            </w14:solidFill>
            <w14:prstDash w14:val="solid"/>
            <w14:bevel/>
          </w14:textOutline>
        </w:rPr>
        <w:t>)</w:t>
      </w:r>
      <w:r>
        <w:rPr>
          <w:rFonts w:ascii="楷体" w:hAnsi="楷体" w:eastAsia="楷体" w:cs="楷体"/>
          <w:spacing w:val="9"/>
          <w:sz w:val="31"/>
          <w:szCs w:val="31"/>
        </w:rPr>
        <w:t xml:space="preserve"> </w:t>
      </w:r>
      <w:r>
        <w:rPr>
          <w:rFonts w:ascii="楷体" w:hAnsi="楷体" w:eastAsia="楷体" w:cs="楷体"/>
          <w:spacing w:val="9"/>
          <w:sz w:val="31"/>
          <w:szCs w:val="31"/>
          <w14:textOutline w14:w="5791" w14:cap="sq" w14:cmpd="sng" w14:algn="ctr">
            <w14:solidFill>
              <w14:srgbClr w14:val="000000"/>
            </w14:solidFill>
            <w14:prstDash w14:val="solid"/>
            <w14:bevel/>
          </w14:textOutline>
        </w:rPr>
        <w:t>部门</w:t>
      </w:r>
      <w:r>
        <w:rPr>
          <w:rFonts w:ascii="楷体" w:hAnsi="楷体" w:eastAsia="楷体" w:cs="楷体"/>
          <w:spacing w:val="9"/>
          <w:sz w:val="31"/>
          <w:szCs w:val="31"/>
        </w:rPr>
        <w:t xml:space="preserve"> </w:t>
      </w:r>
      <w:r>
        <w:rPr>
          <w:rFonts w:ascii="楷体" w:hAnsi="楷体" w:eastAsia="楷体" w:cs="楷体"/>
          <w:spacing w:val="9"/>
          <w:sz w:val="31"/>
          <w:szCs w:val="31"/>
          <w14:textOutline w14:w="5791" w14:cap="sq" w14:cmpd="sng" w14:algn="ctr">
            <w14:solidFill>
              <w14:srgbClr w14:val="000000"/>
            </w14:solidFill>
            <w14:prstDash w14:val="solid"/>
            <w14:bevel/>
          </w14:textOutline>
        </w:rPr>
        <w:t>(单位)</w:t>
      </w:r>
      <w:r>
        <w:rPr>
          <w:rFonts w:ascii="楷体" w:hAnsi="楷体" w:eastAsia="楷体" w:cs="楷体"/>
          <w:spacing w:val="9"/>
          <w:sz w:val="31"/>
          <w:szCs w:val="31"/>
        </w:rPr>
        <w:t xml:space="preserve"> </w:t>
      </w:r>
      <w:r>
        <w:rPr>
          <w:rFonts w:ascii="楷体" w:hAnsi="楷体" w:eastAsia="楷体" w:cs="楷体"/>
          <w:spacing w:val="9"/>
          <w:sz w:val="31"/>
          <w:szCs w:val="31"/>
          <w14:textOutline w14:w="5791" w14:cap="sq" w14:cmpd="sng" w14:algn="ctr">
            <w14:solidFill>
              <w14:srgbClr w14:val="000000"/>
            </w14:solidFill>
            <w14:prstDash w14:val="solid"/>
            <w14:bevel/>
          </w14:textOutline>
        </w:rPr>
        <w:t>整体支出规模、使用方向和主要内容、</w:t>
      </w:r>
    </w:p>
    <w:p>
      <w:pPr>
        <w:spacing w:before="229" w:line="222" w:lineRule="auto"/>
        <w:ind w:left="23"/>
        <w:rPr>
          <w:rFonts w:ascii="楷体" w:hAnsi="楷体" w:eastAsia="楷体" w:cs="楷体"/>
          <w:spacing w:val="3"/>
          <w:sz w:val="31"/>
          <w:szCs w:val="31"/>
          <w14:textOutline w14:w="5791" w14:cap="sq" w14:cmpd="sng" w14:algn="ctr">
            <w14:solidFill>
              <w14:srgbClr w14:val="000000"/>
            </w14:solidFill>
            <w14:prstDash w14:val="solid"/>
            <w14:bevel/>
          </w14:textOutline>
        </w:rPr>
      </w:pPr>
      <w:r>
        <w:rPr>
          <w:rFonts w:ascii="楷体" w:hAnsi="楷体" w:eastAsia="楷体" w:cs="楷体"/>
          <w:spacing w:val="6"/>
          <w:sz w:val="31"/>
          <w:szCs w:val="31"/>
          <w14:textOutline w14:w="5791" w14:cap="sq" w14:cmpd="sng" w14:algn="ctr">
            <w14:solidFill>
              <w14:srgbClr w14:val="000000"/>
            </w14:solidFill>
            <w14:prstDash w14:val="solid"/>
            <w14:bevel/>
          </w14:textOutline>
        </w:rPr>
        <w:t>涉</w:t>
      </w:r>
      <w:r>
        <w:rPr>
          <w:rFonts w:ascii="楷体" w:hAnsi="楷体" w:eastAsia="楷体" w:cs="楷体"/>
          <w:spacing w:val="3"/>
          <w:sz w:val="31"/>
          <w:szCs w:val="31"/>
          <w14:textOutline w14:w="5791" w14:cap="sq" w14:cmpd="sng" w14:algn="ctr">
            <w14:solidFill>
              <w14:srgbClr w14:val="000000"/>
            </w14:solidFill>
            <w14:prstDash w14:val="solid"/>
            <w14:bevel/>
          </w14:textOutline>
        </w:rPr>
        <w:t>及范围等。</w:t>
      </w:r>
    </w:p>
    <w:p>
      <w:pPr>
        <w:spacing w:before="229" w:line="357" w:lineRule="auto"/>
        <w:ind w:left="5" w:right="186" w:firstLine="640"/>
        <w:rPr>
          <w:rFonts w:hint="eastAsia" w:ascii="仿宋" w:hAnsi="仿宋" w:eastAsia="仿宋" w:cs="仿宋"/>
          <w:spacing w:val="18"/>
          <w:sz w:val="31"/>
          <w:szCs w:val="31"/>
        </w:rPr>
      </w:pPr>
      <w:r>
        <w:rPr>
          <w:rFonts w:hint="eastAsia" w:ascii="仿宋" w:hAnsi="仿宋" w:eastAsia="仿宋" w:cs="仿宋"/>
          <w:spacing w:val="18"/>
          <w:sz w:val="31"/>
          <w:szCs w:val="31"/>
          <w:lang w:val="en-US" w:eastAsia="zh-CN"/>
        </w:rPr>
        <w:t>1、</w:t>
      </w:r>
      <w:r>
        <w:rPr>
          <w:rFonts w:hint="eastAsia" w:ascii="仿宋" w:hAnsi="仿宋" w:eastAsia="仿宋" w:cs="仿宋"/>
          <w:spacing w:val="18"/>
          <w:sz w:val="31"/>
          <w:szCs w:val="31"/>
          <w:lang w:eastAsia="zh-CN"/>
        </w:rPr>
        <w:t>财政拨款支出决算情况。</w:t>
      </w:r>
    </w:p>
    <w:p>
      <w:pPr>
        <w:spacing w:before="229" w:line="357" w:lineRule="auto"/>
        <w:ind w:left="5" w:right="186" w:firstLine="640"/>
        <w:rPr>
          <w:rFonts w:hint="eastAsia" w:ascii="仿宋" w:hAnsi="仿宋" w:eastAsia="仿宋" w:cs="仿宋"/>
          <w:spacing w:val="18"/>
          <w:sz w:val="31"/>
          <w:szCs w:val="31"/>
        </w:rPr>
      </w:pPr>
      <w:r>
        <w:rPr>
          <w:rFonts w:hint="eastAsia" w:ascii="仿宋" w:hAnsi="仿宋" w:eastAsia="仿宋" w:cs="仿宋"/>
          <w:spacing w:val="18"/>
          <w:sz w:val="31"/>
          <w:szCs w:val="31"/>
          <w:lang w:val="en-US"/>
        </w:rPr>
        <w:t>2022</w:t>
      </w:r>
      <w:r>
        <w:rPr>
          <w:rFonts w:hint="eastAsia" w:ascii="仿宋" w:hAnsi="仿宋" w:eastAsia="仿宋" w:cs="仿宋"/>
          <w:spacing w:val="18"/>
          <w:sz w:val="31"/>
          <w:szCs w:val="31"/>
          <w:lang w:eastAsia="zh-CN"/>
        </w:rPr>
        <w:t>年度长沙商贸旅游职业技术学院一般公共预算财政拨款支出数为</w:t>
      </w:r>
      <w:r>
        <w:rPr>
          <w:rFonts w:hint="eastAsia" w:ascii="仿宋" w:hAnsi="仿宋" w:eastAsia="仿宋" w:cs="仿宋"/>
          <w:spacing w:val="18"/>
          <w:sz w:val="31"/>
          <w:szCs w:val="31"/>
          <w:lang w:val="en-US"/>
        </w:rPr>
        <w:t>14893.23</w:t>
      </w:r>
      <w:r>
        <w:rPr>
          <w:rFonts w:hint="eastAsia" w:ascii="仿宋" w:hAnsi="仿宋" w:eastAsia="仿宋" w:cs="仿宋"/>
          <w:spacing w:val="18"/>
          <w:sz w:val="31"/>
          <w:szCs w:val="31"/>
          <w:lang w:eastAsia="zh-CN"/>
        </w:rPr>
        <w:t>万元，</w:t>
      </w:r>
      <w:r>
        <w:rPr>
          <w:rFonts w:hint="eastAsia" w:ascii="仿宋" w:hAnsi="仿宋" w:eastAsia="仿宋" w:cs="仿宋"/>
          <w:spacing w:val="18"/>
          <w:sz w:val="31"/>
          <w:szCs w:val="31"/>
          <w:lang w:val="en-US"/>
        </w:rPr>
        <w:t>2021</w:t>
      </w:r>
      <w:r>
        <w:rPr>
          <w:rFonts w:hint="eastAsia" w:ascii="仿宋" w:hAnsi="仿宋" w:eastAsia="仿宋" w:cs="仿宋"/>
          <w:spacing w:val="18"/>
          <w:sz w:val="31"/>
          <w:szCs w:val="31"/>
          <w:lang w:eastAsia="zh-CN"/>
        </w:rPr>
        <w:t>年支出数为</w:t>
      </w:r>
      <w:r>
        <w:rPr>
          <w:rFonts w:hint="eastAsia" w:ascii="仿宋" w:hAnsi="仿宋" w:eastAsia="仿宋" w:cs="仿宋"/>
          <w:spacing w:val="18"/>
          <w:sz w:val="31"/>
          <w:szCs w:val="31"/>
          <w:lang w:val="en-US"/>
        </w:rPr>
        <w:t>15442.49</w:t>
      </w:r>
      <w:r>
        <w:rPr>
          <w:rFonts w:hint="eastAsia" w:ascii="仿宋" w:hAnsi="仿宋" w:eastAsia="仿宋" w:cs="仿宋"/>
          <w:spacing w:val="18"/>
          <w:sz w:val="31"/>
          <w:szCs w:val="31"/>
          <w:lang w:eastAsia="zh-CN"/>
        </w:rPr>
        <w:t>万元，本年支出较上年支出减少</w:t>
      </w:r>
      <w:r>
        <w:rPr>
          <w:rFonts w:hint="eastAsia" w:ascii="仿宋" w:hAnsi="仿宋" w:eastAsia="仿宋" w:cs="仿宋"/>
          <w:spacing w:val="18"/>
          <w:sz w:val="31"/>
          <w:szCs w:val="31"/>
          <w:lang w:val="en-US"/>
        </w:rPr>
        <w:t>549.26</w:t>
      </w:r>
      <w:r>
        <w:rPr>
          <w:rFonts w:hint="eastAsia" w:ascii="仿宋" w:hAnsi="仿宋" w:eastAsia="仿宋" w:cs="仿宋"/>
          <w:spacing w:val="18"/>
          <w:sz w:val="31"/>
          <w:szCs w:val="31"/>
          <w:lang w:eastAsia="zh-CN"/>
        </w:rPr>
        <w:t>万元，降幅</w:t>
      </w:r>
      <w:r>
        <w:rPr>
          <w:rFonts w:hint="eastAsia" w:ascii="仿宋" w:hAnsi="仿宋" w:eastAsia="仿宋" w:cs="仿宋"/>
          <w:spacing w:val="18"/>
          <w:sz w:val="31"/>
          <w:szCs w:val="31"/>
          <w:lang w:val="en-US"/>
        </w:rPr>
        <w:t>3.56%</w:t>
      </w:r>
      <w:r>
        <w:rPr>
          <w:rFonts w:hint="eastAsia" w:ascii="仿宋" w:hAnsi="仿宋" w:eastAsia="仿宋" w:cs="仿宋"/>
          <w:spacing w:val="18"/>
          <w:sz w:val="31"/>
          <w:szCs w:val="31"/>
          <w:lang w:eastAsia="zh-CN"/>
        </w:rPr>
        <w:t>，主要原因是我校落实财政政策，厉行节约，非必要不支出。</w:t>
      </w:r>
    </w:p>
    <w:p>
      <w:pPr>
        <w:spacing w:before="229" w:line="357" w:lineRule="auto"/>
        <w:ind w:left="5" w:right="186" w:firstLine="640"/>
        <w:rPr>
          <w:rFonts w:hint="eastAsia" w:ascii="仿宋" w:hAnsi="仿宋" w:eastAsia="仿宋" w:cs="仿宋"/>
          <w:spacing w:val="18"/>
          <w:sz w:val="31"/>
          <w:szCs w:val="31"/>
          <w:lang w:eastAsia="zh-CN"/>
        </w:rPr>
      </w:pPr>
      <w:r>
        <w:rPr>
          <w:rFonts w:hint="eastAsia" w:ascii="仿宋" w:hAnsi="仿宋" w:eastAsia="仿宋" w:cs="仿宋"/>
          <w:spacing w:val="18"/>
          <w:sz w:val="31"/>
          <w:szCs w:val="31"/>
          <w:lang w:val="en-US"/>
        </w:rPr>
        <w:t>2022</w:t>
      </w:r>
      <w:r>
        <w:rPr>
          <w:rFonts w:hint="eastAsia" w:ascii="仿宋" w:hAnsi="仿宋" w:eastAsia="仿宋" w:cs="仿宋"/>
          <w:spacing w:val="18"/>
          <w:sz w:val="31"/>
          <w:szCs w:val="31"/>
          <w:lang w:eastAsia="zh-CN"/>
        </w:rPr>
        <w:t>年度长沙商贸旅游职业技术学院一般公共预算财政拨款基本支出</w:t>
      </w:r>
      <w:r>
        <w:rPr>
          <w:rFonts w:hint="eastAsia" w:ascii="仿宋" w:hAnsi="仿宋" w:eastAsia="仿宋" w:cs="仿宋"/>
          <w:spacing w:val="18"/>
          <w:sz w:val="31"/>
          <w:szCs w:val="31"/>
          <w:lang w:val="en-US"/>
        </w:rPr>
        <w:t>11626.29</w:t>
      </w:r>
      <w:r>
        <w:rPr>
          <w:rFonts w:hint="eastAsia" w:ascii="仿宋" w:hAnsi="仿宋" w:eastAsia="仿宋" w:cs="仿宋"/>
          <w:spacing w:val="18"/>
          <w:sz w:val="31"/>
          <w:szCs w:val="31"/>
          <w:lang w:eastAsia="zh-CN"/>
        </w:rPr>
        <w:t>万元，占本年一般公共预算财政拨款支出的</w:t>
      </w:r>
      <w:r>
        <w:rPr>
          <w:rFonts w:hint="eastAsia" w:ascii="仿宋" w:hAnsi="仿宋" w:eastAsia="仿宋" w:cs="仿宋"/>
          <w:spacing w:val="18"/>
          <w:sz w:val="31"/>
          <w:szCs w:val="31"/>
          <w:lang w:val="en-US"/>
        </w:rPr>
        <w:t>78.06%</w:t>
      </w:r>
      <w:r>
        <w:rPr>
          <w:rFonts w:hint="eastAsia" w:ascii="仿宋" w:hAnsi="仿宋" w:eastAsia="仿宋" w:cs="仿宋"/>
          <w:spacing w:val="18"/>
          <w:sz w:val="31"/>
          <w:szCs w:val="31"/>
          <w:lang w:eastAsia="zh-CN"/>
        </w:rPr>
        <w:t>；一般公共预算财政拨款项目支出</w:t>
      </w:r>
      <w:r>
        <w:rPr>
          <w:rFonts w:hint="eastAsia" w:ascii="仿宋" w:hAnsi="仿宋" w:eastAsia="仿宋" w:cs="仿宋"/>
          <w:spacing w:val="18"/>
          <w:sz w:val="31"/>
          <w:szCs w:val="31"/>
          <w:lang w:val="en-US"/>
        </w:rPr>
        <w:t>3266.94</w:t>
      </w:r>
      <w:r>
        <w:rPr>
          <w:rFonts w:hint="eastAsia" w:ascii="仿宋" w:hAnsi="仿宋" w:eastAsia="仿宋" w:cs="仿宋"/>
          <w:spacing w:val="18"/>
          <w:sz w:val="31"/>
          <w:szCs w:val="31"/>
          <w:lang w:eastAsia="zh-CN"/>
        </w:rPr>
        <w:t>万元，占本年一般公共预算财政拨款支出的</w:t>
      </w:r>
      <w:r>
        <w:rPr>
          <w:rFonts w:hint="eastAsia" w:ascii="仿宋" w:hAnsi="仿宋" w:eastAsia="仿宋" w:cs="仿宋"/>
          <w:spacing w:val="18"/>
          <w:sz w:val="31"/>
          <w:szCs w:val="31"/>
          <w:lang w:val="en-US"/>
        </w:rPr>
        <w:t>21.94%</w:t>
      </w:r>
      <w:r>
        <w:rPr>
          <w:rFonts w:hint="eastAsia" w:ascii="仿宋" w:hAnsi="仿宋" w:eastAsia="仿宋" w:cs="仿宋"/>
          <w:spacing w:val="18"/>
          <w:sz w:val="31"/>
          <w:szCs w:val="31"/>
          <w:lang w:eastAsia="zh-CN"/>
        </w:rPr>
        <w:t>。</w:t>
      </w:r>
    </w:p>
    <w:p>
      <w:pPr>
        <w:spacing w:before="229" w:line="357" w:lineRule="auto"/>
        <w:ind w:left="5" w:right="186" w:firstLine="640"/>
        <w:rPr>
          <w:rFonts w:hint="eastAsia" w:ascii="仿宋" w:hAnsi="仿宋" w:eastAsia="仿宋" w:cs="仿宋"/>
          <w:spacing w:val="18"/>
          <w:sz w:val="31"/>
          <w:szCs w:val="31"/>
          <w:lang w:val="en-US" w:eastAsia="zh-CN"/>
        </w:rPr>
      </w:pPr>
    </w:p>
    <w:p>
      <w:pPr>
        <w:spacing w:before="229" w:line="357" w:lineRule="auto"/>
        <w:ind w:left="5" w:right="186" w:firstLine="640"/>
        <w:rPr>
          <w:rFonts w:hint="eastAsia" w:ascii="仿宋" w:hAnsi="仿宋" w:eastAsia="仿宋" w:cs="仿宋"/>
          <w:spacing w:val="18"/>
          <w:sz w:val="31"/>
          <w:szCs w:val="31"/>
          <w:lang w:val="en-US" w:eastAsia="zh-CN"/>
        </w:rPr>
      </w:pPr>
    </w:p>
    <w:p>
      <w:pPr>
        <w:spacing w:before="229" w:line="357" w:lineRule="auto"/>
        <w:ind w:left="5" w:right="186" w:firstLine="640"/>
        <w:rPr>
          <w:rFonts w:hint="eastAsia" w:ascii="仿宋" w:hAnsi="仿宋" w:eastAsia="仿宋" w:cs="仿宋"/>
          <w:spacing w:val="18"/>
          <w:sz w:val="31"/>
          <w:szCs w:val="31"/>
          <w:lang w:val="en-US" w:eastAsia="zh-CN"/>
        </w:rPr>
      </w:pPr>
      <w:r>
        <w:rPr>
          <w:rFonts w:hint="eastAsia" w:ascii="仿宋" w:hAnsi="仿宋" w:eastAsia="仿宋" w:cs="仿宋"/>
          <w:spacing w:val="18"/>
          <w:sz w:val="31"/>
          <w:szCs w:val="31"/>
          <w:lang w:val="en-US" w:eastAsia="zh-CN"/>
        </w:rPr>
        <w:t>2、</w:t>
      </w:r>
      <w:r>
        <w:rPr>
          <w:rFonts w:hint="eastAsia" w:ascii="仿宋" w:hAnsi="仿宋" w:eastAsia="仿宋" w:cs="仿宋"/>
          <w:spacing w:val="18"/>
          <w:sz w:val="31"/>
          <w:szCs w:val="31"/>
          <w:lang w:eastAsia="zh-CN"/>
        </w:rPr>
        <w:t>非财政拨款</w:t>
      </w:r>
      <w:r>
        <w:rPr>
          <w:rFonts w:hint="eastAsia" w:ascii="仿宋" w:hAnsi="仿宋" w:eastAsia="仿宋" w:cs="仿宋"/>
          <w:spacing w:val="18"/>
          <w:sz w:val="31"/>
          <w:szCs w:val="31"/>
          <w:lang w:val="en-US" w:eastAsia="zh-CN"/>
        </w:rPr>
        <w:t>支出</w:t>
      </w:r>
      <w:r>
        <w:rPr>
          <w:rFonts w:hint="eastAsia" w:ascii="仿宋" w:hAnsi="仿宋" w:eastAsia="仿宋" w:cs="仿宋"/>
          <w:spacing w:val="18"/>
          <w:sz w:val="31"/>
          <w:szCs w:val="31"/>
          <w:lang w:eastAsia="zh-CN"/>
        </w:rPr>
        <w:t>分析</w:t>
      </w:r>
    </w:p>
    <w:p>
      <w:pPr>
        <w:spacing w:before="229" w:line="357" w:lineRule="auto"/>
        <w:ind w:left="5" w:right="186" w:firstLine="640"/>
        <w:rPr>
          <w:rFonts w:hint="eastAsia" w:ascii="仿宋" w:hAnsi="仿宋" w:eastAsia="仿宋" w:cs="仿宋"/>
          <w:spacing w:val="18"/>
          <w:sz w:val="31"/>
          <w:szCs w:val="31"/>
        </w:rPr>
      </w:pPr>
      <w:r>
        <w:rPr>
          <w:rFonts w:hint="eastAsia" w:ascii="仿宋" w:hAnsi="仿宋" w:eastAsia="仿宋" w:cs="仿宋"/>
          <w:spacing w:val="18"/>
          <w:sz w:val="31"/>
          <w:szCs w:val="31"/>
          <w:lang w:eastAsia="zh-CN"/>
        </w:rPr>
        <w:t>我校的非财政拨款</w:t>
      </w:r>
      <w:r>
        <w:rPr>
          <w:rFonts w:hint="eastAsia" w:ascii="仿宋" w:hAnsi="仿宋" w:eastAsia="仿宋" w:cs="仿宋"/>
          <w:spacing w:val="18"/>
          <w:sz w:val="31"/>
          <w:szCs w:val="31"/>
          <w:lang w:val="en-US" w:eastAsia="zh-CN"/>
        </w:rPr>
        <w:t>收支</w:t>
      </w:r>
      <w:r>
        <w:rPr>
          <w:rFonts w:hint="eastAsia" w:ascii="仿宋" w:hAnsi="仿宋" w:eastAsia="仿宋" w:cs="仿宋"/>
          <w:spacing w:val="18"/>
          <w:sz w:val="31"/>
          <w:szCs w:val="31"/>
          <w:lang w:eastAsia="zh-CN"/>
        </w:rPr>
        <w:t>来源全部为事业收入，</w:t>
      </w:r>
      <w:r>
        <w:rPr>
          <w:rFonts w:hint="eastAsia" w:ascii="仿宋" w:hAnsi="仿宋" w:eastAsia="仿宋" w:cs="仿宋"/>
          <w:spacing w:val="18"/>
          <w:sz w:val="31"/>
          <w:szCs w:val="31"/>
          <w:lang w:val="en-US"/>
        </w:rPr>
        <w:t>2022</w:t>
      </w:r>
      <w:r>
        <w:rPr>
          <w:rFonts w:hint="eastAsia" w:ascii="仿宋" w:hAnsi="仿宋" w:eastAsia="仿宋" w:cs="仿宋"/>
          <w:spacing w:val="18"/>
          <w:sz w:val="31"/>
          <w:szCs w:val="31"/>
          <w:lang w:eastAsia="zh-CN"/>
        </w:rPr>
        <w:t>年的事业收入为</w:t>
      </w:r>
      <w:r>
        <w:rPr>
          <w:rFonts w:hint="eastAsia" w:ascii="仿宋" w:hAnsi="仿宋" w:eastAsia="仿宋" w:cs="仿宋"/>
          <w:spacing w:val="18"/>
          <w:sz w:val="31"/>
          <w:szCs w:val="31"/>
          <w:lang w:val="en-US"/>
        </w:rPr>
        <w:t>5672.21</w:t>
      </w:r>
      <w:r>
        <w:rPr>
          <w:rFonts w:hint="eastAsia" w:ascii="仿宋" w:hAnsi="仿宋" w:eastAsia="仿宋" w:cs="仿宋"/>
          <w:spacing w:val="18"/>
          <w:sz w:val="31"/>
          <w:szCs w:val="31"/>
          <w:lang w:eastAsia="zh-CN"/>
        </w:rPr>
        <w:t>万元。</w:t>
      </w:r>
      <w:r>
        <w:rPr>
          <w:rFonts w:hint="eastAsia" w:ascii="仿宋" w:hAnsi="仿宋" w:eastAsia="仿宋" w:cs="仿宋"/>
          <w:spacing w:val="18"/>
          <w:sz w:val="31"/>
          <w:szCs w:val="31"/>
          <w:lang w:val="en-US"/>
        </w:rPr>
        <w:t>2022</w:t>
      </w:r>
      <w:r>
        <w:rPr>
          <w:rFonts w:hint="eastAsia" w:ascii="仿宋" w:hAnsi="仿宋" w:eastAsia="仿宋" w:cs="仿宋"/>
          <w:spacing w:val="18"/>
          <w:sz w:val="31"/>
          <w:szCs w:val="31"/>
          <w:lang w:eastAsia="zh-CN"/>
        </w:rPr>
        <w:t>年度长沙商贸旅游职业技术学院事业支出数为</w:t>
      </w:r>
      <w:r>
        <w:rPr>
          <w:rFonts w:hint="eastAsia" w:ascii="仿宋" w:hAnsi="仿宋" w:eastAsia="仿宋" w:cs="仿宋"/>
          <w:spacing w:val="18"/>
          <w:sz w:val="31"/>
          <w:szCs w:val="31"/>
          <w:lang w:val="en-US"/>
        </w:rPr>
        <w:t>5672.21</w:t>
      </w:r>
      <w:r>
        <w:rPr>
          <w:rFonts w:hint="eastAsia" w:ascii="仿宋" w:hAnsi="仿宋" w:eastAsia="仿宋" w:cs="仿宋"/>
          <w:spacing w:val="18"/>
          <w:sz w:val="31"/>
          <w:szCs w:val="31"/>
          <w:lang w:eastAsia="zh-CN"/>
        </w:rPr>
        <w:t>万元，</w:t>
      </w:r>
      <w:r>
        <w:rPr>
          <w:rFonts w:hint="eastAsia" w:ascii="仿宋" w:hAnsi="仿宋" w:eastAsia="仿宋" w:cs="仿宋"/>
          <w:spacing w:val="18"/>
          <w:sz w:val="31"/>
          <w:szCs w:val="31"/>
          <w:lang w:val="en-US"/>
        </w:rPr>
        <w:t>2021</w:t>
      </w:r>
      <w:r>
        <w:rPr>
          <w:rFonts w:hint="eastAsia" w:ascii="仿宋" w:hAnsi="仿宋" w:eastAsia="仿宋" w:cs="仿宋"/>
          <w:spacing w:val="18"/>
          <w:sz w:val="31"/>
          <w:szCs w:val="31"/>
          <w:lang w:eastAsia="zh-CN"/>
        </w:rPr>
        <w:t>年支出数为</w:t>
      </w:r>
      <w:r>
        <w:rPr>
          <w:rFonts w:hint="eastAsia" w:ascii="仿宋" w:hAnsi="仿宋" w:eastAsia="仿宋" w:cs="仿宋"/>
          <w:spacing w:val="18"/>
          <w:sz w:val="31"/>
          <w:szCs w:val="31"/>
          <w:lang w:val="en-US"/>
        </w:rPr>
        <w:t>9763.92</w:t>
      </w:r>
      <w:r>
        <w:rPr>
          <w:rFonts w:hint="eastAsia" w:ascii="仿宋" w:hAnsi="仿宋" w:eastAsia="仿宋" w:cs="仿宋"/>
          <w:spacing w:val="18"/>
          <w:sz w:val="31"/>
          <w:szCs w:val="31"/>
          <w:lang w:eastAsia="zh-CN"/>
        </w:rPr>
        <w:t>万元，本年支出较上年支出减少</w:t>
      </w:r>
      <w:r>
        <w:rPr>
          <w:rFonts w:hint="eastAsia" w:ascii="仿宋" w:hAnsi="仿宋" w:eastAsia="仿宋" w:cs="仿宋"/>
          <w:spacing w:val="18"/>
          <w:sz w:val="31"/>
          <w:szCs w:val="31"/>
          <w:lang w:val="en-US"/>
        </w:rPr>
        <w:t>4091.71</w:t>
      </w:r>
      <w:r>
        <w:rPr>
          <w:rFonts w:hint="eastAsia" w:ascii="仿宋" w:hAnsi="仿宋" w:eastAsia="仿宋" w:cs="仿宋"/>
          <w:spacing w:val="18"/>
          <w:sz w:val="31"/>
          <w:szCs w:val="31"/>
          <w:lang w:eastAsia="zh-CN"/>
        </w:rPr>
        <w:t>万元，降幅</w:t>
      </w:r>
      <w:r>
        <w:rPr>
          <w:rFonts w:hint="eastAsia" w:ascii="仿宋" w:hAnsi="仿宋" w:eastAsia="仿宋" w:cs="仿宋"/>
          <w:spacing w:val="18"/>
          <w:sz w:val="31"/>
          <w:szCs w:val="31"/>
          <w:lang w:val="en-US"/>
        </w:rPr>
        <w:t>41.91%</w:t>
      </w:r>
      <w:r>
        <w:rPr>
          <w:rFonts w:hint="eastAsia" w:ascii="仿宋" w:hAnsi="仿宋" w:eastAsia="仿宋" w:cs="仿宋"/>
          <w:spacing w:val="18"/>
          <w:sz w:val="31"/>
          <w:szCs w:val="31"/>
          <w:lang w:eastAsia="zh-CN"/>
        </w:rPr>
        <w:t>，主要原因是我校落实财政政策，厉行节约，压缩经费支出。</w:t>
      </w:r>
    </w:p>
    <w:p>
      <w:pPr>
        <w:spacing w:before="229" w:line="357" w:lineRule="auto"/>
        <w:ind w:left="5" w:right="186" w:firstLine="640"/>
        <w:rPr>
          <w:rFonts w:hint="default" w:ascii="仿宋" w:hAnsi="仿宋" w:eastAsia="仿宋" w:cs="仿宋"/>
          <w:spacing w:val="18"/>
          <w:sz w:val="31"/>
          <w:szCs w:val="31"/>
          <w:lang w:val="en-US" w:eastAsia="zh-CN"/>
        </w:rPr>
      </w:pPr>
      <w:r>
        <w:rPr>
          <w:rFonts w:hint="eastAsia" w:ascii="仿宋" w:hAnsi="仿宋" w:eastAsia="仿宋" w:cs="仿宋"/>
          <w:spacing w:val="18"/>
          <w:sz w:val="31"/>
          <w:szCs w:val="31"/>
          <w:lang w:val="en-US" w:eastAsia="zh-CN"/>
        </w:rPr>
        <w:t>3、</w:t>
      </w:r>
      <w:r>
        <w:rPr>
          <w:rFonts w:hint="eastAsia" w:ascii="仿宋" w:hAnsi="仿宋" w:eastAsia="仿宋" w:cs="仿宋"/>
          <w:spacing w:val="18"/>
          <w:sz w:val="31"/>
          <w:szCs w:val="31"/>
          <w:lang w:val="en-US"/>
        </w:rPr>
        <w:t xml:space="preserve"> 我校整体支出主要用于维持学校基本运行支出、教学项目等支出、学校基建项目支出、教学和办公相关设备采购支出、教职工人员经费支出等方面。</w:t>
      </w:r>
    </w:p>
    <w:p>
      <w:pPr>
        <w:spacing w:before="226" w:line="410" w:lineRule="exact"/>
        <w:ind w:left="654"/>
        <w:rPr>
          <w:rFonts w:ascii="黑体" w:hAnsi="黑体" w:eastAsia="黑体" w:cs="黑体"/>
          <w:sz w:val="31"/>
          <w:szCs w:val="31"/>
        </w:rPr>
      </w:pPr>
      <w:r>
        <w:rPr>
          <w:rFonts w:ascii="黑体" w:hAnsi="黑体" w:eastAsia="黑体" w:cs="黑体"/>
          <w:spacing w:val="10"/>
          <w:position w:val="2"/>
          <w:sz w:val="31"/>
          <w:szCs w:val="31"/>
        </w:rPr>
        <w:t>二</w:t>
      </w:r>
      <w:r>
        <w:rPr>
          <w:rFonts w:ascii="黑体" w:hAnsi="黑体" w:eastAsia="黑体" w:cs="黑体"/>
          <w:spacing w:val="8"/>
          <w:position w:val="2"/>
          <w:sz w:val="31"/>
          <w:szCs w:val="31"/>
        </w:rPr>
        <w:t>、一般公共预算支出情况</w:t>
      </w:r>
    </w:p>
    <w:p>
      <w:pPr>
        <w:spacing w:before="189" w:line="222" w:lineRule="auto"/>
        <w:ind w:left="637"/>
        <w:rPr>
          <w:rFonts w:ascii="楷体" w:hAnsi="楷体" w:eastAsia="楷体" w:cs="楷体"/>
          <w:sz w:val="31"/>
          <w:szCs w:val="31"/>
        </w:rPr>
      </w:pPr>
      <w:r>
        <w:rPr>
          <w:rFonts w:ascii="楷体" w:hAnsi="楷体" w:eastAsia="楷体" w:cs="楷体"/>
          <w:spacing w:val="-12"/>
          <w:sz w:val="31"/>
          <w:szCs w:val="31"/>
          <w14:textOutline w14:w="5791" w14:cap="sq" w14:cmpd="sng" w14:algn="ctr">
            <w14:solidFill>
              <w14:srgbClr w14:val="000000"/>
            </w14:solidFill>
            <w14:prstDash w14:val="solid"/>
            <w14:bevel/>
          </w14:textOutline>
        </w:rPr>
        <w:t>(</w:t>
      </w:r>
      <w:r>
        <w:rPr>
          <w:rFonts w:ascii="楷体" w:hAnsi="楷体" w:eastAsia="楷体" w:cs="楷体"/>
          <w:spacing w:val="-8"/>
          <w:sz w:val="31"/>
          <w:szCs w:val="31"/>
        </w:rPr>
        <w:t xml:space="preserve"> </w:t>
      </w:r>
      <w:r>
        <w:rPr>
          <w:rFonts w:ascii="楷体" w:hAnsi="楷体" w:eastAsia="楷体" w:cs="楷体"/>
          <w:spacing w:val="-8"/>
          <w:sz w:val="31"/>
          <w:szCs w:val="31"/>
          <w14:textOutline w14:w="5791" w14:cap="sq" w14:cmpd="sng" w14:algn="ctr">
            <w14:solidFill>
              <w14:srgbClr w14:val="000000"/>
            </w14:solidFill>
            <w14:prstDash w14:val="solid"/>
            <w14:bevel/>
          </w14:textOutline>
        </w:rPr>
        <w:t>一</w:t>
      </w:r>
      <w:r>
        <w:rPr>
          <w:rFonts w:ascii="楷体" w:hAnsi="楷体" w:eastAsia="楷体" w:cs="楷体"/>
          <w:spacing w:val="-8"/>
          <w:sz w:val="31"/>
          <w:szCs w:val="31"/>
        </w:rPr>
        <w:t xml:space="preserve"> </w:t>
      </w:r>
      <w:r>
        <w:rPr>
          <w:rFonts w:ascii="楷体" w:hAnsi="楷体" w:eastAsia="楷体" w:cs="楷体"/>
          <w:spacing w:val="-8"/>
          <w:sz w:val="31"/>
          <w:szCs w:val="31"/>
          <w14:textOutline w14:w="5791" w14:cap="sq" w14:cmpd="sng" w14:algn="ctr">
            <w14:solidFill>
              <w14:srgbClr w14:val="000000"/>
            </w14:solidFill>
            <w14:prstDash w14:val="solid"/>
            <w14:bevel/>
          </w14:textOutline>
        </w:rPr>
        <w:t>)</w:t>
      </w:r>
      <w:r>
        <w:rPr>
          <w:rFonts w:ascii="楷体" w:hAnsi="楷体" w:eastAsia="楷体" w:cs="楷体"/>
          <w:spacing w:val="-8"/>
          <w:sz w:val="31"/>
          <w:szCs w:val="31"/>
        </w:rPr>
        <w:t xml:space="preserve"> </w:t>
      </w:r>
      <w:r>
        <w:rPr>
          <w:rFonts w:ascii="楷体" w:hAnsi="楷体" w:eastAsia="楷体" w:cs="楷体"/>
          <w:spacing w:val="-8"/>
          <w:sz w:val="31"/>
          <w:szCs w:val="31"/>
          <w14:textOutline w14:w="5791" w14:cap="sq" w14:cmpd="sng" w14:algn="ctr">
            <w14:solidFill>
              <w14:srgbClr w14:val="000000"/>
            </w14:solidFill>
            <w14:prstDash w14:val="solid"/>
            <w14:bevel/>
          </w14:textOutline>
        </w:rPr>
        <w:t>基本支出</w:t>
      </w:r>
    </w:p>
    <w:p>
      <w:pPr>
        <w:spacing w:before="229" w:line="357" w:lineRule="auto"/>
        <w:ind w:left="5" w:right="186" w:firstLine="640"/>
        <w:rPr>
          <w:rFonts w:hint="default" w:ascii="仿宋" w:hAnsi="仿宋" w:eastAsia="仿宋" w:cs="仿宋"/>
          <w:spacing w:val="18"/>
          <w:sz w:val="31"/>
          <w:szCs w:val="31"/>
          <w:lang w:val="en-US" w:eastAsia="zh-CN"/>
        </w:rPr>
      </w:pPr>
      <w:r>
        <w:rPr>
          <w:rFonts w:hint="eastAsia" w:ascii="仿宋" w:hAnsi="仿宋" w:eastAsia="仿宋" w:cs="仿宋"/>
          <w:spacing w:val="18"/>
          <w:sz w:val="31"/>
          <w:szCs w:val="31"/>
          <w:lang w:val="en-US" w:eastAsia="zh-CN"/>
        </w:rPr>
        <w:t>我校基本支出主要用于学校的人员经费、日常办公经费和运行维护经费的开支。 三公经费严格按照上级支出要求进行控制管理，做到不超预算。三公经费、会议费、培训费的支出情况具体如下：</w:t>
      </w:r>
    </w:p>
    <w:p>
      <w:pPr>
        <w:spacing w:before="229" w:line="357" w:lineRule="auto"/>
        <w:ind w:left="5" w:right="186" w:firstLine="640"/>
        <w:rPr>
          <w:rFonts w:hint="eastAsia" w:ascii="仿宋" w:hAnsi="仿宋" w:eastAsia="仿宋" w:cs="仿宋"/>
          <w:spacing w:val="18"/>
          <w:sz w:val="31"/>
          <w:szCs w:val="31"/>
          <w:lang w:val="en-US" w:eastAsia="zh-CN"/>
        </w:rPr>
      </w:pPr>
      <w:r>
        <w:rPr>
          <w:rFonts w:hint="eastAsia" w:ascii="仿宋" w:hAnsi="仿宋" w:eastAsia="仿宋" w:cs="仿宋"/>
          <w:spacing w:val="18"/>
          <w:sz w:val="31"/>
          <w:szCs w:val="31"/>
          <w:lang w:val="en-US" w:eastAsia="zh-CN"/>
        </w:rPr>
        <w:t xml:space="preserve">1、“三公”经费支出情况： </w:t>
      </w:r>
    </w:p>
    <w:p>
      <w:pPr>
        <w:spacing w:before="229" w:line="357" w:lineRule="auto"/>
        <w:ind w:left="5" w:right="186" w:firstLine="640"/>
        <w:rPr>
          <w:rFonts w:hint="eastAsia" w:ascii="仿宋" w:hAnsi="仿宋" w:eastAsia="仿宋" w:cs="仿宋"/>
          <w:spacing w:val="18"/>
          <w:sz w:val="31"/>
          <w:szCs w:val="31"/>
          <w:lang w:val="en-US" w:eastAsia="zh-CN"/>
        </w:rPr>
      </w:pPr>
      <w:r>
        <w:rPr>
          <w:rFonts w:hint="eastAsia" w:ascii="仿宋" w:hAnsi="仿宋" w:eastAsia="仿宋" w:cs="仿宋"/>
          <w:spacing w:val="18"/>
          <w:sz w:val="31"/>
          <w:szCs w:val="31"/>
          <w:lang w:val="en-US" w:eastAsia="zh-CN"/>
        </w:rPr>
        <w:t>“三公”经费财政拨款支出预算为0万元，支出决算为0万元，其中：</w:t>
      </w:r>
    </w:p>
    <w:p>
      <w:pPr>
        <w:spacing w:before="229" w:line="357" w:lineRule="auto"/>
        <w:ind w:left="5" w:right="186" w:firstLine="640"/>
        <w:rPr>
          <w:rFonts w:hint="eastAsia" w:ascii="仿宋" w:hAnsi="仿宋" w:eastAsia="仿宋" w:cs="仿宋"/>
          <w:spacing w:val="18"/>
          <w:sz w:val="31"/>
          <w:szCs w:val="31"/>
          <w:lang w:val="en-US" w:eastAsia="zh-CN"/>
        </w:rPr>
      </w:pPr>
      <w:r>
        <w:rPr>
          <w:rFonts w:hint="eastAsia" w:ascii="仿宋" w:hAnsi="仿宋" w:eastAsia="仿宋" w:cs="仿宋"/>
          <w:spacing w:val="18"/>
          <w:sz w:val="31"/>
          <w:szCs w:val="31"/>
          <w:lang w:val="en-US" w:eastAsia="zh-CN"/>
        </w:rPr>
        <w:t xml:space="preserve">因公出国（境）费支出预算为0万元，支出决算为0万元，与上年相比增加0万元，增长0%。 </w:t>
      </w:r>
    </w:p>
    <w:p>
      <w:pPr>
        <w:spacing w:before="229" w:line="357" w:lineRule="auto"/>
        <w:ind w:left="5" w:right="186" w:firstLine="640"/>
        <w:rPr>
          <w:rFonts w:hint="eastAsia" w:ascii="仿宋" w:hAnsi="仿宋" w:eastAsia="仿宋" w:cs="仿宋"/>
          <w:spacing w:val="18"/>
          <w:sz w:val="31"/>
          <w:szCs w:val="31"/>
          <w:lang w:val="en-US" w:eastAsia="zh-CN"/>
        </w:rPr>
      </w:pPr>
      <w:r>
        <w:rPr>
          <w:rFonts w:hint="eastAsia" w:ascii="仿宋" w:hAnsi="仿宋" w:eastAsia="仿宋" w:cs="仿宋"/>
          <w:spacing w:val="18"/>
          <w:sz w:val="31"/>
          <w:szCs w:val="31"/>
          <w:lang w:val="en-US" w:eastAsia="zh-CN"/>
        </w:rPr>
        <w:t>公务接待费支出预算为0万元，支出决算为0万元，与上年相比减少0.97万元，减少100.00%，减少的主要原因是2022年公务接待的预算和支出全部安排在财政专户资金支出。</w:t>
      </w:r>
    </w:p>
    <w:p>
      <w:pPr>
        <w:spacing w:before="229" w:line="357" w:lineRule="auto"/>
        <w:ind w:left="5" w:right="186" w:firstLine="640"/>
        <w:rPr>
          <w:rFonts w:hint="eastAsia" w:ascii="仿宋" w:hAnsi="仿宋" w:eastAsia="仿宋" w:cs="仿宋"/>
          <w:spacing w:val="18"/>
          <w:sz w:val="31"/>
          <w:szCs w:val="31"/>
          <w:lang w:val="en-US" w:eastAsia="zh-CN"/>
        </w:rPr>
      </w:pPr>
      <w:r>
        <w:rPr>
          <w:rFonts w:hint="eastAsia" w:ascii="仿宋" w:hAnsi="仿宋" w:eastAsia="仿宋" w:cs="仿宋"/>
          <w:spacing w:val="18"/>
          <w:sz w:val="31"/>
          <w:szCs w:val="31"/>
          <w:lang w:val="en-US" w:eastAsia="zh-CN"/>
        </w:rPr>
        <w:t>公务用车购置费及运行维护费支出预算为0万元，支出决算为0万元，与上年相比减少了20.00万元，减少了100.00%，减少的主要原因是公务用车购置费及运行维护费的预算和支出全部安排在财政专户资金支出。</w:t>
      </w:r>
    </w:p>
    <w:p>
      <w:pPr>
        <w:spacing w:before="229" w:line="357" w:lineRule="auto"/>
        <w:ind w:left="5" w:right="186" w:firstLine="640"/>
        <w:rPr>
          <w:rFonts w:hint="eastAsia" w:ascii="仿宋" w:hAnsi="仿宋" w:eastAsia="仿宋" w:cs="仿宋"/>
          <w:spacing w:val="18"/>
          <w:sz w:val="31"/>
          <w:szCs w:val="31"/>
          <w:lang w:val="en-US" w:eastAsia="zh-CN"/>
        </w:rPr>
      </w:pPr>
      <w:r>
        <w:rPr>
          <w:rFonts w:hint="eastAsia" w:ascii="仿宋" w:hAnsi="仿宋" w:eastAsia="仿宋" w:cs="仿宋"/>
          <w:spacing w:val="18"/>
          <w:sz w:val="31"/>
          <w:szCs w:val="31"/>
          <w:lang w:val="en-US" w:eastAsia="zh-CN"/>
        </w:rPr>
        <w:t>2、会议费支出情况：</w:t>
      </w:r>
    </w:p>
    <w:p>
      <w:pPr>
        <w:spacing w:before="229" w:line="357" w:lineRule="auto"/>
        <w:ind w:left="5" w:right="186" w:firstLine="640"/>
        <w:rPr>
          <w:rFonts w:hint="eastAsia" w:ascii="仿宋" w:hAnsi="仿宋" w:eastAsia="仿宋" w:cs="仿宋"/>
          <w:spacing w:val="18"/>
          <w:sz w:val="31"/>
          <w:szCs w:val="31"/>
          <w:lang w:val="en-US" w:eastAsia="zh-CN"/>
        </w:rPr>
      </w:pPr>
      <w:r>
        <w:rPr>
          <w:rFonts w:hint="eastAsia" w:ascii="仿宋" w:hAnsi="仿宋" w:eastAsia="仿宋" w:cs="仿宋"/>
          <w:spacing w:val="18"/>
          <w:sz w:val="31"/>
          <w:szCs w:val="31"/>
          <w:lang w:val="en-US" w:eastAsia="zh-CN"/>
        </w:rPr>
        <w:t xml:space="preserve">会议费财政拨款支出上年决算数为0万元，本年决算数为0万元，与上年相比增加0万元，增长0%。 </w:t>
      </w:r>
    </w:p>
    <w:p>
      <w:pPr>
        <w:spacing w:before="229" w:line="357" w:lineRule="auto"/>
        <w:ind w:left="5" w:right="186" w:firstLine="640"/>
        <w:rPr>
          <w:rFonts w:hint="eastAsia" w:ascii="仿宋" w:hAnsi="仿宋" w:eastAsia="仿宋" w:cs="仿宋"/>
          <w:spacing w:val="18"/>
          <w:sz w:val="31"/>
          <w:szCs w:val="31"/>
          <w:lang w:val="en-US" w:eastAsia="zh-CN"/>
        </w:rPr>
      </w:pPr>
      <w:r>
        <w:rPr>
          <w:rFonts w:hint="eastAsia" w:ascii="仿宋" w:hAnsi="仿宋" w:eastAsia="仿宋" w:cs="仿宋"/>
          <w:spacing w:val="18"/>
          <w:sz w:val="31"/>
          <w:szCs w:val="31"/>
          <w:lang w:val="en-US" w:eastAsia="zh-CN"/>
        </w:rPr>
        <w:t xml:space="preserve">3、培训费支出情况： </w:t>
      </w:r>
    </w:p>
    <w:p>
      <w:pPr>
        <w:spacing w:before="229" w:line="357" w:lineRule="auto"/>
        <w:ind w:left="5" w:right="186" w:firstLine="640"/>
        <w:rPr>
          <w:rFonts w:hint="eastAsia" w:ascii="仿宋" w:hAnsi="仿宋" w:eastAsia="仿宋" w:cs="仿宋"/>
          <w:spacing w:val="18"/>
          <w:sz w:val="31"/>
          <w:szCs w:val="31"/>
          <w:lang w:val="en-US" w:eastAsia="zh-CN"/>
        </w:rPr>
      </w:pPr>
      <w:r>
        <w:rPr>
          <w:rFonts w:hint="eastAsia" w:ascii="仿宋" w:hAnsi="仿宋" w:eastAsia="仿宋" w:cs="仿宋"/>
          <w:spacing w:val="18"/>
          <w:sz w:val="31"/>
          <w:szCs w:val="31"/>
          <w:lang w:val="en-US" w:eastAsia="zh-CN"/>
        </w:rPr>
        <w:t>培训费财政拨款支出上年决算数为6.10万元，本年决算数为58.22万元。比上年增加52.12万元，增加854.43%，主要是因为本年度培训费开支含专项支出：中央专项—教师素质提高和学校双高计划培训，该两项培训合计开支为53.22万元；教育综合发展专项5万元。</w:t>
      </w:r>
    </w:p>
    <w:p>
      <w:pPr>
        <w:keepNext w:val="0"/>
        <w:keepLines w:val="0"/>
        <w:widowControl/>
        <w:numPr>
          <w:ilvl w:val="0"/>
          <w:numId w:val="0"/>
        </w:numPr>
        <w:suppressLineNumbers w:val="0"/>
        <w:kinsoku w:val="0"/>
        <w:autoSpaceDE w:val="0"/>
        <w:autoSpaceDN w:val="0"/>
        <w:adjustRightInd w:val="0"/>
        <w:snapToGrid w:val="0"/>
        <w:textAlignment w:val="baseline"/>
        <w:rPr>
          <w:lang w:val="en-US"/>
        </w:rPr>
      </w:pPr>
    </w:p>
    <w:p>
      <w:pPr>
        <w:spacing w:before="2" w:line="228" w:lineRule="auto"/>
        <w:ind w:left="637"/>
        <w:rPr>
          <w:rFonts w:ascii="楷体" w:hAnsi="楷体" w:eastAsia="楷体" w:cs="楷体"/>
          <w:sz w:val="31"/>
          <w:szCs w:val="31"/>
        </w:rPr>
      </w:pPr>
      <w:r>
        <w:rPr>
          <w:rFonts w:ascii="楷体" w:hAnsi="楷体" w:eastAsia="楷体" w:cs="楷体"/>
          <w:spacing w:val="8"/>
          <w:sz w:val="31"/>
          <w:szCs w:val="31"/>
          <w14:textOutline w14:w="5791" w14:cap="sq" w14:cmpd="sng" w14:algn="ctr">
            <w14:solidFill>
              <w14:srgbClr w14:val="000000"/>
            </w14:solidFill>
            <w14:prstDash w14:val="solid"/>
            <w14:bevel/>
          </w14:textOutline>
        </w:rPr>
        <w:t>(二)</w:t>
      </w:r>
      <w:r>
        <w:rPr>
          <w:rFonts w:ascii="楷体" w:hAnsi="楷体" w:eastAsia="楷体" w:cs="楷体"/>
          <w:spacing w:val="8"/>
          <w:sz w:val="31"/>
          <w:szCs w:val="31"/>
        </w:rPr>
        <w:t xml:space="preserve"> </w:t>
      </w:r>
      <w:r>
        <w:rPr>
          <w:rFonts w:ascii="楷体" w:hAnsi="楷体" w:eastAsia="楷体" w:cs="楷体"/>
          <w:spacing w:val="8"/>
          <w:sz w:val="31"/>
          <w:szCs w:val="31"/>
          <w14:textOutline w14:w="5791" w14:cap="sq" w14:cmpd="sng" w14:algn="ctr">
            <w14:solidFill>
              <w14:srgbClr w14:val="000000"/>
            </w14:solidFill>
            <w14:prstDash w14:val="solid"/>
            <w14:bevel/>
          </w14:textOutline>
        </w:rPr>
        <w:t>项目支</w:t>
      </w:r>
      <w:r>
        <w:rPr>
          <w:rFonts w:ascii="楷体" w:hAnsi="楷体" w:eastAsia="楷体" w:cs="楷体"/>
          <w:spacing w:val="7"/>
          <w:sz w:val="31"/>
          <w:szCs w:val="31"/>
          <w14:textOutline w14:w="5791" w14:cap="sq" w14:cmpd="sng" w14:algn="ctr">
            <w14:solidFill>
              <w14:srgbClr w14:val="000000"/>
            </w14:solidFill>
            <w14:prstDash w14:val="solid"/>
            <w14:bevel/>
          </w14:textOutline>
        </w:rPr>
        <w:t>出</w:t>
      </w:r>
    </w:p>
    <w:p>
      <w:pPr>
        <w:spacing w:before="229" w:line="357" w:lineRule="auto"/>
        <w:ind w:left="5" w:right="186" w:firstLine="640"/>
        <w:rPr>
          <w:rFonts w:hint="default" w:ascii="仿宋" w:hAnsi="仿宋" w:eastAsia="仿宋" w:cs="仿宋"/>
          <w:spacing w:val="18"/>
          <w:sz w:val="31"/>
          <w:szCs w:val="31"/>
          <w:lang w:val="en-US" w:eastAsia="zh-CN"/>
        </w:rPr>
      </w:pPr>
      <w:r>
        <w:rPr>
          <w:rFonts w:hint="eastAsia" w:ascii="仿宋" w:hAnsi="仿宋" w:eastAsia="仿宋" w:cs="仿宋"/>
          <w:spacing w:val="18"/>
          <w:sz w:val="31"/>
          <w:szCs w:val="31"/>
          <w:lang w:val="en-US" w:eastAsia="zh-CN"/>
        </w:rPr>
        <w:t>1、2022年我校项目支出合计6460.10万元，占我校2022年总支出的31.41%，其中财政拨款项目支出3266.94万元，自筹资金项目支出3193.16万元。2022年我校项目支出主要用于以下项目：网信中心机房基础设施升级改造项目、学生奖助学金项目、学院电力增容项目、学校楼栋内墙维修改造、二级学院门厅改造项目、空乘专业校企合作项目、软件学院校企合作项目等支出。</w:t>
      </w:r>
    </w:p>
    <w:p>
      <w:pPr>
        <w:spacing w:before="229" w:line="357" w:lineRule="auto"/>
        <w:ind w:left="5" w:right="186" w:firstLine="640"/>
        <w:rPr>
          <w:rFonts w:hint="default" w:ascii="仿宋" w:hAnsi="仿宋" w:eastAsia="仿宋" w:cs="仿宋"/>
          <w:spacing w:val="18"/>
          <w:sz w:val="31"/>
          <w:szCs w:val="31"/>
          <w:lang w:val="en-US" w:eastAsia="zh-CN"/>
        </w:rPr>
      </w:pPr>
      <w:r>
        <w:rPr>
          <w:rFonts w:hint="eastAsia" w:ascii="仿宋" w:hAnsi="仿宋" w:eastAsia="仿宋" w:cs="仿宋"/>
          <w:spacing w:val="18"/>
          <w:sz w:val="31"/>
          <w:szCs w:val="31"/>
          <w:lang w:val="en-US" w:eastAsia="zh-CN"/>
        </w:rPr>
        <w:t>2、财政拨款项目支出3266.94万元，主要用于我校双高建设项目、科研课题支出和学生奖助学金支出等。其中公共专项资金支出397.44万元，主要为：2022学生资助专项资金项目，3.77万元；人社局拨市级高校毕业生创业扶持资金，61.2万元；春节离退休干部慰问经费，0.9万元；秋季学期高校国家助学金，152.68万元；2022年学生资助国家资金，16.77万元；2022年学生资助专项资金，162.12万元。</w:t>
      </w:r>
    </w:p>
    <w:p>
      <w:pPr>
        <w:spacing w:before="229" w:line="357" w:lineRule="auto"/>
        <w:ind w:left="5" w:right="186" w:firstLine="640"/>
        <w:rPr>
          <w:rFonts w:hint="eastAsia" w:ascii="仿宋" w:hAnsi="仿宋" w:eastAsia="仿宋" w:cs="仿宋"/>
          <w:spacing w:val="18"/>
          <w:sz w:val="31"/>
          <w:szCs w:val="31"/>
          <w:lang w:val="en-US" w:eastAsia="zh-CN"/>
        </w:rPr>
      </w:pPr>
      <w:r>
        <w:rPr>
          <w:rFonts w:hint="eastAsia" w:ascii="仿宋" w:hAnsi="仿宋" w:eastAsia="仿宋" w:cs="仿宋"/>
          <w:spacing w:val="18"/>
          <w:sz w:val="31"/>
          <w:szCs w:val="31"/>
          <w:lang w:val="en-US" w:eastAsia="zh-CN"/>
        </w:rPr>
        <w:t>3、我校所有项目资金都遵照上级文件要求、根据我校专项资金管理制度、科研经费管理制度等管理制度和办法，依规依程序使用。①我校在项目招投标、项目执行调整、项目竣工验收阶段都严格按照《长沙商贸旅游职业技术学院采购管理办法》执行，确保项目执行全过程管理。②我校有专门的行政管理部门对各大基建项目进行实时监督管理，确保各项工作的有序顺利进行。 ③根据财政部《项目支出绩效评价管理办法》和《湖南省人民政府办公厅关于全面实施预算绩效管理的实施意见》等文件要求，我校成立了绩效评价领导小组，组长负责绩效评价工作组织领导和具体实施。评价小组采取座谈等方式听取情况，检查项目支出绩效完成情况。 ④我校有完整的项目内控制度，有《长沙商贸旅游职业技术学院基本建设项目现场施工管理办法》，对项目进行监督管理。</w:t>
      </w:r>
    </w:p>
    <w:p>
      <w:pPr>
        <w:spacing w:before="2" w:line="236" w:lineRule="auto"/>
        <w:ind w:left="656"/>
        <w:rPr>
          <w:rFonts w:ascii="黑体" w:hAnsi="黑体" w:eastAsia="黑体" w:cs="黑体"/>
          <w:sz w:val="31"/>
          <w:szCs w:val="31"/>
        </w:rPr>
      </w:pPr>
      <w:r>
        <w:rPr>
          <w:rFonts w:ascii="黑体" w:hAnsi="黑体" w:eastAsia="黑体" w:cs="黑体"/>
          <w:spacing w:val="12"/>
          <w:sz w:val="31"/>
          <w:szCs w:val="31"/>
        </w:rPr>
        <w:t>三</w:t>
      </w:r>
      <w:r>
        <w:rPr>
          <w:rFonts w:ascii="黑体" w:hAnsi="黑体" w:eastAsia="黑体" w:cs="黑体"/>
          <w:spacing w:val="7"/>
          <w:sz w:val="31"/>
          <w:szCs w:val="31"/>
        </w:rPr>
        <w:t>、项目组织实施情况</w:t>
      </w:r>
    </w:p>
    <w:p>
      <w:pPr>
        <w:spacing w:before="203" w:line="357" w:lineRule="auto"/>
        <w:ind w:left="14" w:right="158" w:firstLine="622"/>
        <w:rPr>
          <w:rFonts w:ascii="仿宋" w:hAnsi="仿宋" w:eastAsia="仿宋" w:cs="仿宋"/>
          <w:spacing w:val="4"/>
          <w:sz w:val="31"/>
          <w:szCs w:val="31"/>
        </w:rPr>
      </w:pPr>
      <w:r>
        <w:rPr>
          <w:rFonts w:ascii="仿宋" w:hAnsi="仿宋" w:eastAsia="仿宋" w:cs="仿宋"/>
          <w:spacing w:val="8"/>
          <w:sz w:val="31"/>
          <w:szCs w:val="31"/>
        </w:rPr>
        <w:t>(</w:t>
      </w:r>
      <w:r>
        <w:rPr>
          <w:rFonts w:ascii="仿宋" w:hAnsi="仿宋" w:eastAsia="仿宋" w:cs="仿宋"/>
          <w:spacing w:val="5"/>
          <w:sz w:val="31"/>
          <w:szCs w:val="31"/>
        </w:rPr>
        <w:t xml:space="preserve"> </w:t>
      </w:r>
      <w:r>
        <w:rPr>
          <w:rFonts w:ascii="仿宋" w:hAnsi="仿宋" w:eastAsia="仿宋" w:cs="仿宋"/>
          <w:spacing w:val="4"/>
          <w:sz w:val="31"/>
          <w:szCs w:val="31"/>
        </w:rPr>
        <w:t>一 ) 项目组织情况分析。</w:t>
      </w:r>
    </w:p>
    <w:p>
      <w:pPr>
        <w:spacing w:before="229" w:line="357" w:lineRule="auto"/>
        <w:ind w:left="5" w:right="186" w:firstLine="640"/>
        <w:rPr>
          <w:rFonts w:hint="eastAsia" w:ascii="仿宋" w:hAnsi="仿宋" w:eastAsia="仿宋" w:cs="仿宋"/>
          <w:spacing w:val="18"/>
          <w:sz w:val="31"/>
          <w:szCs w:val="31"/>
          <w:lang w:val="en-US" w:eastAsia="zh-CN"/>
        </w:rPr>
      </w:pPr>
      <w:r>
        <w:rPr>
          <w:rFonts w:hint="eastAsia" w:ascii="仿宋" w:hAnsi="仿宋" w:eastAsia="仿宋" w:cs="仿宋"/>
          <w:spacing w:val="18"/>
          <w:sz w:val="31"/>
          <w:szCs w:val="31"/>
          <w:lang w:val="en-US" w:eastAsia="zh-CN"/>
        </w:rPr>
        <w:t>我校在项目招投标、项目执行调整、项目竣工验收流程都严格按照《长沙商贸旅游职业技术学院采购管理办法》执行，确保项目执行全过程管理。 采购流程具体按以下程序进行：</w:t>
      </w:r>
    </w:p>
    <w:p>
      <w:pPr>
        <w:numPr>
          <w:ilvl w:val="0"/>
          <w:numId w:val="1"/>
        </w:numPr>
        <w:spacing w:before="229" w:line="357" w:lineRule="auto"/>
        <w:ind w:left="5" w:right="186" w:firstLine="640"/>
        <w:rPr>
          <w:rFonts w:hint="eastAsia" w:ascii="仿宋" w:hAnsi="仿宋" w:eastAsia="仿宋" w:cs="仿宋"/>
          <w:spacing w:val="18"/>
          <w:sz w:val="31"/>
          <w:szCs w:val="31"/>
          <w:lang w:val="en-US" w:eastAsia="zh-CN"/>
        </w:rPr>
      </w:pPr>
      <w:r>
        <w:rPr>
          <w:rFonts w:hint="eastAsia" w:ascii="仿宋" w:hAnsi="仿宋" w:eastAsia="仿宋" w:cs="仿宋"/>
          <w:spacing w:val="18"/>
          <w:sz w:val="31"/>
          <w:szCs w:val="31"/>
          <w:lang w:val="en-US" w:eastAsia="zh-CN"/>
        </w:rPr>
        <w:t>立项及预算。采购申请人（提出采购申请的使用部门、个人或业务主管部门称为采购申请人，下同）根据工作需要，按学校经费支出管理办法报有关领导审批或经学校有关会议决定立项。采购申请人根据立项报告提出项目采购清单，注明项目相关参数，如规格、数量、性能、型号，项目预算及经费来源。</w:t>
      </w:r>
    </w:p>
    <w:p>
      <w:pPr>
        <w:numPr>
          <w:ilvl w:val="0"/>
          <w:numId w:val="1"/>
        </w:numPr>
        <w:spacing w:before="229" w:line="357" w:lineRule="auto"/>
        <w:ind w:left="5" w:leftChars="0" w:right="186" w:rightChars="0" w:firstLine="640" w:firstLineChars="0"/>
        <w:rPr>
          <w:rFonts w:hint="eastAsia" w:ascii="仿宋" w:hAnsi="仿宋" w:eastAsia="仿宋" w:cs="仿宋"/>
          <w:spacing w:val="18"/>
          <w:sz w:val="31"/>
          <w:szCs w:val="31"/>
          <w:lang w:val="en-US" w:eastAsia="zh-CN"/>
        </w:rPr>
      </w:pPr>
      <w:r>
        <w:rPr>
          <w:rFonts w:hint="eastAsia" w:ascii="仿宋" w:hAnsi="仿宋" w:eastAsia="仿宋" w:cs="仿宋"/>
          <w:spacing w:val="18"/>
          <w:sz w:val="31"/>
          <w:szCs w:val="31"/>
          <w:lang w:val="en-US" w:eastAsia="zh-CN"/>
        </w:rPr>
        <w:t>采购申请和采购方案审定。采购申请人向财务处提交项目采购立项报告及清单，填写《长沙商贸旅游职业技术学院政府采购申请审批表》，报学校财务处。</w:t>
      </w:r>
    </w:p>
    <w:p>
      <w:pPr>
        <w:numPr>
          <w:ilvl w:val="0"/>
          <w:numId w:val="1"/>
        </w:numPr>
        <w:spacing w:before="229" w:line="357" w:lineRule="auto"/>
        <w:ind w:left="5" w:leftChars="0" w:right="186" w:rightChars="0" w:firstLine="640" w:firstLineChars="0"/>
        <w:rPr>
          <w:rFonts w:hint="eastAsia" w:ascii="仿宋" w:hAnsi="仿宋" w:eastAsia="仿宋" w:cs="仿宋"/>
          <w:spacing w:val="18"/>
          <w:sz w:val="31"/>
          <w:szCs w:val="31"/>
          <w:lang w:val="en-US" w:eastAsia="zh-CN"/>
        </w:rPr>
      </w:pPr>
      <w:r>
        <w:rPr>
          <w:rFonts w:hint="eastAsia" w:ascii="仿宋" w:hAnsi="仿宋" w:eastAsia="仿宋" w:cs="仿宋"/>
          <w:spacing w:val="18"/>
          <w:sz w:val="31"/>
          <w:szCs w:val="31"/>
          <w:lang w:val="en-US" w:eastAsia="zh-CN"/>
        </w:rPr>
        <w:t>造价咨询。学校财务处委托有资质代理公司对项目进行造价，对造价报告会签确认。</w:t>
      </w:r>
    </w:p>
    <w:p>
      <w:pPr>
        <w:numPr>
          <w:ilvl w:val="0"/>
          <w:numId w:val="1"/>
        </w:numPr>
        <w:spacing w:before="229" w:line="357" w:lineRule="auto"/>
        <w:ind w:left="5" w:leftChars="0" w:right="186" w:rightChars="0" w:firstLine="640" w:firstLineChars="0"/>
        <w:rPr>
          <w:rFonts w:hint="eastAsia" w:ascii="仿宋" w:hAnsi="仿宋" w:eastAsia="仿宋" w:cs="仿宋"/>
          <w:spacing w:val="18"/>
          <w:sz w:val="31"/>
          <w:szCs w:val="31"/>
          <w:lang w:val="en-US" w:eastAsia="zh-CN"/>
        </w:rPr>
      </w:pPr>
      <w:r>
        <w:rPr>
          <w:rFonts w:hint="eastAsia" w:ascii="仿宋" w:hAnsi="仿宋" w:eastAsia="仿宋" w:cs="仿宋"/>
          <w:spacing w:val="18"/>
          <w:sz w:val="31"/>
          <w:szCs w:val="31"/>
          <w:lang w:val="en-US" w:eastAsia="zh-CN"/>
        </w:rPr>
        <w:t>拟定采购公告。财务处根据审定后的方案拟制采购公告。（限额标准以上的采购项目，按照长沙市政府采购相关文件要求委托具有招标代理资质的公司进行）。</w:t>
      </w:r>
    </w:p>
    <w:p>
      <w:pPr>
        <w:numPr>
          <w:ilvl w:val="0"/>
          <w:numId w:val="1"/>
        </w:numPr>
        <w:spacing w:before="229" w:line="357" w:lineRule="auto"/>
        <w:ind w:left="5" w:leftChars="0" w:right="186" w:rightChars="0" w:firstLine="640" w:firstLineChars="0"/>
        <w:rPr>
          <w:rFonts w:hint="eastAsia" w:ascii="仿宋" w:hAnsi="仿宋" w:eastAsia="仿宋" w:cs="仿宋"/>
          <w:spacing w:val="18"/>
          <w:sz w:val="31"/>
          <w:szCs w:val="31"/>
          <w:lang w:val="en-US" w:eastAsia="zh-CN"/>
        </w:rPr>
      </w:pPr>
      <w:r>
        <w:rPr>
          <w:rFonts w:hint="eastAsia" w:ascii="仿宋" w:hAnsi="仿宋" w:eastAsia="仿宋" w:cs="仿宋"/>
          <w:spacing w:val="18"/>
          <w:sz w:val="31"/>
          <w:szCs w:val="31"/>
          <w:lang w:val="en-US" w:eastAsia="zh-CN"/>
        </w:rPr>
        <w:t>政府采购信息发布。财务处在学校公开发布采购公告并公示。</w:t>
      </w:r>
    </w:p>
    <w:p>
      <w:pPr>
        <w:numPr>
          <w:ilvl w:val="0"/>
          <w:numId w:val="1"/>
        </w:numPr>
        <w:spacing w:before="229" w:line="357" w:lineRule="auto"/>
        <w:ind w:left="5" w:leftChars="0" w:right="186" w:rightChars="0" w:firstLine="640" w:firstLineChars="0"/>
        <w:rPr>
          <w:rFonts w:hint="eastAsia" w:ascii="仿宋" w:hAnsi="仿宋" w:eastAsia="仿宋" w:cs="仿宋"/>
          <w:spacing w:val="18"/>
          <w:sz w:val="31"/>
          <w:szCs w:val="31"/>
          <w:lang w:val="en-US" w:eastAsia="zh-CN"/>
        </w:rPr>
      </w:pPr>
      <w:r>
        <w:rPr>
          <w:rFonts w:hint="eastAsia" w:ascii="仿宋" w:hAnsi="仿宋" w:eastAsia="仿宋" w:cs="仿宋"/>
          <w:spacing w:val="18"/>
          <w:sz w:val="31"/>
          <w:szCs w:val="31"/>
          <w:lang w:val="en-US" w:eastAsia="zh-CN"/>
        </w:rPr>
        <w:t>政府采购文件的报名。财务处在采购公告规定的时间和地点接受报名；组织有关部门审核供应商资质。</w:t>
      </w:r>
    </w:p>
    <w:p>
      <w:pPr>
        <w:numPr>
          <w:ilvl w:val="0"/>
          <w:numId w:val="1"/>
        </w:numPr>
        <w:spacing w:before="229" w:line="357" w:lineRule="auto"/>
        <w:ind w:left="5" w:leftChars="0" w:right="186" w:rightChars="0" w:firstLine="640" w:firstLineChars="0"/>
        <w:rPr>
          <w:rFonts w:hint="eastAsia" w:ascii="仿宋" w:hAnsi="仿宋" w:eastAsia="仿宋" w:cs="仿宋"/>
          <w:spacing w:val="18"/>
          <w:sz w:val="31"/>
          <w:szCs w:val="31"/>
          <w:lang w:val="en-US" w:eastAsia="zh-CN"/>
        </w:rPr>
      </w:pPr>
      <w:r>
        <w:rPr>
          <w:rFonts w:hint="eastAsia" w:ascii="仿宋" w:hAnsi="仿宋" w:eastAsia="仿宋" w:cs="仿宋"/>
          <w:spacing w:val="18"/>
          <w:sz w:val="31"/>
          <w:szCs w:val="31"/>
          <w:lang w:val="en-US" w:eastAsia="zh-CN"/>
        </w:rPr>
        <w:t>组建评标委员会、竞争性谈判小组或者询价小组。 财务处根据有关规定组建评标委员会、竞争性谈判小组或者询价小组（评委会、谈判小组、询价小组成员一般由政府采购办成员和有关技术、经济等方面的专家以及用户代表共3-7人组成）。</w:t>
      </w:r>
    </w:p>
    <w:p>
      <w:pPr>
        <w:numPr>
          <w:ilvl w:val="0"/>
          <w:numId w:val="1"/>
        </w:numPr>
        <w:spacing w:before="229" w:line="357" w:lineRule="auto"/>
        <w:ind w:left="5" w:leftChars="0" w:right="186" w:rightChars="0" w:firstLine="640" w:firstLineChars="0"/>
        <w:rPr>
          <w:rFonts w:hint="eastAsia" w:ascii="仿宋" w:hAnsi="仿宋" w:eastAsia="仿宋" w:cs="仿宋"/>
          <w:spacing w:val="18"/>
          <w:sz w:val="31"/>
          <w:szCs w:val="31"/>
          <w:lang w:val="en-US" w:eastAsia="zh-CN"/>
        </w:rPr>
      </w:pPr>
      <w:r>
        <w:rPr>
          <w:rFonts w:hint="eastAsia" w:ascii="仿宋" w:hAnsi="仿宋" w:eastAsia="仿宋" w:cs="仿宋"/>
          <w:spacing w:val="18"/>
          <w:sz w:val="31"/>
          <w:szCs w:val="31"/>
          <w:lang w:val="en-US" w:eastAsia="zh-CN"/>
        </w:rPr>
        <w:t>组织评审。财务处在采购文件规定的时间和地点组织评标委员会、竞争性谈判小组或者询价小组评审，纪检监察审计室派人担任监委。</w:t>
      </w:r>
    </w:p>
    <w:p>
      <w:pPr>
        <w:numPr>
          <w:ilvl w:val="0"/>
          <w:numId w:val="1"/>
        </w:numPr>
        <w:spacing w:before="229" w:line="357" w:lineRule="auto"/>
        <w:ind w:left="5" w:leftChars="0" w:right="186" w:rightChars="0" w:firstLine="640" w:firstLineChars="0"/>
        <w:rPr>
          <w:rFonts w:hint="eastAsia" w:ascii="仿宋" w:hAnsi="仿宋" w:eastAsia="仿宋" w:cs="仿宋"/>
          <w:spacing w:val="18"/>
          <w:sz w:val="31"/>
          <w:szCs w:val="31"/>
          <w:lang w:val="en-US" w:eastAsia="zh-CN"/>
        </w:rPr>
      </w:pPr>
      <w:r>
        <w:rPr>
          <w:rFonts w:hint="eastAsia" w:ascii="仿宋" w:hAnsi="仿宋" w:eastAsia="仿宋" w:cs="仿宋"/>
          <w:spacing w:val="18"/>
          <w:sz w:val="31"/>
          <w:szCs w:val="31"/>
          <w:lang w:val="en-US" w:eastAsia="zh-CN"/>
        </w:rPr>
        <w:t xml:space="preserve">推荐中标人或成交商及公示。根据评标委员会、竞争性谈判小组或者询价小组的评审意见，推荐中标或成交候选人并公示。 </w:t>
      </w:r>
    </w:p>
    <w:p>
      <w:pPr>
        <w:numPr>
          <w:ilvl w:val="0"/>
          <w:numId w:val="1"/>
        </w:numPr>
        <w:spacing w:before="229" w:line="357" w:lineRule="auto"/>
        <w:ind w:left="5" w:leftChars="0" w:right="186" w:rightChars="0" w:firstLine="640" w:firstLineChars="0"/>
        <w:rPr>
          <w:rFonts w:hint="eastAsia" w:ascii="仿宋" w:hAnsi="仿宋" w:eastAsia="仿宋" w:cs="仿宋"/>
          <w:spacing w:val="18"/>
          <w:sz w:val="31"/>
          <w:szCs w:val="31"/>
          <w:lang w:val="en-US" w:eastAsia="zh-CN"/>
        </w:rPr>
      </w:pPr>
      <w:r>
        <w:rPr>
          <w:rFonts w:hint="eastAsia" w:ascii="仿宋" w:hAnsi="仿宋" w:eastAsia="仿宋" w:cs="仿宋"/>
          <w:spacing w:val="18"/>
          <w:sz w:val="31"/>
          <w:szCs w:val="31"/>
          <w:lang w:val="en-US" w:eastAsia="zh-CN"/>
        </w:rPr>
        <w:t xml:space="preserve">发出中标或成交通知书。公示期满后财务处向中标人或成交人发出中标或成交通知书，并通知未中标或未成交单位。 </w:t>
      </w:r>
    </w:p>
    <w:p>
      <w:pPr>
        <w:numPr>
          <w:ilvl w:val="0"/>
          <w:numId w:val="1"/>
        </w:numPr>
        <w:spacing w:before="229" w:line="357" w:lineRule="auto"/>
        <w:ind w:left="5" w:leftChars="0" w:right="186" w:rightChars="0" w:firstLine="640" w:firstLineChars="0"/>
        <w:rPr>
          <w:rFonts w:hint="eastAsia" w:ascii="仿宋" w:hAnsi="仿宋" w:eastAsia="仿宋" w:cs="仿宋"/>
          <w:spacing w:val="18"/>
          <w:sz w:val="31"/>
          <w:szCs w:val="31"/>
          <w:lang w:val="en-US" w:eastAsia="zh-CN"/>
        </w:rPr>
      </w:pPr>
      <w:r>
        <w:rPr>
          <w:rFonts w:hint="eastAsia" w:ascii="仿宋" w:hAnsi="仿宋" w:eastAsia="仿宋" w:cs="仿宋"/>
          <w:spacing w:val="18"/>
          <w:sz w:val="31"/>
          <w:szCs w:val="31"/>
          <w:lang w:val="en-US" w:eastAsia="zh-CN"/>
        </w:rPr>
        <w:t>与中标人或成交人签订合同（附件二）。发出中标或成交通知书后一个月以内，使用部门作为合同经办部门根据采购资料按学校合同管理办法办理与中标人或成交人签订合同的相关手续。</w:t>
      </w:r>
    </w:p>
    <w:p>
      <w:pPr>
        <w:numPr>
          <w:ilvl w:val="0"/>
          <w:numId w:val="1"/>
        </w:numPr>
        <w:spacing w:before="229" w:line="357" w:lineRule="auto"/>
        <w:ind w:left="5" w:leftChars="0" w:right="186" w:rightChars="0" w:firstLine="640" w:firstLineChars="0"/>
        <w:rPr>
          <w:rFonts w:hint="eastAsia" w:ascii="仿宋" w:hAnsi="仿宋" w:eastAsia="仿宋" w:cs="仿宋"/>
          <w:spacing w:val="18"/>
          <w:sz w:val="31"/>
          <w:szCs w:val="31"/>
          <w:lang w:val="en-US" w:eastAsia="zh-CN"/>
        </w:rPr>
      </w:pPr>
      <w:r>
        <w:rPr>
          <w:rFonts w:hint="eastAsia" w:ascii="仿宋" w:hAnsi="仿宋" w:eastAsia="仿宋" w:cs="仿宋"/>
          <w:spacing w:val="18"/>
          <w:sz w:val="31"/>
          <w:szCs w:val="31"/>
          <w:lang w:val="en-US" w:eastAsia="zh-CN"/>
        </w:rPr>
        <w:t>履行合同。使用部门负责合同履行的组织协调工作，计财处、纪检监察审计室监督中标人或成交人履行合同。</w:t>
      </w:r>
    </w:p>
    <w:p>
      <w:pPr>
        <w:numPr>
          <w:ilvl w:val="0"/>
          <w:numId w:val="1"/>
        </w:numPr>
        <w:spacing w:before="229" w:line="357" w:lineRule="auto"/>
        <w:ind w:left="5" w:leftChars="0" w:right="186" w:rightChars="0" w:firstLine="640" w:firstLineChars="0"/>
        <w:rPr>
          <w:rFonts w:hint="eastAsia" w:ascii="仿宋" w:hAnsi="仿宋" w:eastAsia="仿宋" w:cs="仿宋"/>
          <w:spacing w:val="18"/>
          <w:sz w:val="31"/>
          <w:szCs w:val="31"/>
          <w:lang w:val="en-US" w:eastAsia="zh-CN"/>
        </w:rPr>
      </w:pPr>
      <w:r>
        <w:rPr>
          <w:rFonts w:hint="eastAsia" w:ascii="仿宋" w:hAnsi="仿宋" w:eastAsia="仿宋" w:cs="仿宋"/>
          <w:spacing w:val="18"/>
          <w:sz w:val="31"/>
          <w:szCs w:val="31"/>
          <w:lang w:val="en-US" w:eastAsia="zh-CN"/>
        </w:rPr>
        <w:t>组织验收（附件三）。使用部门按照有关规定组织项目验收。</w:t>
      </w:r>
    </w:p>
    <w:p>
      <w:pPr>
        <w:numPr>
          <w:ilvl w:val="0"/>
          <w:numId w:val="1"/>
        </w:numPr>
        <w:spacing w:before="229" w:line="357" w:lineRule="auto"/>
        <w:ind w:left="5" w:leftChars="0" w:right="186" w:rightChars="0" w:firstLine="640" w:firstLineChars="0"/>
        <w:rPr>
          <w:rFonts w:hint="eastAsia" w:ascii="仿宋" w:hAnsi="仿宋" w:eastAsia="仿宋" w:cs="仿宋"/>
          <w:spacing w:val="18"/>
          <w:sz w:val="31"/>
          <w:szCs w:val="31"/>
          <w:lang w:val="en-US" w:eastAsia="zh-CN"/>
        </w:rPr>
      </w:pPr>
      <w:r>
        <w:rPr>
          <w:rFonts w:hint="eastAsia" w:ascii="仿宋" w:hAnsi="仿宋" w:eastAsia="仿宋" w:cs="仿宋"/>
          <w:spacing w:val="18"/>
          <w:sz w:val="31"/>
          <w:szCs w:val="31"/>
          <w:lang w:val="en-US" w:eastAsia="zh-CN"/>
        </w:rPr>
        <w:t>结算付款。中标人或成交人按学校有关程序办理结算付款手续。</w:t>
      </w:r>
    </w:p>
    <w:p>
      <w:pPr>
        <w:spacing w:before="1" w:line="357" w:lineRule="auto"/>
        <w:ind w:left="64" w:right="158" w:firstLine="572"/>
        <w:rPr>
          <w:rFonts w:ascii="仿宋" w:hAnsi="仿宋" w:eastAsia="仿宋" w:cs="仿宋"/>
          <w:spacing w:val="2"/>
          <w:sz w:val="31"/>
          <w:szCs w:val="31"/>
        </w:rPr>
      </w:pPr>
      <w:r>
        <w:rPr>
          <w:rFonts w:ascii="仿宋" w:hAnsi="仿宋" w:eastAsia="仿宋" w:cs="仿宋"/>
          <w:spacing w:val="8"/>
          <w:sz w:val="31"/>
          <w:szCs w:val="31"/>
        </w:rPr>
        <w:t>(</w:t>
      </w:r>
      <w:r>
        <w:rPr>
          <w:rFonts w:ascii="仿宋" w:hAnsi="仿宋" w:eastAsia="仿宋" w:cs="仿宋"/>
          <w:spacing w:val="5"/>
          <w:sz w:val="31"/>
          <w:szCs w:val="31"/>
        </w:rPr>
        <w:t xml:space="preserve"> </w:t>
      </w:r>
      <w:r>
        <w:rPr>
          <w:rFonts w:ascii="仿宋" w:hAnsi="仿宋" w:eastAsia="仿宋" w:cs="仿宋"/>
          <w:spacing w:val="4"/>
          <w:sz w:val="31"/>
          <w:szCs w:val="31"/>
        </w:rPr>
        <w:t>二 ) 项目管理情况分析</w:t>
      </w:r>
      <w:r>
        <w:rPr>
          <w:rFonts w:ascii="仿宋" w:hAnsi="仿宋" w:eastAsia="仿宋" w:cs="仿宋"/>
          <w:spacing w:val="2"/>
          <w:sz w:val="31"/>
          <w:szCs w:val="31"/>
        </w:rPr>
        <w:t>。</w:t>
      </w:r>
    </w:p>
    <w:p>
      <w:pPr>
        <w:spacing w:before="1" w:line="357" w:lineRule="auto"/>
        <w:ind w:left="64" w:right="158" w:firstLine="572"/>
        <w:rPr>
          <w:rFonts w:hint="eastAsia" w:ascii="仿宋" w:hAnsi="仿宋" w:eastAsia="仿宋" w:cs="仿宋"/>
          <w:spacing w:val="18"/>
          <w:sz w:val="31"/>
          <w:szCs w:val="31"/>
          <w:lang w:val="en-US" w:eastAsia="zh-CN"/>
        </w:rPr>
      </w:pPr>
      <w:r>
        <w:rPr>
          <w:rFonts w:hint="eastAsia" w:ascii="仿宋" w:hAnsi="仿宋" w:eastAsia="仿宋" w:cs="仿宋"/>
          <w:spacing w:val="2"/>
          <w:sz w:val="31"/>
          <w:szCs w:val="31"/>
          <w:lang w:val="en-US" w:eastAsia="zh-CN"/>
        </w:rPr>
        <w:t>1、</w:t>
      </w:r>
      <w:r>
        <w:rPr>
          <w:rFonts w:hint="eastAsia" w:ascii="仿宋" w:hAnsi="仿宋" w:eastAsia="仿宋" w:cs="仿宋"/>
          <w:spacing w:val="18"/>
          <w:sz w:val="31"/>
          <w:szCs w:val="31"/>
          <w:lang w:val="en-US" w:eastAsia="zh-CN"/>
        </w:rPr>
        <w:t xml:space="preserve">我校在项目招投标、项目执行调整、项目竣工验收流程都严格按照《长沙商贸旅游职业技术学院采购管理办法》执行，确保项目执行全过程管理。 </w:t>
      </w:r>
    </w:p>
    <w:p>
      <w:pPr>
        <w:spacing w:before="1" w:line="357" w:lineRule="auto"/>
        <w:ind w:left="64" w:right="158" w:firstLine="572"/>
        <w:rPr>
          <w:rFonts w:hint="eastAsia" w:ascii="仿宋" w:hAnsi="仿宋" w:eastAsia="仿宋" w:cs="仿宋"/>
          <w:spacing w:val="2"/>
          <w:sz w:val="31"/>
          <w:szCs w:val="31"/>
          <w:lang w:val="en-US" w:eastAsia="zh-CN"/>
        </w:rPr>
      </w:pPr>
      <w:r>
        <w:rPr>
          <w:rFonts w:hint="eastAsia" w:ascii="仿宋" w:hAnsi="仿宋" w:eastAsia="仿宋" w:cs="仿宋"/>
          <w:spacing w:val="2"/>
          <w:sz w:val="31"/>
          <w:szCs w:val="31"/>
          <w:lang w:val="en-US" w:eastAsia="zh-CN"/>
        </w:rPr>
        <w:t>2、我校有专门的行政管理部门对各大基建项目进行实时监督管理，确保各项工作的有序顺利进行。</w:t>
      </w:r>
    </w:p>
    <w:p>
      <w:pPr>
        <w:spacing w:before="1" w:line="357" w:lineRule="auto"/>
        <w:ind w:left="64" w:right="158" w:firstLine="572"/>
        <w:rPr>
          <w:rFonts w:hint="eastAsia" w:ascii="仿宋" w:hAnsi="仿宋" w:eastAsia="仿宋" w:cs="仿宋"/>
          <w:spacing w:val="2"/>
          <w:sz w:val="31"/>
          <w:szCs w:val="31"/>
          <w:lang w:val="en-US" w:eastAsia="zh-CN"/>
        </w:rPr>
      </w:pPr>
      <w:r>
        <w:rPr>
          <w:rFonts w:hint="eastAsia" w:ascii="仿宋" w:hAnsi="仿宋" w:eastAsia="仿宋" w:cs="仿宋"/>
          <w:spacing w:val="2"/>
          <w:sz w:val="31"/>
          <w:szCs w:val="31"/>
          <w:lang w:val="en-US" w:eastAsia="zh-CN"/>
        </w:rPr>
        <w:t>3、根据财政部《项目支出绩效评价管理办法》和《湖南省人民政府办公厅关于全面实施预算绩效管理的实施意见》等文件要求，我校成立了绩效评价领导小组，组长负责绩效评价工作组织领导和具体实施。评价小组采取座谈等方式听取情况，检查项目支出绩效完成情况。</w:t>
      </w:r>
    </w:p>
    <w:p>
      <w:pPr>
        <w:spacing w:before="1" w:line="357" w:lineRule="auto"/>
        <w:ind w:left="64" w:right="158" w:firstLine="572"/>
        <w:rPr>
          <w:rFonts w:hint="eastAsia" w:ascii="仿宋" w:hAnsi="仿宋" w:eastAsia="仿宋" w:cs="仿宋"/>
          <w:spacing w:val="2"/>
          <w:sz w:val="31"/>
          <w:szCs w:val="31"/>
          <w:lang w:val="en-US" w:eastAsia="zh-CN"/>
        </w:rPr>
      </w:pPr>
      <w:r>
        <w:rPr>
          <w:rFonts w:hint="eastAsia" w:ascii="仿宋" w:hAnsi="仿宋" w:eastAsia="仿宋" w:cs="仿宋"/>
          <w:spacing w:val="2"/>
          <w:sz w:val="31"/>
          <w:szCs w:val="31"/>
          <w:lang w:val="en-US" w:eastAsia="zh-CN"/>
        </w:rPr>
        <w:t>4、我校有完整的项目内控制度，有《长沙商贸旅游职业技术学院基本建设项目现场施工管理办法》，对项目进行监督管理。具体职责为：（1） 根据项目签订的合同、工程量清单和设计方案依法管理项目现场施工。（2）明确的项目管理工作人员负责管理施工单位现场施工和监理单位日常监管工作，并记录工程建设项目管理日志。（3）明确的项目负责人和管理工作人员负责管理工程建设项目施工的安全文明施工、质量和进度检查等工作，负责落实督促、检查监理人员对工程安全、质量和进度监管的情况。（4）由后勤与基建管理处牵头，同使用部门定期召开现场施工协调会，施工单位、监理单位和设计单位参与，并做好相关会议记录,如会议涉及弱电工程，还需实训处参加。（5）与工程监理监督施工单位严格按施工规范及操作规程进行作业，并协调处理工程中出现的技术问题和管理问题，对施工中的质量和安全隐患等问题，一经发现及时处理，并按规定程序上报。（6）保证施工过程中工作程序的完整、完备，收集归档施工单位和监理单位的资料。</w:t>
      </w:r>
    </w:p>
    <w:p>
      <w:pPr>
        <w:spacing w:before="1" w:line="357" w:lineRule="auto"/>
        <w:ind w:left="64" w:right="158" w:firstLine="572"/>
        <w:rPr>
          <w:rFonts w:ascii="仿宋" w:hAnsi="仿宋" w:eastAsia="仿宋" w:cs="仿宋"/>
          <w:spacing w:val="2"/>
          <w:sz w:val="31"/>
          <w:szCs w:val="31"/>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01" w:after="0" w:afterLines="100" w:line="236" w:lineRule="auto"/>
        <w:ind w:left="629" w:leftChars="0"/>
        <w:textAlignment w:val="baseline"/>
        <w:rPr>
          <w:rFonts w:ascii="黑体" w:hAnsi="黑体" w:eastAsia="黑体" w:cs="黑体"/>
          <w:spacing w:val="8"/>
          <w:sz w:val="31"/>
          <w:szCs w:val="31"/>
        </w:rPr>
      </w:pPr>
      <w:r>
        <w:rPr>
          <w:rFonts w:ascii="黑体" w:hAnsi="黑体" w:eastAsia="黑体" w:cs="黑体"/>
          <w:spacing w:val="8"/>
          <w:sz w:val="31"/>
          <w:szCs w:val="31"/>
        </w:rPr>
        <w:t>四、资产管理情况</w:t>
      </w:r>
    </w:p>
    <w:p>
      <w:pPr>
        <w:spacing w:before="1" w:line="357" w:lineRule="auto"/>
        <w:ind w:left="64" w:right="158" w:firstLine="572"/>
        <w:rPr>
          <w:rFonts w:hint="eastAsia" w:ascii="仿宋" w:hAnsi="仿宋" w:eastAsia="仿宋" w:cs="仿宋"/>
          <w:spacing w:val="2"/>
          <w:sz w:val="31"/>
          <w:szCs w:val="31"/>
          <w:lang w:val="en-US" w:eastAsia="zh-CN"/>
        </w:rPr>
      </w:pPr>
      <w:r>
        <w:rPr>
          <w:rFonts w:hint="eastAsia" w:ascii="仿宋" w:hAnsi="仿宋" w:eastAsia="仿宋" w:cs="仿宋"/>
          <w:spacing w:val="2"/>
          <w:sz w:val="31"/>
          <w:szCs w:val="31"/>
          <w:lang w:val="en-US" w:eastAsia="zh-CN"/>
        </w:rPr>
        <w:t xml:space="preserve">1、成立了由曹立村副校长总负责，王胜处长、李峥嵘副处长分管的“资产管理领导小组”，具体负责本单位资产的申报、采购、使用、处置、清查等过程中的监督任务。建立健全资产管理制度，修订《长沙商贸旅游职业技术学院国有资产管理办法》，合理配置、有效使用国有资产，提高资产使用率，保障资产的完整和安全。 </w:t>
      </w:r>
    </w:p>
    <w:p>
      <w:pPr>
        <w:spacing w:before="1" w:line="357" w:lineRule="auto"/>
        <w:ind w:left="64" w:right="158" w:firstLine="572"/>
        <w:rPr>
          <w:rFonts w:hint="eastAsia" w:ascii="仿宋" w:hAnsi="仿宋" w:eastAsia="仿宋" w:cs="仿宋"/>
          <w:spacing w:val="2"/>
          <w:sz w:val="31"/>
          <w:szCs w:val="31"/>
          <w:lang w:val="en-US" w:eastAsia="zh-CN"/>
        </w:rPr>
      </w:pPr>
      <w:r>
        <w:rPr>
          <w:rFonts w:hint="eastAsia" w:ascii="仿宋" w:hAnsi="仿宋" w:eastAsia="仿宋" w:cs="仿宋"/>
          <w:spacing w:val="2"/>
          <w:sz w:val="31"/>
          <w:szCs w:val="31"/>
          <w:lang w:val="en-US" w:eastAsia="zh-CN"/>
        </w:rPr>
        <w:t xml:space="preserve">2、按照长沙市财政局要求，根据中共长沙市委办公厅《关于印发长沙市2022年重大项目投资计划的通知》、双高计划建设项目建设进程，充分了解、全面掌握各部门（二级学院）资产配置需求，科学、合理、完整编制我校2022年资产配置预算调整和2023年度资产配置预算，保障学校各项重大建设项目的顺利实施。 </w:t>
      </w:r>
    </w:p>
    <w:p>
      <w:pPr>
        <w:spacing w:before="1" w:line="357" w:lineRule="auto"/>
        <w:ind w:left="64" w:right="158" w:firstLine="572"/>
        <w:rPr>
          <w:rFonts w:hint="eastAsia" w:ascii="仿宋" w:hAnsi="仿宋" w:eastAsia="仿宋" w:cs="仿宋"/>
          <w:spacing w:val="2"/>
          <w:sz w:val="31"/>
          <w:szCs w:val="31"/>
          <w:lang w:val="en-US" w:eastAsia="zh-CN"/>
        </w:rPr>
      </w:pPr>
      <w:r>
        <w:rPr>
          <w:rFonts w:hint="eastAsia" w:ascii="仿宋" w:hAnsi="仿宋" w:eastAsia="仿宋" w:cs="仿宋"/>
          <w:spacing w:val="2"/>
          <w:sz w:val="31"/>
          <w:szCs w:val="31"/>
          <w:lang w:val="en-US" w:eastAsia="zh-CN"/>
        </w:rPr>
        <w:t>3、为落实长沙市财政局报告国有资产管理情况制度要求，积极开展2021年资产年报和2022年资产月报报送工作，按时保质报送资产年报和月报表。</w:t>
      </w:r>
    </w:p>
    <w:p>
      <w:pPr>
        <w:spacing w:before="1" w:line="357" w:lineRule="auto"/>
        <w:ind w:left="64" w:right="158" w:firstLine="572"/>
        <w:rPr>
          <w:rFonts w:hint="eastAsia" w:ascii="仿宋" w:hAnsi="仿宋" w:eastAsia="仿宋" w:cs="仿宋"/>
          <w:spacing w:val="2"/>
          <w:sz w:val="31"/>
          <w:szCs w:val="31"/>
          <w:lang w:val="en-US" w:eastAsia="zh-CN"/>
        </w:rPr>
      </w:pPr>
      <w:r>
        <w:rPr>
          <w:rFonts w:hint="eastAsia" w:ascii="仿宋" w:hAnsi="仿宋" w:eastAsia="仿宋" w:cs="仿宋"/>
          <w:spacing w:val="2"/>
          <w:sz w:val="31"/>
          <w:szCs w:val="31"/>
          <w:lang w:val="en-US" w:eastAsia="zh-CN"/>
        </w:rPr>
        <w:t>4.根据《长沙市市级行政事业单位不动产清查暨权属登记专项工作方案》（长财资产〔2021〕71号)部署，市盘活“三资”专班委托湖南大宇联合会计师事务所对我校不动产（圭白路校区、韶山路校区、劳动西路校区)使用管理及权属登记情况进行现场核查，解决我校不动产部分历史遗留问题。</w:t>
      </w:r>
    </w:p>
    <w:p>
      <w:pPr>
        <w:spacing w:before="1" w:line="357" w:lineRule="auto"/>
        <w:ind w:left="64" w:right="158" w:firstLine="572"/>
        <w:rPr>
          <w:rFonts w:hint="eastAsia" w:ascii="仿宋" w:hAnsi="仿宋" w:eastAsia="仿宋" w:cs="仿宋"/>
          <w:spacing w:val="2"/>
          <w:sz w:val="31"/>
          <w:szCs w:val="31"/>
          <w:lang w:val="en-US" w:eastAsia="zh-CN"/>
        </w:rPr>
      </w:pPr>
      <w:r>
        <w:rPr>
          <w:rFonts w:hint="eastAsia" w:ascii="仿宋" w:hAnsi="仿宋" w:eastAsia="仿宋" w:cs="仿宋"/>
          <w:spacing w:val="2"/>
          <w:sz w:val="31"/>
          <w:szCs w:val="31"/>
          <w:lang w:val="en-US" w:eastAsia="zh-CN"/>
        </w:rPr>
        <w:t>5、切实做好我校国有资产清查盘点工作。对我校的基本情况、财务情况以及国有资产进行全面清查和核实，真实、完整地反映资产管理和财务状况，为加强资产管理和预算管理提供数据支撑，为以后编制年度预算、加强资产收益管理创造条件。</w:t>
      </w:r>
    </w:p>
    <w:p>
      <w:pPr>
        <w:spacing w:before="1" w:line="357" w:lineRule="auto"/>
        <w:ind w:left="64" w:right="158" w:firstLine="572"/>
        <w:rPr>
          <w:rFonts w:hint="eastAsia" w:ascii="仿宋" w:hAnsi="仿宋" w:eastAsia="仿宋" w:cs="仿宋"/>
          <w:spacing w:val="2"/>
          <w:sz w:val="31"/>
          <w:szCs w:val="31"/>
          <w:lang w:val="en-US" w:eastAsia="zh-CN"/>
        </w:rPr>
      </w:pPr>
      <w:r>
        <w:rPr>
          <w:rFonts w:hint="eastAsia" w:ascii="仿宋" w:hAnsi="仿宋" w:eastAsia="仿宋" w:cs="仿宋"/>
          <w:spacing w:val="2"/>
          <w:sz w:val="31"/>
          <w:szCs w:val="31"/>
          <w:lang w:val="en-US" w:eastAsia="zh-CN"/>
        </w:rPr>
        <w:t xml:space="preserve"> 6、强化资产处置事前评估论证，加强资产报废过程管理，严格规范资产报废程序，加强对设备和家具的日常维护和维修，避免资产的闲置和浪费。</w:t>
      </w:r>
    </w:p>
    <w:p>
      <w:pPr>
        <w:numPr>
          <w:ilvl w:val="0"/>
          <w:numId w:val="2"/>
        </w:numPr>
        <w:spacing w:before="101" w:line="236" w:lineRule="auto"/>
        <w:ind w:left="630" w:leftChars="0" w:firstLineChars="0"/>
        <w:rPr>
          <w:rFonts w:ascii="黑体" w:hAnsi="黑体" w:eastAsia="黑体" w:cs="黑体"/>
          <w:spacing w:val="8"/>
          <w:sz w:val="31"/>
          <w:szCs w:val="31"/>
        </w:rPr>
      </w:pPr>
      <w:r>
        <w:rPr>
          <w:rFonts w:ascii="黑体" w:hAnsi="黑体" w:eastAsia="黑体" w:cs="黑体"/>
          <w:spacing w:val="8"/>
          <w:sz w:val="31"/>
          <w:szCs w:val="31"/>
        </w:rPr>
        <w:t>政府性基金预算支出情况</w:t>
      </w:r>
    </w:p>
    <w:p>
      <w:pPr>
        <w:spacing w:before="1" w:line="357" w:lineRule="auto"/>
        <w:ind w:left="64" w:right="158" w:firstLine="572"/>
        <w:rPr>
          <w:rFonts w:hint="default" w:ascii="黑体" w:hAnsi="黑体" w:eastAsia="黑体" w:cs="黑体"/>
          <w:spacing w:val="8"/>
          <w:sz w:val="31"/>
          <w:szCs w:val="31"/>
          <w:lang w:val="en-US" w:eastAsia="zh-CN"/>
        </w:rPr>
      </w:pPr>
      <w:r>
        <w:rPr>
          <w:rFonts w:hint="eastAsia" w:ascii="黑体" w:hAnsi="黑体" w:eastAsia="黑体" w:cs="黑体"/>
          <w:spacing w:val="8"/>
          <w:sz w:val="31"/>
          <w:szCs w:val="31"/>
          <w:lang w:val="en-US" w:eastAsia="zh-CN"/>
        </w:rPr>
        <w:t xml:space="preserve">    无。</w:t>
      </w:r>
    </w:p>
    <w:p>
      <w:pPr>
        <w:numPr>
          <w:ilvl w:val="0"/>
          <w:numId w:val="2"/>
        </w:numPr>
        <w:spacing w:before="203" w:line="229" w:lineRule="auto"/>
        <w:ind w:left="630" w:leftChars="0" w:firstLine="0" w:firstLineChars="0"/>
        <w:rPr>
          <w:rFonts w:ascii="黑体" w:hAnsi="黑体" w:eastAsia="黑体" w:cs="黑体"/>
          <w:spacing w:val="8"/>
          <w:sz w:val="31"/>
          <w:szCs w:val="31"/>
        </w:rPr>
      </w:pPr>
      <w:r>
        <w:rPr>
          <w:rFonts w:ascii="黑体" w:hAnsi="黑体" w:eastAsia="黑体" w:cs="黑体"/>
          <w:spacing w:val="8"/>
          <w:sz w:val="31"/>
          <w:szCs w:val="31"/>
        </w:rPr>
        <w:t>国有资本经营预算支出情况</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3" w:line="228" w:lineRule="auto"/>
        <w:ind w:left="652" w:leftChars="0" w:firstLine="652" w:firstLineChars="200"/>
        <w:textAlignment w:val="baseline"/>
        <w:rPr>
          <w:rFonts w:ascii="黑体" w:hAnsi="黑体" w:eastAsia="黑体" w:cs="黑体"/>
          <w:spacing w:val="8"/>
          <w:sz w:val="31"/>
          <w:szCs w:val="31"/>
        </w:rPr>
      </w:pPr>
      <w:r>
        <w:rPr>
          <w:rFonts w:hint="eastAsia" w:ascii="黑体" w:hAnsi="黑体" w:eastAsia="黑体" w:cs="黑体"/>
          <w:spacing w:val="8"/>
          <w:sz w:val="31"/>
          <w:szCs w:val="31"/>
          <w:lang w:val="en-US" w:eastAsia="zh-CN"/>
        </w:rPr>
        <w:t>无。</w:t>
      </w:r>
    </w:p>
    <w:p>
      <w:pPr>
        <w:numPr>
          <w:ilvl w:val="0"/>
          <w:numId w:val="2"/>
        </w:numPr>
        <w:spacing w:before="215" w:line="232" w:lineRule="auto"/>
        <w:ind w:left="630" w:leftChars="0" w:firstLine="0" w:firstLineChars="0"/>
        <w:rPr>
          <w:rFonts w:ascii="黑体" w:hAnsi="黑体" w:eastAsia="黑体" w:cs="黑体"/>
          <w:spacing w:val="8"/>
          <w:sz w:val="31"/>
          <w:szCs w:val="31"/>
        </w:rPr>
      </w:pPr>
      <w:r>
        <w:rPr>
          <w:rFonts w:ascii="黑体" w:hAnsi="黑体" w:eastAsia="黑体" w:cs="黑体"/>
          <w:spacing w:val="8"/>
          <w:sz w:val="31"/>
          <w:szCs w:val="31"/>
        </w:rPr>
        <w:t>社会保险基金预算支出情况</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3" w:line="228" w:lineRule="auto"/>
        <w:ind w:left="652" w:leftChars="0" w:firstLine="652" w:firstLineChars="200"/>
        <w:textAlignment w:val="baseline"/>
        <w:rPr>
          <w:rFonts w:hint="eastAsia" w:ascii="黑体" w:hAnsi="黑体" w:eastAsia="黑体" w:cs="黑体"/>
          <w:spacing w:val="8"/>
          <w:sz w:val="31"/>
          <w:szCs w:val="31"/>
          <w:lang w:val="en-US" w:eastAsia="zh-CN"/>
        </w:rPr>
      </w:pPr>
      <w:r>
        <w:rPr>
          <w:rFonts w:hint="eastAsia" w:ascii="黑体" w:hAnsi="黑体" w:eastAsia="黑体" w:cs="黑体"/>
          <w:spacing w:val="8"/>
          <w:sz w:val="31"/>
          <w:szCs w:val="31"/>
          <w:lang w:val="en-US" w:eastAsia="zh-CN"/>
        </w:rPr>
        <w:t>无。</w:t>
      </w:r>
    </w:p>
    <w:p>
      <w:pPr>
        <w:spacing w:before="210" w:line="230" w:lineRule="auto"/>
        <w:ind w:left="642"/>
        <w:rPr>
          <w:rFonts w:ascii="黑体" w:hAnsi="黑体" w:eastAsia="黑体" w:cs="黑体"/>
          <w:sz w:val="31"/>
          <w:szCs w:val="31"/>
        </w:rPr>
      </w:pPr>
      <w:r>
        <w:rPr>
          <w:rFonts w:ascii="黑体" w:hAnsi="黑体" w:eastAsia="黑体" w:cs="黑体"/>
          <w:spacing w:val="15"/>
          <w:sz w:val="31"/>
          <w:szCs w:val="31"/>
        </w:rPr>
        <w:t>八</w:t>
      </w:r>
      <w:r>
        <w:rPr>
          <w:rFonts w:ascii="黑体" w:hAnsi="黑体" w:eastAsia="黑体" w:cs="黑体"/>
          <w:spacing w:val="8"/>
          <w:sz w:val="31"/>
          <w:szCs w:val="31"/>
        </w:rPr>
        <w:t>、部门整体支出绩效情况</w:t>
      </w:r>
    </w:p>
    <w:p>
      <w:pPr>
        <w:spacing w:before="216" w:line="357" w:lineRule="auto"/>
        <w:ind w:left="1" w:firstLine="660"/>
        <w:rPr>
          <w:rFonts w:ascii="仿宋" w:hAnsi="仿宋" w:eastAsia="仿宋" w:cs="仿宋"/>
          <w:sz w:val="31"/>
          <w:szCs w:val="31"/>
        </w:rPr>
      </w:pPr>
      <w:r>
        <w:rPr>
          <w:rFonts w:ascii="仿宋" w:hAnsi="仿宋" w:eastAsia="仿宋" w:cs="仿宋"/>
          <w:spacing w:val="16"/>
          <w:sz w:val="31"/>
          <w:szCs w:val="31"/>
        </w:rPr>
        <w:t>总</w:t>
      </w:r>
      <w:r>
        <w:rPr>
          <w:rFonts w:ascii="仿宋" w:hAnsi="仿宋" w:eastAsia="仿宋" w:cs="仿宋"/>
          <w:spacing w:val="13"/>
          <w:sz w:val="31"/>
          <w:szCs w:val="31"/>
        </w:rPr>
        <w:t>结归纳本部门</w:t>
      </w:r>
      <w:r>
        <w:rPr>
          <w:rFonts w:ascii="Times New Roman" w:hAnsi="Times New Roman" w:eastAsia="Times New Roman" w:cs="Times New Roman"/>
          <w:spacing w:val="13"/>
          <w:sz w:val="31"/>
          <w:szCs w:val="31"/>
        </w:rPr>
        <w:t>“</w:t>
      </w:r>
      <w:r>
        <w:rPr>
          <w:rFonts w:ascii="仿宋" w:hAnsi="仿宋" w:eastAsia="仿宋" w:cs="仿宋"/>
          <w:spacing w:val="13"/>
          <w:sz w:val="31"/>
          <w:szCs w:val="31"/>
        </w:rPr>
        <w:t>四本预算</w:t>
      </w:r>
      <w:r>
        <w:rPr>
          <w:rFonts w:ascii="Times New Roman" w:hAnsi="Times New Roman" w:eastAsia="Times New Roman" w:cs="Times New Roman"/>
          <w:spacing w:val="13"/>
          <w:sz w:val="31"/>
          <w:szCs w:val="31"/>
        </w:rPr>
        <w:t>”</w:t>
      </w:r>
      <w:r>
        <w:rPr>
          <w:rFonts w:ascii="仿宋" w:hAnsi="仿宋" w:eastAsia="仿宋" w:cs="仿宋"/>
          <w:spacing w:val="13"/>
          <w:sz w:val="31"/>
          <w:szCs w:val="31"/>
        </w:rPr>
        <w:t>支出的绩效目标完成情况，实</w:t>
      </w:r>
      <w:r>
        <w:rPr>
          <w:rFonts w:ascii="仿宋" w:hAnsi="仿宋" w:eastAsia="仿宋" w:cs="仿宋"/>
          <w:sz w:val="31"/>
          <w:szCs w:val="31"/>
        </w:rPr>
        <w:t xml:space="preserve"> </w:t>
      </w:r>
      <w:r>
        <w:rPr>
          <w:rFonts w:ascii="仿宋" w:hAnsi="仿宋" w:eastAsia="仿宋" w:cs="仿宋"/>
          <w:spacing w:val="2"/>
          <w:sz w:val="31"/>
          <w:szCs w:val="31"/>
        </w:rPr>
        <w:t>现产出和取得效益</w:t>
      </w:r>
      <w:r>
        <w:rPr>
          <w:rFonts w:ascii="仿宋" w:hAnsi="仿宋" w:eastAsia="仿宋" w:cs="仿宋"/>
          <w:spacing w:val="1"/>
          <w:sz w:val="31"/>
          <w:szCs w:val="31"/>
        </w:rPr>
        <w:t>的情况。 围绕部门职责、行业发展规划， 以</w:t>
      </w:r>
      <w:r>
        <w:rPr>
          <w:rFonts w:ascii="仿宋" w:hAnsi="仿宋" w:eastAsia="仿宋" w:cs="仿宋"/>
          <w:sz w:val="31"/>
          <w:szCs w:val="31"/>
        </w:rPr>
        <w:t xml:space="preserve"> </w:t>
      </w:r>
      <w:r>
        <w:rPr>
          <w:rFonts w:ascii="仿宋" w:hAnsi="仿宋" w:eastAsia="仿宋" w:cs="仿宋"/>
          <w:spacing w:val="13"/>
          <w:sz w:val="31"/>
          <w:szCs w:val="31"/>
        </w:rPr>
        <w:t>预算资金管理为主线，总结部门资产管理和开展业务情况，</w:t>
      </w:r>
      <w:r>
        <w:rPr>
          <w:rFonts w:ascii="仿宋" w:hAnsi="仿宋" w:eastAsia="仿宋" w:cs="仿宋"/>
          <w:spacing w:val="9"/>
          <w:sz w:val="31"/>
          <w:szCs w:val="31"/>
        </w:rPr>
        <w:t>从</w:t>
      </w:r>
      <w:r>
        <w:rPr>
          <w:rFonts w:ascii="仿宋" w:hAnsi="仿宋" w:eastAsia="仿宋" w:cs="仿宋"/>
          <w:sz w:val="31"/>
          <w:szCs w:val="31"/>
        </w:rPr>
        <w:t xml:space="preserve"> </w:t>
      </w:r>
      <w:r>
        <w:rPr>
          <w:rFonts w:ascii="仿宋" w:hAnsi="仿宋" w:eastAsia="仿宋" w:cs="仿宋"/>
          <w:spacing w:val="13"/>
          <w:sz w:val="31"/>
          <w:szCs w:val="31"/>
        </w:rPr>
        <w:t>运行成本、管理效率、履职效能、社会效应、可持续发展能</w:t>
      </w:r>
      <w:r>
        <w:rPr>
          <w:rFonts w:ascii="仿宋" w:hAnsi="仿宋" w:eastAsia="仿宋" w:cs="仿宋"/>
          <w:spacing w:val="9"/>
          <w:sz w:val="31"/>
          <w:szCs w:val="31"/>
        </w:rPr>
        <w:t>力</w:t>
      </w:r>
      <w:r>
        <w:rPr>
          <w:rFonts w:ascii="仿宋" w:hAnsi="仿宋" w:eastAsia="仿宋" w:cs="仿宋"/>
          <w:sz w:val="31"/>
          <w:szCs w:val="31"/>
        </w:rPr>
        <w:t xml:space="preserve"> </w:t>
      </w:r>
      <w:r>
        <w:rPr>
          <w:rFonts w:ascii="仿宋" w:hAnsi="仿宋" w:eastAsia="仿宋" w:cs="仿宋"/>
          <w:spacing w:val="8"/>
          <w:sz w:val="31"/>
          <w:szCs w:val="31"/>
        </w:rPr>
        <w:t>和服务对</w:t>
      </w:r>
      <w:r>
        <w:rPr>
          <w:rFonts w:ascii="仿宋" w:hAnsi="仿宋" w:eastAsia="仿宋" w:cs="仿宋"/>
          <w:spacing w:val="4"/>
          <w:sz w:val="31"/>
          <w:szCs w:val="31"/>
        </w:rPr>
        <w:t>象满意度等方面，衡量部门整体及核心业务实施效果。</w:t>
      </w:r>
    </w:p>
    <w:p>
      <w:pPr>
        <w:spacing w:before="1" w:line="224" w:lineRule="auto"/>
        <w:ind w:left="647"/>
        <w:rPr>
          <w:rFonts w:ascii="黑体" w:hAnsi="黑体" w:eastAsia="黑体" w:cs="黑体"/>
          <w:sz w:val="31"/>
          <w:szCs w:val="31"/>
        </w:rPr>
      </w:pPr>
      <w:r>
        <w:rPr>
          <w:rFonts w:ascii="黑体" w:hAnsi="黑体" w:eastAsia="黑体" w:cs="黑体"/>
          <w:spacing w:val="10"/>
          <w:sz w:val="31"/>
          <w:szCs w:val="31"/>
        </w:rPr>
        <w:t>九</w:t>
      </w:r>
      <w:r>
        <w:rPr>
          <w:rFonts w:ascii="黑体" w:hAnsi="黑体" w:eastAsia="黑体" w:cs="黑体"/>
          <w:spacing w:val="8"/>
          <w:sz w:val="31"/>
          <w:szCs w:val="31"/>
        </w:rPr>
        <w:t>、存在的问题及原因分析</w:t>
      </w:r>
    </w:p>
    <w:p>
      <w:pPr>
        <w:numPr>
          <w:ilvl w:val="0"/>
          <w:numId w:val="3"/>
        </w:numPr>
        <w:spacing w:before="229" w:line="357" w:lineRule="auto"/>
        <w:ind w:left="5" w:right="186" w:firstLine="640"/>
        <w:rPr>
          <w:rFonts w:hint="eastAsia" w:ascii="仿宋" w:hAnsi="仿宋" w:eastAsia="仿宋" w:cs="仿宋"/>
          <w:spacing w:val="18"/>
          <w:sz w:val="31"/>
          <w:szCs w:val="31"/>
          <w:lang w:val="en-US" w:eastAsia="zh-CN"/>
        </w:rPr>
      </w:pPr>
      <w:r>
        <w:rPr>
          <w:rFonts w:hint="eastAsia" w:ascii="仿宋" w:hAnsi="仿宋" w:eastAsia="仿宋" w:cs="仿宋"/>
          <w:spacing w:val="18"/>
          <w:sz w:val="31"/>
          <w:szCs w:val="31"/>
          <w:lang w:val="en-US" w:eastAsia="zh-CN"/>
        </w:rPr>
        <w:t xml:space="preserve">预算编制不够全面，主要涉及部分基建项目资金及课题经费，因其具有一定的不可控性，故未纳入年初预算范围，影响整体预算编制的准确率，预算编制准确率有待进一步提高。 </w:t>
      </w:r>
    </w:p>
    <w:p>
      <w:pPr>
        <w:numPr>
          <w:ilvl w:val="0"/>
          <w:numId w:val="3"/>
        </w:numPr>
        <w:spacing w:before="229" w:line="357" w:lineRule="auto"/>
        <w:ind w:left="5" w:right="186" w:firstLine="640"/>
        <w:rPr>
          <w:rFonts w:hint="eastAsia" w:ascii="仿宋" w:hAnsi="仿宋" w:eastAsia="仿宋" w:cs="仿宋"/>
          <w:spacing w:val="18"/>
          <w:sz w:val="31"/>
          <w:szCs w:val="31"/>
          <w:lang w:val="en-US" w:eastAsia="zh-CN"/>
        </w:rPr>
      </w:pPr>
      <w:r>
        <w:rPr>
          <w:rFonts w:hint="eastAsia" w:ascii="仿宋" w:hAnsi="仿宋" w:eastAsia="仿宋" w:cs="仿宋"/>
          <w:spacing w:val="18"/>
          <w:sz w:val="31"/>
          <w:szCs w:val="31"/>
          <w:lang w:val="en-US" w:eastAsia="zh-CN"/>
        </w:rPr>
        <w:t>项目建设进度有待加快，项目资金的下达存在不及时的情况，导致项目支出率较低。 部分专项资金下达时间晚，例如十一月底、十二月底才下达，造成资金使用时间紧迫，支付困难加大。个别部门在项目执行后报账不积极，导致部分项目实际已经执行，但是在财务上未支付项目进度款。</w:t>
      </w:r>
    </w:p>
    <w:p>
      <w:pPr>
        <w:numPr>
          <w:ilvl w:val="0"/>
          <w:numId w:val="3"/>
        </w:numPr>
        <w:spacing w:before="229" w:line="357" w:lineRule="auto"/>
        <w:ind w:left="5" w:right="186" w:firstLine="640"/>
        <w:rPr>
          <w:rFonts w:hint="eastAsia" w:ascii="仿宋" w:hAnsi="仿宋" w:eastAsia="仿宋" w:cs="仿宋"/>
          <w:spacing w:val="18"/>
          <w:sz w:val="31"/>
          <w:szCs w:val="31"/>
          <w:lang w:val="en-US" w:eastAsia="zh-CN"/>
        </w:rPr>
      </w:pPr>
      <w:r>
        <w:rPr>
          <w:rFonts w:hint="eastAsia" w:ascii="仿宋" w:hAnsi="仿宋" w:eastAsia="仿宋" w:cs="仿宋"/>
          <w:spacing w:val="18"/>
          <w:sz w:val="31"/>
          <w:szCs w:val="31"/>
          <w:lang w:val="en-US" w:eastAsia="zh-CN"/>
        </w:rPr>
        <w:t>校园建筑及设施设备陈旧，影响到学校的规模扩大及进一步发展。有待进一步改善学校办学条件，满足全体教职工及全校学生对内涵教育的需求，促进学校可持续告诉发展，努力打造与国家双高校相匹配的优质职业教育。</w:t>
      </w:r>
    </w:p>
    <w:p>
      <w:pPr>
        <w:numPr>
          <w:ilvl w:val="0"/>
          <w:numId w:val="3"/>
        </w:numPr>
        <w:spacing w:before="229" w:line="357" w:lineRule="auto"/>
        <w:ind w:left="5" w:right="186" w:firstLine="640"/>
        <w:rPr>
          <w:rFonts w:hint="eastAsia" w:ascii="仿宋" w:hAnsi="仿宋" w:eastAsia="仿宋" w:cs="仿宋"/>
          <w:spacing w:val="18"/>
          <w:sz w:val="31"/>
          <w:szCs w:val="31"/>
          <w:lang w:val="en-US" w:eastAsia="zh-CN"/>
        </w:rPr>
      </w:pPr>
      <w:r>
        <w:rPr>
          <w:rFonts w:hint="eastAsia" w:ascii="仿宋" w:hAnsi="仿宋" w:eastAsia="仿宋" w:cs="仿宋"/>
          <w:spacing w:val="18"/>
          <w:sz w:val="31"/>
          <w:szCs w:val="31"/>
          <w:lang w:val="en-US" w:eastAsia="zh-CN"/>
        </w:rPr>
        <w:t xml:space="preserve"> 资产管理过程中存在部分实训室设备，学生在使用过程中不够爱惜，导致资产维修、维护频繁。</w:t>
      </w:r>
    </w:p>
    <w:p>
      <w:pPr>
        <w:spacing w:line="228" w:lineRule="auto"/>
        <w:ind w:left="649"/>
        <w:rPr>
          <w:rFonts w:ascii="黑体" w:hAnsi="黑体" w:eastAsia="黑体" w:cs="黑体"/>
          <w:spacing w:val="7"/>
          <w:sz w:val="31"/>
          <w:szCs w:val="31"/>
        </w:rPr>
      </w:pPr>
      <w:r>
        <w:rPr>
          <w:rFonts w:ascii="黑体" w:hAnsi="黑体" w:eastAsia="黑体" w:cs="黑体"/>
          <w:spacing w:val="10"/>
          <w:sz w:val="31"/>
          <w:szCs w:val="31"/>
        </w:rPr>
        <w:t>十</w:t>
      </w:r>
      <w:r>
        <w:rPr>
          <w:rFonts w:ascii="黑体" w:hAnsi="黑体" w:eastAsia="黑体" w:cs="黑体"/>
          <w:spacing w:val="7"/>
          <w:sz w:val="31"/>
          <w:szCs w:val="31"/>
        </w:rPr>
        <w:t>、下一步改进措施</w:t>
      </w:r>
    </w:p>
    <w:p>
      <w:pPr>
        <w:spacing w:before="229" w:line="357" w:lineRule="auto"/>
        <w:ind w:left="5" w:right="186" w:firstLine="640"/>
        <w:rPr>
          <w:rFonts w:hint="eastAsia" w:ascii="仿宋" w:hAnsi="仿宋" w:eastAsia="仿宋" w:cs="仿宋"/>
          <w:spacing w:val="18"/>
          <w:sz w:val="31"/>
          <w:szCs w:val="31"/>
          <w:lang w:val="en-US" w:eastAsia="zh-CN"/>
        </w:rPr>
      </w:pPr>
      <w:r>
        <w:rPr>
          <w:rFonts w:hint="eastAsia" w:ascii="仿宋" w:hAnsi="仿宋" w:eastAsia="仿宋" w:cs="仿宋"/>
          <w:spacing w:val="18"/>
          <w:sz w:val="31"/>
          <w:szCs w:val="31"/>
          <w:lang w:val="en-US" w:eastAsia="zh-CN"/>
        </w:rPr>
        <w:t xml:space="preserve">1.建立科学完善的预算管理流程，准确编制预算，紧紧围绕业务活动，以经济有效的投入达成业务管理事项，组织各个业务部门参与预算编制，建立完整的预算编制底稿，尽可能的编制完整准确的预算。 </w:t>
      </w:r>
    </w:p>
    <w:p>
      <w:pPr>
        <w:spacing w:before="229" w:line="357" w:lineRule="auto"/>
        <w:ind w:left="5" w:right="186" w:firstLine="640"/>
        <w:rPr>
          <w:rFonts w:hint="eastAsia" w:ascii="仿宋" w:hAnsi="仿宋" w:eastAsia="仿宋" w:cs="仿宋"/>
          <w:spacing w:val="18"/>
          <w:sz w:val="31"/>
          <w:szCs w:val="31"/>
          <w:lang w:val="en-US" w:eastAsia="zh-CN"/>
        </w:rPr>
      </w:pPr>
      <w:r>
        <w:rPr>
          <w:rFonts w:hint="eastAsia" w:ascii="仿宋" w:hAnsi="仿宋" w:eastAsia="仿宋" w:cs="仿宋"/>
          <w:spacing w:val="18"/>
          <w:sz w:val="31"/>
          <w:szCs w:val="31"/>
          <w:lang w:val="en-US" w:eastAsia="zh-CN"/>
        </w:rPr>
        <w:t xml:space="preserve">2.增强预算管理，每月督促、提醒资金使用部门，尽量做到各项资金支出在月度间平衡，避免年底项目资金集中支付的情况；对于部分年底才能下达的资金指标，让各相关部门提前做好支付材料准备，当指标下达后及时提交支付，避免因时间紧迫而导致指标过期收回不能支付。 </w:t>
      </w:r>
    </w:p>
    <w:p>
      <w:pPr>
        <w:spacing w:before="229" w:line="357" w:lineRule="auto"/>
        <w:ind w:left="5" w:right="186" w:firstLine="640"/>
        <w:rPr>
          <w:rFonts w:hint="eastAsia" w:ascii="仿宋" w:hAnsi="仿宋" w:eastAsia="仿宋" w:cs="仿宋"/>
          <w:spacing w:val="18"/>
          <w:sz w:val="31"/>
          <w:szCs w:val="31"/>
          <w:lang w:val="en-US" w:eastAsia="zh-CN"/>
        </w:rPr>
      </w:pPr>
      <w:r>
        <w:rPr>
          <w:rFonts w:hint="eastAsia" w:ascii="仿宋" w:hAnsi="仿宋" w:eastAsia="仿宋" w:cs="仿宋"/>
          <w:spacing w:val="18"/>
          <w:sz w:val="31"/>
          <w:szCs w:val="31"/>
          <w:lang w:val="en-US" w:eastAsia="zh-CN"/>
        </w:rPr>
        <w:t>3、加大校园环境提质改造的力度，争取在有限的经费支出范围内，将资金用在刀刃上，达到最大、最好的校园环境改善效果。</w:t>
      </w:r>
    </w:p>
    <w:p>
      <w:pPr>
        <w:spacing w:before="229" w:line="357" w:lineRule="auto"/>
        <w:ind w:left="5" w:right="186" w:firstLine="640"/>
        <w:rPr>
          <w:rFonts w:hint="eastAsia" w:ascii="仿宋" w:hAnsi="仿宋" w:eastAsia="仿宋" w:cs="仿宋"/>
          <w:spacing w:val="18"/>
          <w:sz w:val="31"/>
          <w:szCs w:val="31"/>
          <w:lang w:val="en-US" w:eastAsia="zh-CN"/>
        </w:rPr>
      </w:pPr>
      <w:r>
        <w:rPr>
          <w:rFonts w:hint="eastAsia" w:ascii="仿宋" w:hAnsi="仿宋" w:eastAsia="仿宋" w:cs="仿宋"/>
          <w:spacing w:val="18"/>
          <w:sz w:val="31"/>
          <w:szCs w:val="31"/>
          <w:lang w:val="en-US" w:eastAsia="zh-CN"/>
        </w:rPr>
        <w:t>4、加强学生爱护实训室设备等公共财产的理念教育，在校园公共场所及班级教育中加大爱护公共财物的宣传。逐步提高学生爱护国有资产的意识。 资产管理员定期对二级学院及各部门师生进行培训。</w:t>
      </w:r>
    </w:p>
    <w:p>
      <w:pPr>
        <w:spacing w:before="217" w:line="600" w:lineRule="exact"/>
        <w:ind w:left="649"/>
        <w:rPr>
          <w:rFonts w:ascii="黑体" w:hAnsi="黑体" w:eastAsia="黑体" w:cs="黑体"/>
          <w:spacing w:val="8"/>
          <w:position w:val="21"/>
          <w:sz w:val="31"/>
          <w:szCs w:val="31"/>
        </w:rPr>
      </w:pPr>
      <w:r>
        <w:rPr>
          <w:rFonts w:ascii="黑体" w:hAnsi="黑体" w:eastAsia="黑体" w:cs="黑体"/>
          <w:spacing w:val="16"/>
          <w:position w:val="21"/>
          <w:sz w:val="31"/>
          <w:szCs w:val="31"/>
        </w:rPr>
        <w:t>十</w:t>
      </w:r>
      <w:r>
        <w:rPr>
          <w:rFonts w:ascii="黑体" w:hAnsi="黑体" w:eastAsia="黑体" w:cs="黑体"/>
          <w:spacing w:val="13"/>
          <w:position w:val="21"/>
          <w:sz w:val="31"/>
          <w:szCs w:val="31"/>
        </w:rPr>
        <w:t>一</w:t>
      </w:r>
      <w:r>
        <w:rPr>
          <w:rFonts w:ascii="黑体" w:hAnsi="黑体" w:eastAsia="黑体" w:cs="黑体"/>
          <w:spacing w:val="8"/>
          <w:position w:val="21"/>
          <w:sz w:val="31"/>
          <w:szCs w:val="31"/>
        </w:rPr>
        <w:t>、绩效自评结果拟应用和公开情况</w:t>
      </w:r>
    </w:p>
    <w:p>
      <w:pPr>
        <w:spacing w:before="229" w:line="357" w:lineRule="auto"/>
        <w:ind w:left="5" w:right="186" w:firstLine="640"/>
        <w:jc w:val="left"/>
        <w:rPr>
          <w:rFonts w:hint="default" w:ascii="仿宋" w:hAnsi="仿宋" w:eastAsia="仿宋" w:cs="仿宋"/>
          <w:spacing w:val="18"/>
          <w:sz w:val="31"/>
          <w:szCs w:val="31"/>
          <w:lang w:val="en-US" w:eastAsia="zh-CN"/>
        </w:rPr>
      </w:pPr>
      <w:r>
        <w:rPr>
          <w:rFonts w:hint="eastAsia" w:ascii="仿宋" w:hAnsi="仿宋" w:eastAsia="仿宋" w:cs="仿宋"/>
          <w:spacing w:val="18"/>
          <w:sz w:val="31"/>
          <w:szCs w:val="31"/>
          <w:lang w:val="en-US" w:eastAsia="zh-CN"/>
        </w:rPr>
        <w:t>绩效自评结果拟按照财政要求在我校官网上，校务公开-公开信息栏目公开。</w:t>
      </w:r>
    </w:p>
    <w:p>
      <w:pPr>
        <w:spacing w:line="375" w:lineRule="auto"/>
      </w:pPr>
    </w:p>
    <w:sectPr>
      <w:footerReference r:id="rId4" w:type="default"/>
      <w:pgSz w:w="11906" w:h="16839"/>
      <w:pgMar w:top="1431" w:right="1310" w:bottom="1552" w:left="1310" w:header="0" w:footer="131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roman"/>
    <w:pitch w:val="default"/>
    <w:sig w:usb0="800002BF" w:usb1="38CF7CFA" w:usb2="00000016" w:usb3="00000000" w:csb0="00040001" w:csb1="00000000"/>
  </w:font>
  <w:font w:name="楷体">
    <w:panose1 w:val="02010609060101010101"/>
    <w:charset w:val="86"/>
    <w:family w:val="roma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jc w:val="right"/>
      <w:rPr>
        <w:rFonts w:ascii="宋体" w:hAnsi="宋体" w:eastAsia="宋体" w:cs="宋体"/>
        <w:sz w:val="23"/>
        <w:szCs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283"/>
      <w:rPr>
        <w:rFonts w:ascii="宋体" w:hAnsi="宋体" w:eastAsia="宋体" w:cs="宋体"/>
        <w:sz w:val="23"/>
        <w:szCs w:val="23"/>
      </w:rPr>
    </w:pPr>
    <w:r>
      <w:rPr>
        <w:rFonts w:ascii="宋体" w:hAnsi="宋体" w:eastAsia="宋体" w:cs="宋体"/>
        <w:spacing w:val="7"/>
        <w:sz w:val="23"/>
        <w:szCs w:val="23"/>
      </w:rPr>
      <w:t>—</w:t>
    </w:r>
    <w:r>
      <w:rPr>
        <w:rFonts w:ascii="宋体" w:hAnsi="宋体" w:eastAsia="宋体" w:cs="宋体"/>
        <w:spacing w:val="5"/>
        <w:sz w:val="23"/>
        <w:szCs w:val="23"/>
      </w:rPr>
      <w:t xml:space="preserve"> 14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F9E58C"/>
    <w:multiLevelType w:val="singleLevel"/>
    <w:tmpl w:val="9AF9E58C"/>
    <w:lvl w:ilvl="0" w:tentative="0">
      <w:start w:val="1"/>
      <w:numFmt w:val="decimal"/>
      <w:suff w:val="nothing"/>
      <w:lvlText w:val="%1、"/>
      <w:lvlJc w:val="left"/>
    </w:lvl>
  </w:abstractNum>
  <w:abstractNum w:abstractNumId="1">
    <w:nsid w:val="1D9C55FB"/>
    <w:multiLevelType w:val="singleLevel"/>
    <w:tmpl w:val="1D9C55FB"/>
    <w:lvl w:ilvl="0" w:tentative="0">
      <w:start w:val="1"/>
      <w:numFmt w:val="decimal"/>
      <w:suff w:val="nothing"/>
      <w:lvlText w:val="%1、"/>
      <w:lvlJc w:val="left"/>
    </w:lvl>
  </w:abstractNum>
  <w:abstractNum w:abstractNumId="2">
    <w:nsid w:val="5C247CAE"/>
    <w:multiLevelType w:val="singleLevel"/>
    <w:tmpl w:val="5C247CAE"/>
    <w:lvl w:ilvl="0" w:tentative="0">
      <w:start w:val="5"/>
      <w:numFmt w:val="chineseCounting"/>
      <w:suff w:val="nothing"/>
      <w:lvlText w:val="%1、"/>
      <w:lvlJc w:val="left"/>
      <w:pPr>
        <w:ind w:left="-2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mM4NWM4MThiY2Q3YWI3OGVhN2IzNGRhNzdmNjY2ZjgifQ=="/>
    <w:docVar w:name="KSO_WPS_MARK_KEY" w:val="72ab65ce-39a4-44c2-a84c-3b0fd68903ee"/>
  </w:docVars>
  <w:rsids>
    <w:rsidRoot w:val="00825872"/>
    <w:rsid w:val="001669D4"/>
    <w:rsid w:val="0033282E"/>
    <w:rsid w:val="00417EF4"/>
    <w:rsid w:val="005345BF"/>
    <w:rsid w:val="00825872"/>
    <w:rsid w:val="00A908FA"/>
    <w:rsid w:val="01211AD4"/>
    <w:rsid w:val="012A2737"/>
    <w:rsid w:val="02510197"/>
    <w:rsid w:val="02866093"/>
    <w:rsid w:val="02DA018C"/>
    <w:rsid w:val="02EA183D"/>
    <w:rsid w:val="02FF7BF3"/>
    <w:rsid w:val="031F2043"/>
    <w:rsid w:val="039447DF"/>
    <w:rsid w:val="03C22E80"/>
    <w:rsid w:val="03D41080"/>
    <w:rsid w:val="03E70DB3"/>
    <w:rsid w:val="043449DC"/>
    <w:rsid w:val="04CD61FB"/>
    <w:rsid w:val="04DB2C47"/>
    <w:rsid w:val="0544266C"/>
    <w:rsid w:val="05BE78F1"/>
    <w:rsid w:val="05E732EC"/>
    <w:rsid w:val="06514C09"/>
    <w:rsid w:val="06BC02D5"/>
    <w:rsid w:val="07524795"/>
    <w:rsid w:val="07810F2C"/>
    <w:rsid w:val="07852DBD"/>
    <w:rsid w:val="07D96B87"/>
    <w:rsid w:val="07FB495C"/>
    <w:rsid w:val="083D71F3"/>
    <w:rsid w:val="085602B5"/>
    <w:rsid w:val="08EB4EA1"/>
    <w:rsid w:val="08ED62FB"/>
    <w:rsid w:val="090715AF"/>
    <w:rsid w:val="09734E97"/>
    <w:rsid w:val="09954E0D"/>
    <w:rsid w:val="0A067AB9"/>
    <w:rsid w:val="0A402FCB"/>
    <w:rsid w:val="0A434869"/>
    <w:rsid w:val="0A6F1B02"/>
    <w:rsid w:val="0B074360"/>
    <w:rsid w:val="0B8A324F"/>
    <w:rsid w:val="0BC11EE9"/>
    <w:rsid w:val="0BC33EB3"/>
    <w:rsid w:val="0C275CD3"/>
    <w:rsid w:val="0C656D19"/>
    <w:rsid w:val="0D295F98"/>
    <w:rsid w:val="0D5A1BF7"/>
    <w:rsid w:val="0D6276FC"/>
    <w:rsid w:val="0D8633EB"/>
    <w:rsid w:val="0DA90E87"/>
    <w:rsid w:val="0DBE0DD6"/>
    <w:rsid w:val="0E547045"/>
    <w:rsid w:val="0E6D6359"/>
    <w:rsid w:val="0EAF6971"/>
    <w:rsid w:val="0EB977F0"/>
    <w:rsid w:val="0F6D5D93"/>
    <w:rsid w:val="0FB73D2F"/>
    <w:rsid w:val="0FD61CDB"/>
    <w:rsid w:val="103C2486"/>
    <w:rsid w:val="10703EDE"/>
    <w:rsid w:val="107439CE"/>
    <w:rsid w:val="10991687"/>
    <w:rsid w:val="109C4CD3"/>
    <w:rsid w:val="11321B15"/>
    <w:rsid w:val="114E2471"/>
    <w:rsid w:val="119360D6"/>
    <w:rsid w:val="11F71443"/>
    <w:rsid w:val="12053225"/>
    <w:rsid w:val="126616AD"/>
    <w:rsid w:val="127F48AC"/>
    <w:rsid w:val="12BE3627"/>
    <w:rsid w:val="12C0114D"/>
    <w:rsid w:val="12F901BB"/>
    <w:rsid w:val="13897791"/>
    <w:rsid w:val="1393060F"/>
    <w:rsid w:val="13D84274"/>
    <w:rsid w:val="13FB7F63"/>
    <w:rsid w:val="14027543"/>
    <w:rsid w:val="14706BA3"/>
    <w:rsid w:val="14C03686"/>
    <w:rsid w:val="14CD7B51"/>
    <w:rsid w:val="14ED2436"/>
    <w:rsid w:val="14F34327"/>
    <w:rsid w:val="14FC0436"/>
    <w:rsid w:val="151B67DE"/>
    <w:rsid w:val="152623AC"/>
    <w:rsid w:val="153100E0"/>
    <w:rsid w:val="154C6CC8"/>
    <w:rsid w:val="159643E7"/>
    <w:rsid w:val="15DD5B72"/>
    <w:rsid w:val="16663DB9"/>
    <w:rsid w:val="169A335D"/>
    <w:rsid w:val="16CD208A"/>
    <w:rsid w:val="17261748"/>
    <w:rsid w:val="174165D4"/>
    <w:rsid w:val="176D73C9"/>
    <w:rsid w:val="1773582D"/>
    <w:rsid w:val="18552337"/>
    <w:rsid w:val="186C7681"/>
    <w:rsid w:val="18B21538"/>
    <w:rsid w:val="192A33E4"/>
    <w:rsid w:val="19772DE4"/>
    <w:rsid w:val="197E141A"/>
    <w:rsid w:val="19AA220F"/>
    <w:rsid w:val="1A2D3180"/>
    <w:rsid w:val="1AA5178A"/>
    <w:rsid w:val="1B1069E9"/>
    <w:rsid w:val="1B486183"/>
    <w:rsid w:val="1BD16179"/>
    <w:rsid w:val="1BE46BF3"/>
    <w:rsid w:val="1BEF65FF"/>
    <w:rsid w:val="1C2362A8"/>
    <w:rsid w:val="1CF3211F"/>
    <w:rsid w:val="1CF540E9"/>
    <w:rsid w:val="1D281406"/>
    <w:rsid w:val="1D921938"/>
    <w:rsid w:val="1DA33B45"/>
    <w:rsid w:val="1DA5166B"/>
    <w:rsid w:val="1DAD49C3"/>
    <w:rsid w:val="1DE71C83"/>
    <w:rsid w:val="1DEB0959"/>
    <w:rsid w:val="1E7948A6"/>
    <w:rsid w:val="1E7B061E"/>
    <w:rsid w:val="1E984D2C"/>
    <w:rsid w:val="1F351389"/>
    <w:rsid w:val="1F413615"/>
    <w:rsid w:val="1F6D61B8"/>
    <w:rsid w:val="1FCF29CF"/>
    <w:rsid w:val="20203DA8"/>
    <w:rsid w:val="202645B9"/>
    <w:rsid w:val="203B5E14"/>
    <w:rsid w:val="208539D6"/>
    <w:rsid w:val="20D44015"/>
    <w:rsid w:val="20E22BD6"/>
    <w:rsid w:val="21257386"/>
    <w:rsid w:val="217355DC"/>
    <w:rsid w:val="21940A78"/>
    <w:rsid w:val="219914E7"/>
    <w:rsid w:val="21DA565B"/>
    <w:rsid w:val="21F030D1"/>
    <w:rsid w:val="21F04E7F"/>
    <w:rsid w:val="228D26CE"/>
    <w:rsid w:val="235C4C30"/>
    <w:rsid w:val="23871813"/>
    <w:rsid w:val="23A128D5"/>
    <w:rsid w:val="23D902C0"/>
    <w:rsid w:val="23F23130"/>
    <w:rsid w:val="24763D61"/>
    <w:rsid w:val="24B71C84"/>
    <w:rsid w:val="252E1F46"/>
    <w:rsid w:val="255816B9"/>
    <w:rsid w:val="2584425C"/>
    <w:rsid w:val="258878A1"/>
    <w:rsid w:val="25973F8F"/>
    <w:rsid w:val="25A22934"/>
    <w:rsid w:val="25FF592D"/>
    <w:rsid w:val="265579A6"/>
    <w:rsid w:val="2666570F"/>
    <w:rsid w:val="268D5392"/>
    <w:rsid w:val="26BB7348"/>
    <w:rsid w:val="26CD6050"/>
    <w:rsid w:val="26DB434F"/>
    <w:rsid w:val="26EB4B87"/>
    <w:rsid w:val="26F471BF"/>
    <w:rsid w:val="271138CD"/>
    <w:rsid w:val="27160EE4"/>
    <w:rsid w:val="27196C26"/>
    <w:rsid w:val="274A2DBF"/>
    <w:rsid w:val="27541A0C"/>
    <w:rsid w:val="2769195B"/>
    <w:rsid w:val="27856069"/>
    <w:rsid w:val="278C73F8"/>
    <w:rsid w:val="279006B1"/>
    <w:rsid w:val="27E9484A"/>
    <w:rsid w:val="28101DD7"/>
    <w:rsid w:val="282B09BF"/>
    <w:rsid w:val="283A12B7"/>
    <w:rsid w:val="284B1061"/>
    <w:rsid w:val="289C7B0E"/>
    <w:rsid w:val="29542197"/>
    <w:rsid w:val="296879F1"/>
    <w:rsid w:val="29842A7C"/>
    <w:rsid w:val="29916F47"/>
    <w:rsid w:val="2A063491"/>
    <w:rsid w:val="2A2B2EF8"/>
    <w:rsid w:val="2A6F54DA"/>
    <w:rsid w:val="2ADE61BC"/>
    <w:rsid w:val="2AE509AB"/>
    <w:rsid w:val="2AEF03C9"/>
    <w:rsid w:val="2B30453E"/>
    <w:rsid w:val="2B997C9C"/>
    <w:rsid w:val="2C0E2AD1"/>
    <w:rsid w:val="2C622E1D"/>
    <w:rsid w:val="2C884632"/>
    <w:rsid w:val="2CBD0053"/>
    <w:rsid w:val="2D0637A8"/>
    <w:rsid w:val="2D267337"/>
    <w:rsid w:val="2D5B1D46"/>
    <w:rsid w:val="2D811081"/>
    <w:rsid w:val="2DF61A6F"/>
    <w:rsid w:val="2E187C37"/>
    <w:rsid w:val="2E34556F"/>
    <w:rsid w:val="2E514EF7"/>
    <w:rsid w:val="2E516CA5"/>
    <w:rsid w:val="2E56075F"/>
    <w:rsid w:val="2EAE40C7"/>
    <w:rsid w:val="2F3B3145"/>
    <w:rsid w:val="2F745341"/>
    <w:rsid w:val="2F8135BA"/>
    <w:rsid w:val="2F8310E0"/>
    <w:rsid w:val="2FCD4A51"/>
    <w:rsid w:val="2FE75B13"/>
    <w:rsid w:val="301663F8"/>
    <w:rsid w:val="30224D9D"/>
    <w:rsid w:val="302D5FFC"/>
    <w:rsid w:val="303643A5"/>
    <w:rsid w:val="306B04F2"/>
    <w:rsid w:val="30FF50DE"/>
    <w:rsid w:val="312D57A8"/>
    <w:rsid w:val="314B4F53"/>
    <w:rsid w:val="317038E6"/>
    <w:rsid w:val="319C292D"/>
    <w:rsid w:val="31B639EF"/>
    <w:rsid w:val="31C14142"/>
    <w:rsid w:val="320F75A3"/>
    <w:rsid w:val="32230959"/>
    <w:rsid w:val="32425283"/>
    <w:rsid w:val="324F174E"/>
    <w:rsid w:val="3276317E"/>
    <w:rsid w:val="331C5AD4"/>
    <w:rsid w:val="334E6E5B"/>
    <w:rsid w:val="33DE722D"/>
    <w:rsid w:val="3422536C"/>
    <w:rsid w:val="348F6779"/>
    <w:rsid w:val="3529272A"/>
    <w:rsid w:val="35DA1C76"/>
    <w:rsid w:val="35F44AE6"/>
    <w:rsid w:val="361E7DB5"/>
    <w:rsid w:val="36387172"/>
    <w:rsid w:val="36AA33F6"/>
    <w:rsid w:val="37024FE0"/>
    <w:rsid w:val="37184804"/>
    <w:rsid w:val="37607F59"/>
    <w:rsid w:val="377F4883"/>
    <w:rsid w:val="378D05CD"/>
    <w:rsid w:val="379504F3"/>
    <w:rsid w:val="37A147F9"/>
    <w:rsid w:val="38056D42"/>
    <w:rsid w:val="38183D07"/>
    <w:rsid w:val="388F4F9A"/>
    <w:rsid w:val="39096AFA"/>
    <w:rsid w:val="391D4354"/>
    <w:rsid w:val="391F02A1"/>
    <w:rsid w:val="394C2E8B"/>
    <w:rsid w:val="39566D2B"/>
    <w:rsid w:val="39777F08"/>
    <w:rsid w:val="3A1514CF"/>
    <w:rsid w:val="3A4F678F"/>
    <w:rsid w:val="3A6B10EF"/>
    <w:rsid w:val="3AB94550"/>
    <w:rsid w:val="3B027CA5"/>
    <w:rsid w:val="3B3C46BC"/>
    <w:rsid w:val="3B822B94"/>
    <w:rsid w:val="3BAA3A7D"/>
    <w:rsid w:val="3BEE1FD7"/>
    <w:rsid w:val="3BF74F1D"/>
    <w:rsid w:val="3C0C1EC7"/>
    <w:rsid w:val="3C2D0D52"/>
    <w:rsid w:val="3CFD4BC8"/>
    <w:rsid w:val="3D163594"/>
    <w:rsid w:val="3D3879AE"/>
    <w:rsid w:val="3D475E43"/>
    <w:rsid w:val="3D580050"/>
    <w:rsid w:val="3E691DE9"/>
    <w:rsid w:val="3E7E5894"/>
    <w:rsid w:val="3F4C5993"/>
    <w:rsid w:val="3F8A64BB"/>
    <w:rsid w:val="3FA30130"/>
    <w:rsid w:val="3FAE21A9"/>
    <w:rsid w:val="3FCC6AD3"/>
    <w:rsid w:val="3FDA11F0"/>
    <w:rsid w:val="40BE466E"/>
    <w:rsid w:val="4114428E"/>
    <w:rsid w:val="41B27816"/>
    <w:rsid w:val="427F7E2D"/>
    <w:rsid w:val="42B90BD7"/>
    <w:rsid w:val="44015872"/>
    <w:rsid w:val="440920A4"/>
    <w:rsid w:val="440C749E"/>
    <w:rsid w:val="451A5BEB"/>
    <w:rsid w:val="451C1963"/>
    <w:rsid w:val="454B3FF6"/>
    <w:rsid w:val="455A06DD"/>
    <w:rsid w:val="45A04342"/>
    <w:rsid w:val="45A100BA"/>
    <w:rsid w:val="45A41848"/>
    <w:rsid w:val="45EC3A2B"/>
    <w:rsid w:val="465D2233"/>
    <w:rsid w:val="47462CC7"/>
    <w:rsid w:val="478F47CF"/>
    <w:rsid w:val="48235807"/>
    <w:rsid w:val="487675DC"/>
    <w:rsid w:val="48802209"/>
    <w:rsid w:val="48D16F09"/>
    <w:rsid w:val="48E72288"/>
    <w:rsid w:val="48ED237B"/>
    <w:rsid w:val="498F4DFA"/>
    <w:rsid w:val="49982619"/>
    <w:rsid w:val="49B31868"/>
    <w:rsid w:val="49D2118A"/>
    <w:rsid w:val="49EB5DA8"/>
    <w:rsid w:val="4A0253BE"/>
    <w:rsid w:val="4A1479DC"/>
    <w:rsid w:val="4A4D25BF"/>
    <w:rsid w:val="4A802994"/>
    <w:rsid w:val="4AB83EDC"/>
    <w:rsid w:val="4AC5484B"/>
    <w:rsid w:val="4AC7411F"/>
    <w:rsid w:val="4AD66A58"/>
    <w:rsid w:val="4B1F2A11"/>
    <w:rsid w:val="4B26353C"/>
    <w:rsid w:val="4B60294C"/>
    <w:rsid w:val="4B9F6E4A"/>
    <w:rsid w:val="4BBA1ED6"/>
    <w:rsid w:val="4BC92119"/>
    <w:rsid w:val="4BCE14DD"/>
    <w:rsid w:val="4BDF5EC4"/>
    <w:rsid w:val="4BFA22D2"/>
    <w:rsid w:val="4C1C493F"/>
    <w:rsid w:val="4CDE39A2"/>
    <w:rsid w:val="4D1473C4"/>
    <w:rsid w:val="4D3F08E5"/>
    <w:rsid w:val="4DDF5C24"/>
    <w:rsid w:val="4DED20EF"/>
    <w:rsid w:val="4E281379"/>
    <w:rsid w:val="4E345F70"/>
    <w:rsid w:val="4E5008D0"/>
    <w:rsid w:val="4ECF4A66"/>
    <w:rsid w:val="4EF86F9D"/>
    <w:rsid w:val="4F714FA1"/>
    <w:rsid w:val="4F7B7EFA"/>
    <w:rsid w:val="4FD669BB"/>
    <w:rsid w:val="4FFF6109"/>
    <w:rsid w:val="50AA42C7"/>
    <w:rsid w:val="512D7694"/>
    <w:rsid w:val="516A1CA8"/>
    <w:rsid w:val="51714DE5"/>
    <w:rsid w:val="5187285A"/>
    <w:rsid w:val="51BF217B"/>
    <w:rsid w:val="5257047F"/>
    <w:rsid w:val="53192C95"/>
    <w:rsid w:val="53475632"/>
    <w:rsid w:val="538A03E0"/>
    <w:rsid w:val="54065CB8"/>
    <w:rsid w:val="541303D5"/>
    <w:rsid w:val="542645AC"/>
    <w:rsid w:val="544762D1"/>
    <w:rsid w:val="54FD72F8"/>
    <w:rsid w:val="55D43B94"/>
    <w:rsid w:val="563034C0"/>
    <w:rsid w:val="563B3C13"/>
    <w:rsid w:val="56E31949"/>
    <w:rsid w:val="56FC699D"/>
    <w:rsid w:val="570257D7"/>
    <w:rsid w:val="57A2219C"/>
    <w:rsid w:val="57B55791"/>
    <w:rsid w:val="587F6039"/>
    <w:rsid w:val="58DC348C"/>
    <w:rsid w:val="590429E2"/>
    <w:rsid w:val="59170968"/>
    <w:rsid w:val="597D47F6"/>
    <w:rsid w:val="59E86FA4"/>
    <w:rsid w:val="5A1B6236"/>
    <w:rsid w:val="5A785436"/>
    <w:rsid w:val="5A987886"/>
    <w:rsid w:val="5AD87F96"/>
    <w:rsid w:val="5B9444F1"/>
    <w:rsid w:val="5BDC19F5"/>
    <w:rsid w:val="5C0C052C"/>
    <w:rsid w:val="5C6E089F"/>
    <w:rsid w:val="5CA72002"/>
    <w:rsid w:val="5CF76AE6"/>
    <w:rsid w:val="5D0134C1"/>
    <w:rsid w:val="5D861C18"/>
    <w:rsid w:val="5DA54794"/>
    <w:rsid w:val="5DC866D4"/>
    <w:rsid w:val="5E5B6A7F"/>
    <w:rsid w:val="5E6006BB"/>
    <w:rsid w:val="5EDD61AF"/>
    <w:rsid w:val="5EDF5A84"/>
    <w:rsid w:val="5F4B136B"/>
    <w:rsid w:val="5F5C0E82"/>
    <w:rsid w:val="5F8F74AA"/>
    <w:rsid w:val="5F9A19AB"/>
    <w:rsid w:val="5F9C5723"/>
    <w:rsid w:val="5FA36AB1"/>
    <w:rsid w:val="5FE550F4"/>
    <w:rsid w:val="603901C3"/>
    <w:rsid w:val="60B30F76"/>
    <w:rsid w:val="60E641F3"/>
    <w:rsid w:val="60F63558"/>
    <w:rsid w:val="61CD6067"/>
    <w:rsid w:val="621517BC"/>
    <w:rsid w:val="62214605"/>
    <w:rsid w:val="623954AB"/>
    <w:rsid w:val="62562501"/>
    <w:rsid w:val="633E10E8"/>
    <w:rsid w:val="64190A04"/>
    <w:rsid w:val="64395C36"/>
    <w:rsid w:val="643E324C"/>
    <w:rsid w:val="64416899"/>
    <w:rsid w:val="64772BA6"/>
    <w:rsid w:val="648D1ADE"/>
    <w:rsid w:val="65A42466"/>
    <w:rsid w:val="66682803"/>
    <w:rsid w:val="66E300DB"/>
    <w:rsid w:val="66E31E89"/>
    <w:rsid w:val="67024A05"/>
    <w:rsid w:val="67590D4B"/>
    <w:rsid w:val="676E3FB5"/>
    <w:rsid w:val="67B6677E"/>
    <w:rsid w:val="67E759A9"/>
    <w:rsid w:val="68D221B5"/>
    <w:rsid w:val="69233924"/>
    <w:rsid w:val="69804DEC"/>
    <w:rsid w:val="69A1759A"/>
    <w:rsid w:val="6A521800"/>
    <w:rsid w:val="6A885221"/>
    <w:rsid w:val="6A995680"/>
    <w:rsid w:val="6AA10091"/>
    <w:rsid w:val="6B4B624F"/>
    <w:rsid w:val="6B5415A7"/>
    <w:rsid w:val="6BD44496"/>
    <w:rsid w:val="6BDA5F51"/>
    <w:rsid w:val="6C9D2ADA"/>
    <w:rsid w:val="6D286848"/>
    <w:rsid w:val="6D723F67"/>
    <w:rsid w:val="6D9C0FE4"/>
    <w:rsid w:val="6E793444"/>
    <w:rsid w:val="6EBD1212"/>
    <w:rsid w:val="6EC66318"/>
    <w:rsid w:val="6F1F1ECC"/>
    <w:rsid w:val="6F241291"/>
    <w:rsid w:val="6F4D07E7"/>
    <w:rsid w:val="6F906926"/>
    <w:rsid w:val="702E0619"/>
    <w:rsid w:val="702F7EED"/>
    <w:rsid w:val="70514307"/>
    <w:rsid w:val="705D4A5A"/>
    <w:rsid w:val="7091312C"/>
    <w:rsid w:val="719A3A8C"/>
    <w:rsid w:val="71A36DE5"/>
    <w:rsid w:val="72247F25"/>
    <w:rsid w:val="724F2AC9"/>
    <w:rsid w:val="72BB3CBA"/>
    <w:rsid w:val="73005B71"/>
    <w:rsid w:val="73217FC1"/>
    <w:rsid w:val="73245D03"/>
    <w:rsid w:val="733D422B"/>
    <w:rsid w:val="73555EBD"/>
    <w:rsid w:val="73662469"/>
    <w:rsid w:val="73F97190"/>
    <w:rsid w:val="74082F2F"/>
    <w:rsid w:val="740A314B"/>
    <w:rsid w:val="7443665D"/>
    <w:rsid w:val="74463A57"/>
    <w:rsid w:val="745F6CD7"/>
    <w:rsid w:val="747D56CB"/>
    <w:rsid w:val="74DF2DE4"/>
    <w:rsid w:val="75D73501"/>
    <w:rsid w:val="75DE488F"/>
    <w:rsid w:val="75DF5F11"/>
    <w:rsid w:val="761B33ED"/>
    <w:rsid w:val="76452218"/>
    <w:rsid w:val="767174B1"/>
    <w:rsid w:val="76854D0B"/>
    <w:rsid w:val="769B452E"/>
    <w:rsid w:val="769E5DCD"/>
    <w:rsid w:val="76A50F09"/>
    <w:rsid w:val="76BB072D"/>
    <w:rsid w:val="76CA4E14"/>
    <w:rsid w:val="76CC293A"/>
    <w:rsid w:val="7723432A"/>
    <w:rsid w:val="77425D57"/>
    <w:rsid w:val="77440722"/>
    <w:rsid w:val="77D63117"/>
    <w:rsid w:val="78436C2C"/>
    <w:rsid w:val="78B35B5F"/>
    <w:rsid w:val="78D43D28"/>
    <w:rsid w:val="78DA7590"/>
    <w:rsid w:val="79493343"/>
    <w:rsid w:val="79986B03"/>
    <w:rsid w:val="7A535534"/>
    <w:rsid w:val="7A765096"/>
    <w:rsid w:val="7A94551C"/>
    <w:rsid w:val="7AAF2356"/>
    <w:rsid w:val="7B2C1BF9"/>
    <w:rsid w:val="7BDC361F"/>
    <w:rsid w:val="7BF00E78"/>
    <w:rsid w:val="7C040259"/>
    <w:rsid w:val="7C1728A9"/>
    <w:rsid w:val="7C9A0DE4"/>
    <w:rsid w:val="7E505BFE"/>
    <w:rsid w:val="7E7F64E4"/>
    <w:rsid w:val="7EE527EB"/>
    <w:rsid w:val="7F4E65E2"/>
    <w:rsid w:val="7FCA3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0"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semiHidden/>
    <w:qFormat/>
    <w:uiPriority w:val="0"/>
    <w:pPr>
      <w:snapToGrid w:val="0"/>
      <w:jc w:val="left"/>
    </w:pPr>
    <w:rPr>
      <w:sz w:val="18"/>
      <w:szCs w:val="18"/>
    </w:rPr>
  </w:style>
  <w:style w:type="paragraph" w:styleId="3">
    <w:name w:val="Body Text Indent"/>
    <w:basedOn w:val="1"/>
    <w:qFormat/>
    <w:uiPriority w:val="0"/>
    <w:pPr>
      <w:spacing w:after="120"/>
      <w:ind w:left="420" w:leftChars="200"/>
    </w:pPr>
    <w:rPr>
      <w:rFonts w:ascii="Times New Roman" w:hAnsi="Times New Roman"/>
    </w:rPr>
  </w:style>
  <w:style w:type="paragraph" w:styleId="4">
    <w:name w:val="Block Text"/>
    <w:basedOn w:val="1"/>
    <w:unhideWhenUsed/>
    <w:qFormat/>
    <w:uiPriority w:val="0"/>
    <w:pPr>
      <w:spacing w:after="120"/>
      <w:ind w:left="1440" w:leftChars="700" w:right="1440" w:rightChars="700"/>
    </w:pPr>
  </w:style>
  <w:style w:type="paragraph" w:styleId="5">
    <w:name w:val="Balloon Text"/>
    <w:basedOn w:val="1"/>
    <w:link w:val="14"/>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jc w:val="center"/>
    </w:pPr>
    <w:rPr>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9">
    <w:name w:val="Body Text First Indent 2"/>
    <w:basedOn w:val="3"/>
    <w:qFormat/>
    <w:uiPriority w:val="0"/>
    <w:pPr>
      <w:spacing w:before="100" w:beforeAutospacing="1" w:after="0"/>
      <w:ind w:left="0" w:firstLine="420" w:firstLineChars="200"/>
    </w:pPr>
    <w:rPr>
      <w:rFonts w:ascii="Calibri" w:hAnsi="Calibri"/>
    </w:rPr>
  </w:style>
  <w:style w:type="character" w:styleId="12">
    <w:name w:val="Strong"/>
    <w:basedOn w:val="11"/>
    <w:qFormat/>
    <w:uiPriority w:val="22"/>
    <w:rPr>
      <w:b/>
    </w:rPr>
  </w:style>
  <w:style w:type="table" w:customStyle="1" w:styleId="13">
    <w:name w:val="Table Normal"/>
    <w:semiHidden/>
    <w:unhideWhenUsed/>
    <w:qFormat/>
    <w:uiPriority w:val="0"/>
    <w:tblPr>
      <w:tblCellMar>
        <w:top w:w="0" w:type="dxa"/>
        <w:left w:w="0" w:type="dxa"/>
        <w:bottom w:w="0" w:type="dxa"/>
        <w:right w:w="0" w:type="dxa"/>
      </w:tblCellMar>
    </w:tblPr>
  </w:style>
  <w:style w:type="character" w:customStyle="1" w:styleId="14">
    <w:name w:val="批注框文本 Char"/>
    <w:basedOn w:val="11"/>
    <w:link w:val="5"/>
    <w:semiHidden/>
    <w:qFormat/>
    <w:uiPriority w:val="99"/>
    <w:rPr>
      <w:sz w:val="18"/>
      <w:szCs w:val="18"/>
    </w:rPr>
  </w:style>
  <w:style w:type="character" w:customStyle="1" w:styleId="15">
    <w:name w:val="页眉 Char"/>
    <w:basedOn w:val="11"/>
    <w:link w:val="7"/>
    <w:qFormat/>
    <w:uiPriority w:val="99"/>
    <w:rPr>
      <w:sz w:val="18"/>
      <w:szCs w:val="18"/>
    </w:rPr>
  </w:style>
  <w:style w:type="character" w:customStyle="1" w:styleId="16">
    <w:name w:val="页脚 Char"/>
    <w:basedOn w:val="11"/>
    <w:link w:val="6"/>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6716</Words>
  <Characters>7004</Characters>
  <Lines>55</Lines>
  <Paragraphs>15</Paragraphs>
  <TotalTime>3</TotalTime>
  <ScaleCrop>false</ScaleCrop>
  <LinksUpToDate>false</LinksUpToDate>
  <CharactersWithSpaces>7059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2023-03-06T18:01:00Z</dcterms:created>
  <dc:creator>pc</dc:creator>
  <cp:lastModifiedBy>周艳</cp:lastModifiedBy>
  <cp:lastPrinted>2023-04-17T02:28:00Z</cp:lastPrinted>
  <dcterms:modified xsi:type="dcterms:W3CDTF">2024-01-31T07:21:43Z</dcterms:modified>
  <dc:title>长沙市财政局关于开展2017年</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2023-03-15T16:54:12Z</vt:filetime>
  </property>
  <property fmtid="{D5CDD505-2E9C-101B-9397-08002B2CF9AE}" pid="4" name="KSOProductBuildVer">
    <vt:lpwstr>2052-11.1.0.13703</vt:lpwstr>
  </property>
  <property fmtid="{D5CDD505-2E9C-101B-9397-08002B2CF9AE}" pid="5" name="ICV">
    <vt:lpwstr>0B2641F82C264701836DC6DB718FF5A0</vt:lpwstr>
  </property>
</Properties>
</file>