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Arial" w:eastAsia="方正小标宋简体" w:cs="Arial"/>
          <w:color w:val="333333"/>
          <w:sz w:val="44"/>
          <w:szCs w:val="44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方正小标宋简体" w:hAnsi="Arial" w:eastAsia="方正小标宋简体" w:cs="Arial"/>
          <w:color w:val="333333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Arial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</w:rPr>
        <w:t>长沙住房公积金管理中心2019年度部门</w:t>
      </w:r>
    </w:p>
    <w:p>
      <w:pPr>
        <w:spacing w:line="700" w:lineRule="exact"/>
        <w:jc w:val="center"/>
        <w:rPr>
          <w:rFonts w:ascii="方正小标宋简体" w:hAnsi="Arial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</w:rPr>
        <w:t>整体支出绩效自评报告</w:t>
      </w:r>
    </w:p>
    <w:p>
      <w:pPr>
        <w:spacing w:line="700" w:lineRule="exact"/>
        <w:jc w:val="center"/>
        <w:rPr>
          <w:rFonts w:ascii="方正小标宋简体" w:hAnsi="Arial" w:eastAsia="方正小标宋简体" w:cs="Arial"/>
          <w:color w:val="333333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一、部门基本情况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（一）职能职责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长沙住房公积金管理中心（以下简称“中心”）于2003年9月设立，是长沙市人民政府直属正县级事业单位，负责长沙市和广铁集团湖南区域内职工住房公积金的管理和运作。部门主要职责如下：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1、编制、执行住房公积金的归集、使用计划；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2、负责记载职工住房公积金的缴存、提取、使用等情况；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3、负责住房公积金的核算、保值和归还；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4、审批住房公积金的提取和使用；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5、 编制住房公积金归集、使用计划执行情况的报告；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6、拟定住房公积金增值收益分配方案；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7、检查单位住房公积金的登记和缴存情况；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8、 受理违反住房公积金管理规定行为的投诉和举报；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9、承办管委会决定的其他事项。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（二）机构设置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中心内设办公室、科技信息处、远程服务部、综合业务处、政策法规处、执法大队、财务会计处、稽核处、人力资源处、机关党委、中心工会；下辖芙蓉区管理部、天心区管理部、岳麓区管理部、开福区管理部、雨花区管理部，望城区管理部、长沙县管理部、浏阳市管理部、宁乡市管理部和铁路分中心（含怀化管理部）等分支机构。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（三）人员编制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截至2019年末，中心正式人员编制数99人、聘用人员编制数80人，铁路分中心编制数25人，合计204人。中心正式人员年末实有97人，聘用人员实有73人，铁路分中心实有23人，合计193人；中心退休人员实有27人，铁路退休人员实有5人，合计32人。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（四）重点工作计划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2019年主要业务指标新增开户缴存职工10万人，完成住房公积金归集130亿元，发放个人住房贷款75亿元，提取住房公积金75亿元，个贷逾期率（代偿前）控制在0.03%以下，实现增值收益率1.35%以上。围绕主要业务指标，重点做好下面工作：</w:t>
      </w:r>
    </w:p>
    <w:p>
      <w:pPr>
        <w:ind w:firstLine="643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b/>
          <w:color w:val="333333"/>
          <w:sz w:val="32"/>
          <w:szCs w:val="32"/>
        </w:rPr>
        <w:t>一是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加强“智慧公积金”构建力度，更加高效精准为民服务。进一步改进线上服务功能，增加在线办结渠道，增加在线办结业务类型。</w:t>
      </w:r>
    </w:p>
    <w:p>
      <w:pPr>
        <w:ind w:firstLine="643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b/>
          <w:color w:val="333333"/>
          <w:sz w:val="32"/>
          <w:szCs w:val="32"/>
        </w:rPr>
        <w:t>二是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加大对骗提套取住房公积金违法行为的打击力度。在全市范围内开展打击住房公积金骗提骗贷行为专项行动，与市纪检监察、公安局联合行动，重拳打击查处利用虚假材料骗提骗贷、非法“黑中介”以及其他涉及住房公积金的违法违规行为。</w:t>
      </w:r>
    </w:p>
    <w:p>
      <w:pPr>
        <w:ind w:firstLine="643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b/>
          <w:color w:val="333333"/>
          <w:sz w:val="32"/>
          <w:szCs w:val="32"/>
        </w:rPr>
        <w:t>三是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进一步深化文明创建工作。支持分中心、各管理部积极申报各级文明窗口单位、青年文明号等；支持工青群团开展有益职工身心的文娱活动、志愿服务等；组织</w:t>
      </w:r>
      <w:r>
        <w:rPr>
          <w:rFonts w:hint="eastAsia" w:ascii="仿宋" w:hAnsi="仿宋" w:eastAsia="仿宋" w:cs="Arial"/>
          <w:color w:val="333333"/>
          <w:sz w:val="32"/>
          <w:szCs w:val="32"/>
          <w:lang w:eastAsia="zh-CN"/>
        </w:rPr>
        <w:t>中华人民共和国成立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70周年庆祝活动。</w:t>
      </w:r>
    </w:p>
    <w:p>
      <w:pPr>
        <w:ind w:firstLine="643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b/>
          <w:color w:val="333333"/>
          <w:sz w:val="32"/>
          <w:szCs w:val="32"/>
        </w:rPr>
        <w:t>四是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进一步推进“放管服”改革。重点推进“组合贷款”流程优化，提高业务网上办结率，实现与住建部的数据平台对接。</w:t>
      </w:r>
    </w:p>
    <w:p>
      <w:pPr>
        <w:ind w:firstLine="640" w:firstLineChars="200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二、部门整体支出情况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（一）部门整体支出规模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根据《会计法》、《预算法》和《政府会计准则》以及省、市相关财经规定，中心进一步规范经费审批权限和程序，严格经费预算管理、支出管理、资产购置及处置以及财务监督管理。2019年部门整体支出规模为5458.28万元，其中基本支出3987.33万元，项目支出1470.95万元。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（二）部门整体支出内容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按照经济分类，2019年部门整体支出中，工资福利支出3544.59万元，商品和服务支出1283.56万元，对个人和家庭的补助支出408.97万元，资本性支出221.16万元。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（三）基本支出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基本支出是指为保障单位机构运转，完成日常工作任务而发生的各项支出，主要包括基本工资、津贴补贴等人员经费以及办公费等日常公用经费。2019年度基本支出为3987.33万元，其中，人员经费3873.27万元，日常公用经费114.06万元。按经济分类，其中，工资福利支出3508.54万元，商品和服务支出114.06万元，对个人和家庭的补助支出364.73万元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2019年“三公”经费开支36.51万元，较年初预算数减少43.49万元，减少54.36%；较上年决算数减少16.06万元，减少30.54%。其中，因公出国（境）费用为0，较上年决算数持平；公务接待费2.57万元，较上年度增加0.65万元，增长33.85%；公务车购置及运行维护费33.94万元（公务用车购置费0万元），较上年减少16.71万元，减少32.99%。截至2019年末，中心实际共持有公务车辆8台（另有9台公务车因公车改革，尚处核销报批状态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（三）项目支出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支出是指保障中心各内设处（室）和下辖部门正常运转而发生的支出，主要包括办公楼租赁费、水电费、燃气费、物业管理费、维修（护）费、政策宣传推广费、印刷费、公积金系统设备购置及运行维护费以及铁路分中心运行经费等。为规范财务管理，建立健全内控体系，中心制定了《长沙住房公积金管理中心管理制度汇编（财务与内控管理）》、《长沙住房住房公积金管理中心经费财务管理办法》，坚持厉行节约、反对浪费，严格各项支出审批。坚持经费预算科学化、精细化，预算执行规范化、责任化，监督检查常态化、同步化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2019年度项目支出为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1470.95万元，其中工资福利支出36.05万元，商品和服务支出1169.50万元，对个人和家庭的补助支出44.24万元，资本性支出221.16万元。全年资金支付符合国家财经法规、财务管理制度以及相关专项资金管理办法的规定；资金拨付有完整的审批程序和手续，经费开支符合部门预算批复的用途，重大项目符合“三重一大”决策规则；资金使用除按规定预算调整和调剂使用外，无截留、挪用、虚列支出等情况；2018年度部门决算和2019年度部门预算说明均按规定内容，在规定的时限内予以公开。主要项目支出情况如下：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1、会议费。2019年度中心会议费支出决算数为6.7万元，较上年决算数增加4.87万元，增长267.51%。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2、培训费。2019年度中心培训费支出决算数为11.3万元，较上年减少54.84万元，减少82.91%。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3、印刷费。2019年度中心印刷费支出决算数为26.96万元，较上年决算数减少28.61万元，减少51.48%。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4、水电费。2019年度中心水电费支出决算数为68.81万元，较上年决算数减少33.08万元，减少32.47%。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5、差旅费。2019年度中心差旅费支出决算数为46.65万元，较上年决算数增加22.99万元，增长97.17%。</w:t>
      </w:r>
    </w:p>
    <w:p>
      <w:pPr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6、物业管理费。2019年度中心物业管理费支出决算数为95.3万元，较上年决算数增加11.05万，增长13.11%。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7、维修（护）费。2019年度中心维修（护）费支出决算数为182.22万元，较上年决算数增加45.99万元，增长33.76%。</w:t>
      </w:r>
    </w:p>
    <w:p>
      <w:pPr>
        <w:ind w:firstLine="640" w:firstLineChars="200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三、资产管理情况</w:t>
      </w:r>
    </w:p>
    <w:p>
      <w:pPr>
        <w:ind w:firstLine="640" w:firstLineChars="200"/>
        <w:rPr>
          <w:rFonts w:cs="Arial" w:asciiTheme="minorEastAsia" w:hAnsiTheme="minorEastAsia"/>
          <w:color w:val="333333"/>
          <w:sz w:val="32"/>
          <w:szCs w:val="32"/>
        </w:rPr>
      </w:pPr>
      <w:r>
        <w:rPr>
          <w:rFonts w:hint="eastAsia" w:cs="Arial" w:asciiTheme="minorEastAsia" w:hAnsiTheme="minorEastAsia"/>
          <w:color w:val="333333"/>
          <w:sz w:val="32"/>
          <w:szCs w:val="32"/>
        </w:rPr>
        <w:t>（一）资产总量、变动、构成情况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截至2019年末，中心资产总额3330.97万元，其中，流动资产127.82万元，占比3.84%；固定资产3203.15万元，占比96.16%；无其他资产。房屋2560.60万元，车辆17.04万元，50万元以上通用设备103.50万元，分别占比固定资产净值79.94%、0.53%、3.2%；无100万元以上专用设备。</w:t>
      </w:r>
    </w:p>
    <w:p>
      <w:pPr>
        <w:ind w:firstLine="640" w:firstLineChars="200"/>
        <w:rPr>
          <w:rFonts w:cs="Arial" w:asciiTheme="minorEastAsia" w:hAnsiTheme="minorEastAsia"/>
          <w:color w:val="333333"/>
          <w:sz w:val="32"/>
          <w:szCs w:val="32"/>
        </w:rPr>
      </w:pPr>
      <w:r>
        <w:rPr>
          <w:rFonts w:hint="eastAsia" w:cs="Arial" w:asciiTheme="minorEastAsia" w:hAnsiTheme="minorEastAsia"/>
          <w:color w:val="333333"/>
          <w:sz w:val="32"/>
          <w:szCs w:val="32"/>
        </w:rPr>
        <w:t>（二）资产的配置、使用、处置、收益等情况347.68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2019年1-12月，配置资产280.46万元，均为固定资产，其中通用设备257.83万元，家具、用具22.63万元；无自用资产、出租出借资产及对外投资等情况；无利用国有资产对外投资、出租出借或处置国有资产取得收益的情况。</w:t>
      </w:r>
    </w:p>
    <w:p>
      <w:pPr>
        <w:ind w:firstLine="640" w:firstLineChars="200"/>
        <w:rPr>
          <w:rFonts w:cs="Arial" w:asciiTheme="minorEastAsia" w:hAnsiTheme="minorEastAsia"/>
          <w:color w:val="333333"/>
          <w:sz w:val="32"/>
          <w:szCs w:val="32"/>
        </w:rPr>
      </w:pPr>
      <w:r>
        <w:rPr>
          <w:rFonts w:hint="eastAsia" w:cs="Arial" w:asciiTheme="minorEastAsia" w:hAnsiTheme="minorEastAsia"/>
          <w:color w:val="333333"/>
          <w:sz w:val="32"/>
          <w:szCs w:val="32"/>
        </w:rPr>
        <w:t>（三）重点资产情况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截至2019年末，我单位实有办公用房面积2063.45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㎡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，产证面积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2063.45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㎡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，处于自用状态，净值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2560.6万元。车改保留车辆8辆，占比车辆实有数19辆的42.11%。无已投入使用6个月以上未转固在建工程。</w:t>
      </w:r>
    </w:p>
    <w:p>
      <w:pPr>
        <w:ind w:firstLine="640" w:firstLineChars="200"/>
        <w:rPr>
          <w:rFonts w:cs="Arial" w:asciiTheme="minorEastAsia" w:hAnsiTheme="minorEastAsia"/>
          <w:color w:val="333333"/>
          <w:sz w:val="32"/>
          <w:szCs w:val="32"/>
        </w:rPr>
      </w:pPr>
      <w:r>
        <w:rPr>
          <w:rFonts w:hint="eastAsia" w:cs="Arial" w:asciiTheme="minorEastAsia" w:hAnsiTheme="minorEastAsia"/>
          <w:color w:val="333333"/>
          <w:sz w:val="32"/>
          <w:szCs w:val="32"/>
        </w:rPr>
        <w:t>（四）资产管理工作成效及经验</w:t>
      </w:r>
    </w:p>
    <w:p>
      <w:pPr>
        <w:ind w:firstLine="643" w:firstLineChars="200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1、组织领导有力。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中心成立了资产管理领导小组，由中心党组书记任组长，机关纪委分管领导、财务分管领导任副组长，财务会计处、科技信息处、办公室、机关纪委、稽核处等部门负责人为小组成员。领导小组下设办公室，由财务会计处处长担任办公室主任，各部门（处室）、管理部和铁路分中心明确本部门资产管理员，负责资产的日常管理、维护。</w:t>
      </w:r>
    </w:p>
    <w:p>
      <w:pPr>
        <w:ind w:firstLine="643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2、管理制度健全。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中心建立健全了包括资产购置、领用、清查、调出、报废、核销等环节在内的资产管理制度，通过明确部门职责分工，强化分级管理，确保各项工作要求严格落实到位。资产采购由使用人提出书面申请，部门负责人和分管领导审核后，报中心领导审批后，区分不同类别由办公室和科技信息处统一集中采购。列入政府采购目录的资产购置，严格履行政府采购程序；未列入的，按照“货比三家”的原则确定供应商。机关纪委对资产实施全过程监督，在资产采购、领用、处置等环节实施验收机制，严格领导审批、经手人签字、申领人签字，有效防控资产管理过程中的风险。</w:t>
      </w:r>
    </w:p>
    <w:p>
      <w:pPr>
        <w:ind w:firstLine="643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3、工作基础扎实。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严格按照相关标准对各部门的资产配置计划进行核定，确保资产配置与预算有效衔接。通过定期开展资产清查盘点，各部门每季度对所属资产进行自查，中心每年组织一次全面的资产盘点清查，确保资产账与表、账与物、账与账相符。依托资产管理信息系统，充分发挥信息化优势，定期查询、分析各类资产存量、配置、价值等情况，及时提出合理化建议，全面提高了资产使用效率。</w:t>
      </w:r>
    </w:p>
    <w:p>
      <w:pPr>
        <w:ind w:firstLine="640" w:firstLineChars="200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四、部门整体支出绩效情况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（一）年度工作任务完成情况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2019年，长沙住房公积金管理中心在市委、市政府的坚强领导下，以党的十九大精神为引领，坚定不移地把人民对美好生活的向往作为奋斗目标，牢牢把握“稳中求进”工作总基调，积极适应住房公积金领域发展新态势，紧扣年度目标，推进管理服务改革，完善业务规范，加强资金监管，发挥住房公积金制度作用，各项业务指标均按时保质完成，实现了稳中向好，稳中有进。</w:t>
      </w:r>
    </w:p>
    <w:p>
      <w:pPr>
        <w:ind w:firstLine="640" w:firstLineChars="200"/>
        <w:rPr>
          <w:rFonts w:cs="Arial" w:asciiTheme="majorEastAsia" w:hAnsiTheme="majorEastAsia" w:eastAsiaTheme="majorEastAsia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</w:rPr>
        <w:t>（二）整体支出绩效评价情况</w:t>
      </w:r>
    </w:p>
    <w:p>
      <w:pPr>
        <w:ind w:firstLine="643" w:firstLineChars="200"/>
        <w:rPr>
          <w:rFonts w:ascii="楷体" w:hAnsi="楷体" w:eastAsia="楷体" w:cs="Arial"/>
          <w:b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1、部门整体支出经济性评价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我中心严格按照省市相关规定以及中心内部控制管理手册要求，严把审核、严控开支、厉行节约。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①绩效目标设定：按照市财政要求，并报经市人民政府批准，结合全市经济发展实际，我中心确定了2019年全市住房公积金主要业务指标，涵盖了新增开户单位、新增开户职工、住房公积金归集、住房公积金个贷、个贷逾期率（代偿前）、增值收益率等方面，各项绩效目标的设置符合全市经济发展水平和房地产调控大局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②在职人员控制率：全年在职人员编制数为204人，年末实际在职人数193人，在职人员控制率94.61%。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③“三公经费”变动率：2019年“三公经费”预算数为80万，“三公经费”变动率为20%。</w:t>
      </w:r>
    </w:p>
    <w:p>
      <w:pPr>
        <w:ind w:firstLine="643" w:firstLineChars="200"/>
        <w:rPr>
          <w:rFonts w:ascii="楷体" w:hAnsi="楷体" w:eastAsia="楷体" w:cs="Arial"/>
          <w:b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2、部门整体支出效率性评价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各项预算安排保障了住房公积金事业的正常运转，圆满完成了年初预定的各项指标。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①预算完成率：2018年结转预算417.57万元，2019年年初预算4399.24万元，2019年中追加预算1053.84万元，2019年末结余412.38万元，预算完成率92.98%。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②预算控制率：2019年年初预算4399.24万元，年中追加预算1053.84万元，不含追加基本支出预算控制率为0。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③公用经费控制率：实际支出公用经费总额385.37万元、预算安排公用经费总额393.6万元，公用经费控制率为97.91%。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④“三公经费”控制率：“三公经费”实际支出36.51万元，“三公经费”预算安排80万元，“三公经费”控制率为45.64%。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⑤政府采购执行率：实际政府采购金额665.65万元，政府采购预算数512.24万元，政府采购执行率为129.95%。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⑥管理制度健全性：为进一步规范财务管理，防范财务风险，中心制定了《长沙住房公积金管理中心管理制度汇编（财务与内控管理）》，并以此为基础完善了“三办法一手册”（《长沙住房公积金管理中心经费财务管理办法》、《长沙住房公积金会计核算办法》、《长沙住房公积金财务管理办法》、《长沙住房公积金管理中心内部控制手册》）。坚持经费预算科学化、精细化，执行控制规范化、责任化，监督检查常态化、同步化。由于制度健全，财务管理较为规范，中心财务管理工作获得了市政府和财政部门的充分肯定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⑦资金使用合规性：资金的支付符合国家、省、市相关财经法规和纪律，符合中心内部控制制度和财务管理制度规定，符合相关专项资金管理办法规定。资金的拨付有完整的审批程序和手续，符合部门预算批复的用途，无截留、挪用、虚列支出等情况。</w:t>
      </w:r>
    </w:p>
    <w:p>
      <w:pPr>
        <w:ind w:firstLine="640" w:firstLineChars="200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⑧预算信息公开性：部门预算严格按照财政部门要求，在预算批复后20日内按规定内容、在规定时限内予以公开，基础数据信息和会计信息资料真实、完整、准确。</w:t>
      </w:r>
    </w:p>
    <w:p>
      <w:pPr>
        <w:ind w:firstLine="643" w:firstLineChars="200"/>
        <w:rPr>
          <w:rFonts w:ascii="楷体" w:hAnsi="楷体" w:eastAsia="楷体" w:cs="Arial"/>
          <w:b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3、部门整体支出有效性评价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①</w:t>
      </w:r>
      <w:r>
        <w:rPr>
          <w:rFonts w:ascii="仿宋" w:hAnsi="仿宋" w:eastAsia="仿宋" w:cs="Arial"/>
          <w:color w:val="333333"/>
          <w:sz w:val="32"/>
          <w:szCs w:val="32"/>
        </w:rPr>
        <w:t>产出指标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归集:全年新增住房公积金开户单位4405家，新增开户职工25.22万人，完成归集147.49亿元，同比分别增长11.13%、2.65%、20.34%，归集金额完成年度任务目标的113.45%。截至12月底，累计归集总额893.57亿元，归集余额455.29亿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提取:全年提取住房公积金81.25亿元，同比增长15.61%，占当年归集额的55.09%。截至12月底，累计提取住房公积金438.28亿元。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贷款:全年发放个人住房贷款19969户，同比下降12.72%，个贷金额87.69亿元，同比下降14.06%，完成年度任务目标的109.61%。截至12月底，住房公积金个贷总额618.98亿元，个贷余额430.99亿元，住房公积金个贷率94.66%，同比下降1.86个百分点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②经济效益：</w:t>
      </w:r>
      <w:r>
        <w:rPr>
          <w:rFonts w:ascii="仿宋" w:hAnsi="仿宋" w:eastAsia="仿宋" w:cs="Arial"/>
          <w:color w:val="333333"/>
          <w:sz w:val="32"/>
          <w:szCs w:val="32"/>
        </w:rPr>
        <w:t>中心加强资金计划管理和预测力度，综合运用存款期限错配、阶梯式存储和利率上浮等举措，加速资金周转，充分平衡资金流动性、收益和安全性，有效提高了资金使用效率和效益。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2019年实现业务收入14.15亿，</w:t>
      </w:r>
      <w:r>
        <w:rPr>
          <w:rFonts w:hint="eastAsia" w:ascii="仿宋" w:hAnsi="仿宋" w:eastAsia="仿宋"/>
          <w:sz w:val="32"/>
          <w:szCs w:val="32"/>
        </w:rPr>
        <w:t>实现增值收益6.98亿元，同比分别增长18.21%、20.55%。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③社会效益：致力构建“惠民公积金”，更多职工共享制度红利，缴存基数、缴存比例日趋规范，职工权益得到有效保障，宣传力度进一步加强。为进一步优化营商环境，及时调整最低缴存比例，</w:t>
      </w:r>
      <w:r>
        <w:rPr>
          <w:rFonts w:hint="eastAsia" w:ascii="仿宋" w:hAnsi="仿宋" w:eastAsia="仿宋"/>
          <w:sz w:val="32"/>
          <w:szCs w:val="32"/>
        </w:rPr>
        <w:t>将我市住房公积金最低缴存比例由8%调整至5%。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规范企业降比缓缴，全年共核实审批7家企业缓缴住房公积金申请，为企业节约成本支出437.78万元。不断推出服务新举措，试点开通了住房公积金托收业务，方便企业开户缴存住房公积金；为企业开辟绿色通道、集中上门办理，延伸住房公积金服务触角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④行政效能：全力配合市政府加强房地产市场调控，重点支持职工合理住房消费需求。2月1日，中心正式施行新政，将可贷额度与缴存额及个贷率挂钩，并严格审查申请人家庭征信情况，倡导职工理性购房。积极推广组合贷款。积极研究解决组合贷款中出现的问题，对贷款业务流程优化再造，加快审批进度，满足职工更高贷款需求。试点组合贷款“最多跑一次”，促进合作银行与公积金中心同时审批，将银行面签搬至管理部，职工只需往来管理部一次便可完成该项业务。全年发放组合贷款1910笔、7.30亿元，同比分别增长859.7%、729.54%；截至12月底，共发放组合贷款2257笔8.74亿元。保障新市民贷款，做好“新市民”等灵活就业人员的贷款审批工作。全年，发放灵活就业人员贷款277笔、1.08亿元，截至12月底，共发放贷款1377笔、4.9亿元。2019年新增缴存单位中，非公企业占比约90.99 %；新增缴存职工中，非公企业职工占比超83.01 %。缴存结构趋于合理。2019年发放的公积金贷款中，首次公积金贷款户数、金额占比分别为88.94%和90.31%，充分说明，住房公积金在支持职工刚性购房需求方面发挥了积极作用。</w:t>
      </w:r>
    </w:p>
    <w:p>
      <w:pPr>
        <w:ind w:firstLine="640" w:firstLineChars="200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⑤社会公众满意度评价：中心多形式、全方位的综合服务平台使用率越来越高。12329热线总呼叫量近57万人次，人工接入量28万人次，投诉率0.12%，满意率99.73%。</w:t>
      </w:r>
    </w:p>
    <w:p>
      <w:pPr>
        <w:ind w:firstLine="643" w:firstLineChars="200"/>
        <w:rPr>
          <w:rFonts w:ascii="楷体" w:hAnsi="楷体" w:eastAsia="楷体" w:cs="Arial"/>
          <w:b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4、部门整体支出可持续性评价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中心致力于构建“安全公积金”，资金实现高效安全运行。通过内外结合，强化风险防控。积极配合市审计局、审计署驻长沙办做好审计工作，狠抓问题整改，并建立健全长效机制；接受市财政局组织的重点项目资金专项检查、2018年度财政绩效评价等。重点加强内部稽核。组织了大额提取交叉专项稽核，对单笔提取超过15万元的业务进行交叉复核检查；新增网上提取业务专项稽核，对网厅、微信公众号等渠道办理的提取业务开展内部稽核，防范出现新的业务风险点；持续开展季度稽核工作，对各项业务以及上年度审计问题落实整改情况进行现场检查，从源头上化解风险疑点，堵塞风险漏洞。组织业务标准化检查。围绕各服务网点是否严格执行了缴存、提取、贷款政策，业务办理标准是否一致，业务全城通办是否全部实现等问题，组成检查小组深入分中心、管理部实地检查，听取意见建议，督促实现全中心业务办理标准化、规范化。做好信息公开工作。在长沙晚报、中心官方网站、微信公众号披露《长沙市住房公积金2018年年度报告》，并对住房公积金年度报告进行专题解读，接受媒体、缴存职工监督，推动制度透明运行；主动在官网、服务大厅公开政务服务事项，公示办事流程、办理要件、办结时限。</w:t>
      </w:r>
    </w:p>
    <w:p>
      <w:pPr>
        <w:ind w:firstLine="640" w:firstLineChars="200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五、存在的主要问题及下一步改进措施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2019年，中心各项主要业务平稳健康发展，各项业务指标按时保质完成。在总结成绩的同时，我们也要清醒地看到，我们的工作中也还存在以下困难和不足：一是归集扩面难度加大。机关事业单位、国有企业等已基本实现全员覆盖，但非公企业欠缴、缓缴现象突出，尤其是中心积极响应“优化营商运营环境”工作要求，将最低缴存比例由8%将至5%，势必给归集扩面工作带来一定压力；二是资金流动性紧张的问题仍然存在。个贷率虽稳中有降，但仍然是95.2%的高位运行。如何保持政策的稳定性和连续性，确保资金流动性，同时最大限度满足职工贷款需求，还需要科学研判，统筹使用。三是群众维权意识强烈，对服务的要求越来越高。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如何以精细化财务管理，助推住房公积金事业的发展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，需要进一步提升财务执行力，细化财政资金使用计划。2020年是</w:t>
      </w:r>
      <w:r>
        <w:rPr>
          <w:rFonts w:hint="eastAsia" w:ascii="仿宋" w:hAnsi="仿宋" w:eastAsia="仿宋" w:cs="Arial"/>
          <w:color w:val="333333"/>
          <w:sz w:val="32"/>
          <w:szCs w:val="32"/>
          <w:lang w:eastAsia="zh-CN"/>
        </w:rPr>
        <w:t>全面建成小康社会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的决胜之年，是“十三五”的收官之年，中心将以习近平新时代中国特色社会主义思想为指导，认真贯彻党的十九大和十九届二中、三中、四中全会精神，坚持“房子是用来住的，不是用来炒的”原则，坚持“保一限二禁三”原则，坚持保障基本住房需求制度定位，将“不忘初心、牢记使命”主题教育贯穿中心主要工作，加强住房公积金内部管理，提高为民服务水平，充分发挥制度保障作用，为我市经济社会发展积极贡献力量。在财务管理方面，具体应从以下着手：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1、细化预算编制工作，认真做好预算的编制。进一步加强单位内部处（室）、管理部的预算管理意识，严格按照预算编制的相关制度和要求进行预算编制。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sz w:val="32"/>
          <w:szCs w:val="32"/>
        </w:rPr>
        <w:t>3、完善资产管理。规范各类资产的购置审批制度、资产处置和报废审批制度、资产管理岗位职责制度等，加强单位内部的资产管理工作。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75"/>
    <w:rsid w:val="00050FDA"/>
    <w:rsid w:val="00055FEE"/>
    <w:rsid w:val="00056ED6"/>
    <w:rsid w:val="00066A82"/>
    <w:rsid w:val="000A3691"/>
    <w:rsid w:val="000C3D50"/>
    <w:rsid w:val="000D038E"/>
    <w:rsid w:val="000F484B"/>
    <w:rsid w:val="00123FB6"/>
    <w:rsid w:val="00147700"/>
    <w:rsid w:val="00155190"/>
    <w:rsid w:val="00173228"/>
    <w:rsid w:val="00174EEF"/>
    <w:rsid w:val="0019202A"/>
    <w:rsid w:val="001D0690"/>
    <w:rsid w:val="00212228"/>
    <w:rsid w:val="002210A3"/>
    <w:rsid w:val="00256D31"/>
    <w:rsid w:val="00266E2D"/>
    <w:rsid w:val="002A47F6"/>
    <w:rsid w:val="002A6124"/>
    <w:rsid w:val="002D4967"/>
    <w:rsid w:val="002E290F"/>
    <w:rsid w:val="002F0798"/>
    <w:rsid w:val="00304590"/>
    <w:rsid w:val="00326F9D"/>
    <w:rsid w:val="003430FF"/>
    <w:rsid w:val="003B048A"/>
    <w:rsid w:val="003B1BBA"/>
    <w:rsid w:val="003F543D"/>
    <w:rsid w:val="00417DCD"/>
    <w:rsid w:val="004472A5"/>
    <w:rsid w:val="00461D4E"/>
    <w:rsid w:val="004850E2"/>
    <w:rsid w:val="004A53AA"/>
    <w:rsid w:val="004D18BB"/>
    <w:rsid w:val="00502787"/>
    <w:rsid w:val="0051041A"/>
    <w:rsid w:val="005142D5"/>
    <w:rsid w:val="005345F3"/>
    <w:rsid w:val="00556B2D"/>
    <w:rsid w:val="005702AC"/>
    <w:rsid w:val="005B006C"/>
    <w:rsid w:val="005B5938"/>
    <w:rsid w:val="005C28AE"/>
    <w:rsid w:val="005D54F3"/>
    <w:rsid w:val="005D7EBE"/>
    <w:rsid w:val="005F4065"/>
    <w:rsid w:val="00640BFD"/>
    <w:rsid w:val="0065285A"/>
    <w:rsid w:val="00665BA8"/>
    <w:rsid w:val="00670F60"/>
    <w:rsid w:val="00691F67"/>
    <w:rsid w:val="00693BC2"/>
    <w:rsid w:val="006A48C2"/>
    <w:rsid w:val="006B0E25"/>
    <w:rsid w:val="006C1796"/>
    <w:rsid w:val="006C7F5D"/>
    <w:rsid w:val="0071140E"/>
    <w:rsid w:val="007210BD"/>
    <w:rsid w:val="00736EE3"/>
    <w:rsid w:val="00757074"/>
    <w:rsid w:val="00766151"/>
    <w:rsid w:val="00794717"/>
    <w:rsid w:val="007966A8"/>
    <w:rsid w:val="007A4F04"/>
    <w:rsid w:val="007A5171"/>
    <w:rsid w:val="007A5595"/>
    <w:rsid w:val="007D619A"/>
    <w:rsid w:val="007E49CA"/>
    <w:rsid w:val="00811FFE"/>
    <w:rsid w:val="008273B2"/>
    <w:rsid w:val="00857203"/>
    <w:rsid w:val="00884988"/>
    <w:rsid w:val="008B0C9F"/>
    <w:rsid w:val="008B40E5"/>
    <w:rsid w:val="00900C3D"/>
    <w:rsid w:val="009116F6"/>
    <w:rsid w:val="00931A6E"/>
    <w:rsid w:val="00933B7C"/>
    <w:rsid w:val="00943B9E"/>
    <w:rsid w:val="00977AC6"/>
    <w:rsid w:val="009854A2"/>
    <w:rsid w:val="009A3A42"/>
    <w:rsid w:val="009D2586"/>
    <w:rsid w:val="00A03393"/>
    <w:rsid w:val="00A316AA"/>
    <w:rsid w:val="00A4485E"/>
    <w:rsid w:val="00A66757"/>
    <w:rsid w:val="00A86205"/>
    <w:rsid w:val="00A87E68"/>
    <w:rsid w:val="00AB2E1A"/>
    <w:rsid w:val="00AD21BE"/>
    <w:rsid w:val="00AD2861"/>
    <w:rsid w:val="00AE079C"/>
    <w:rsid w:val="00AE1205"/>
    <w:rsid w:val="00B05C75"/>
    <w:rsid w:val="00B31496"/>
    <w:rsid w:val="00B740D2"/>
    <w:rsid w:val="00B80A8B"/>
    <w:rsid w:val="00BA2C4C"/>
    <w:rsid w:val="00BA5753"/>
    <w:rsid w:val="00BA5BC8"/>
    <w:rsid w:val="00BD10A8"/>
    <w:rsid w:val="00BF1DFD"/>
    <w:rsid w:val="00C257C7"/>
    <w:rsid w:val="00C5779F"/>
    <w:rsid w:val="00C6352A"/>
    <w:rsid w:val="00C64426"/>
    <w:rsid w:val="00CD1293"/>
    <w:rsid w:val="00CE0563"/>
    <w:rsid w:val="00D17A84"/>
    <w:rsid w:val="00D76971"/>
    <w:rsid w:val="00D95B9B"/>
    <w:rsid w:val="00D96C92"/>
    <w:rsid w:val="00DB0421"/>
    <w:rsid w:val="00E032E4"/>
    <w:rsid w:val="00E141B1"/>
    <w:rsid w:val="00E14611"/>
    <w:rsid w:val="00E3311D"/>
    <w:rsid w:val="00E65163"/>
    <w:rsid w:val="00E95F81"/>
    <w:rsid w:val="00EE2AE7"/>
    <w:rsid w:val="00EE471A"/>
    <w:rsid w:val="00EF0AFC"/>
    <w:rsid w:val="00F26E24"/>
    <w:rsid w:val="00F54C67"/>
    <w:rsid w:val="00F66551"/>
    <w:rsid w:val="00F8112C"/>
    <w:rsid w:val="00F952BF"/>
    <w:rsid w:val="00FB4FA1"/>
    <w:rsid w:val="00FC11AC"/>
    <w:rsid w:val="00FC18F6"/>
    <w:rsid w:val="00FE52DA"/>
    <w:rsid w:val="00FF1950"/>
    <w:rsid w:val="09FD24D7"/>
    <w:rsid w:val="1F504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qFormat/>
    <w:uiPriority w:val="39"/>
    <w:rPr>
      <w:rFonts w:eastAsia="仿宋_GB2312"/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  <w:rPr>
      <w:rFonts w:eastAsia="仿宋_GB2312"/>
      <w:sz w:val="24"/>
    </w:rPr>
  </w:style>
  <w:style w:type="paragraph" w:styleId="9">
    <w:name w:val="toc 2"/>
    <w:basedOn w:val="1"/>
    <w:next w:val="1"/>
    <w:semiHidden/>
    <w:unhideWhenUsed/>
    <w:qFormat/>
    <w:uiPriority w:val="39"/>
    <w:rPr>
      <w:rFonts w:eastAsia="仿宋_GB2312"/>
      <w:sz w:val="24"/>
    </w:r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gjj</Company>
  <Pages>15</Pages>
  <Words>1141</Words>
  <Characters>6507</Characters>
  <Lines>54</Lines>
  <Paragraphs>15</Paragraphs>
  <TotalTime>0</TotalTime>
  <ScaleCrop>false</ScaleCrop>
  <LinksUpToDate>false</LinksUpToDate>
  <CharactersWithSpaces>7633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2021-06-07T15:39:00Z</dcterms:created>
  <dc:creator>gjj03</dc:creator>
  <cp:lastModifiedBy>Avila</cp:lastModifiedBy>
  <cp:lastPrinted>2020-09-25T10:07:00Z</cp:lastPrinted>
  <dcterms:modified xsi:type="dcterms:W3CDTF">2021-06-30T02:18:32Z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