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jc w:val="center"/>
      </w:pPr>
      <w:r>
        <w:t> </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r>
        <w:rPr>
          <w:rStyle w:val="7"/>
          <w:rFonts w:hint="eastAsia"/>
          <w:sz w:val="72"/>
          <w:szCs w:val="72"/>
        </w:rPr>
        <w:t>2022年度</w:t>
      </w:r>
    </w:p>
    <w:p>
      <w:pPr>
        <w:pStyle w:val="4"/>
        <w:shd w:val="clear" w:color="auto" w:fill="FFFFFF"/>
        <w:jc w:val="center"/>
      </w:pPr>
      <w:r>
        <w:rPr>
          <w:rStyle w:val="7"/>
          <w:rFonts w:hint="eastAsia"/>
          <w:sz w:val="72"/>
          <w:szCs w:val="72"/>
        </w:rPr>
        <w:t>长沙市企业服务中心部门决算</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r>
        <w:t> </w:t>
      </w:r>
    </w:p>
    <w:p>
      <w:pPr>
        <w:pStyle w:val="4"/>
        <w:shd w:val="clear" w:color="auto" w:fill="FFFFFF"/>
        <w:jc w:val="center"/>
      </w:pPr>
      <w:r>
        <w:rPr>
          <w:rStyle w:val="7"/>
          <w:rFonts w:hint="eastAsia" w:ascii="黑体" w:hAnsi="黑体" w:eastAsia="黑体"/>
          <w:sz w:val="39"/>
          <w:szCs w:val="39"/>
        </w:rPr>
        <w:t>目录</w:t>
      </w:r>
    </w:p>
    <w:p>
      <w:pPr>
        <w:pStyle w:val="4"/>
        <w:shd w:val="clear" w:color="auto" w:fill="FFFFFF"/>
        <w:tabs>
          <w:tab w:val="left" w:pos="0"/>
        </w:tabs>
        <w:ind w:left="0" w:leftChars="0" w:firstLine="0" w:firstLineChars="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第一部分 长沙市企业服务中心单位概况</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一、部门职责</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二、机构设置</w:t>
      </w:r>
    </w:p>
    <w:p>
      <w:pPr>
        <w:pStyle w:val="4"/>
        <w:shd w:val="clear" w:color="auto" w:fill="FFFFFF"/>
        <w:tabs>
          <w:tab w:val="left" w:pos="0"/>
        </w:tabs>
        <w:ind w:left="0" w:leftChars="0" w:firstLine="0" w:firstLineChars="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第二部分 部门决算表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一、收入支出决算总表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二、收入决算表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三、支出决算表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四、财政拨款收入支出决算总表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五、一般公共预算财政拨款支出决算表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六、一般公共预算财政拨款基本支出决算明细表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七、政府性基金预算财政拨款收入支出决算表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八、国有资本经营预算财政拨款支出决算表</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九、财政拨款“三公”经费支出决算表</w:t>
      </w:r>
    </w:p>
    <w:p>
      <w:pPr>
        <w:pStyle w:val="4"/>
        <w:shd w:val="clear" w:color="auto" w:fill="FFFFFF"/>
        <w:tabs>
          <w:tab w:val="left" w:pos="0"/>
        </w:tabs>
        <w:ind w:left="0" w:leftChars="0" w:firstLine="0" w:firstLineChars="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第三部分 部门决算情况说明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一、收入支出决算总体情况说明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二、收入决算情况说明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三、支出决算情况说明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四、财政拨款收入支出决算总体情况说明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五、一般公共预算财政拨款支出决算情况说明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六、一般公共预算财政拨款基本支出决算情况说明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七、财政拨款三公经费支出决算情况说明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八、政府性基金预算收入支出决算情况</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九、国有资本经营运算收入支出决算情况</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十、关于机关运行经费支出说明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十一、一般性支出情况说明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十二、关于政府采购支出说明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十三、关于国有资产占用情况说明</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十四、关于预算绩效情况的说明</w:t>
      </w:r>
    </w:p>
    <w:p>
      <w:pPr>
        <w:pStyle w:val="4"/>
        <w:shd w:val="clear" w:color="auto" w:fill="FFFFFF"/>
        <w:tabs>
          <w:tab w:val="left" w:pos="0"/>
        </w:tabs>
        <w:ind w:left="0" w:leftChars="0" w:firstLine="0" w:firstLineChars="0"/>
        <w:rPr>
          <w:rFonts w:hint="eastAsia" w:ascii="仿宋_GB2312" w:hAnsi="仿宋_GB2312" w:eastAsia="仿宋_GB2312" w:cs="仿宋_GB2312"/>
          <w:b/>
          <w:bCs/>
          <w:sz w:val="30"/>
          <w:szCs w:val="30"/>
        </w:rPr>
      </w:pPr>
      <w:r>
        <w:rPr>
          <w:rFonts w:hint="eastAsia" w:ascii="仿宋_GB2312" w:hAnsi="仿宋_GB2312" w:eastAsia="仿宋_GB2312" w:cs="仿宋_GB2312"/>
          <w:b/>
          <w:bCs/>
          <w:sz w:val="32"/>
          <w:szCs w:val="32"/>
        </w:rPr>
        <w:t>第四部分 名词解释</w:t>
      </w:r>
      <w:r>
        <w:rPr>
          <w:rFonts w:hint="eastAsia" w:ascii="仿宋_GB2312" w:hAnsi="仿宋_GB2312" w:eastAsia="仿宋_GB2312" w:cs="仿宋_GB2312"/>
          <w:b/>
          <w:bCs/>
          <w:sz w:val="30"/>
          <w:szCs w:val="30"/>
        </w:rPr>
        <w:t> </w:t>
      </w:r>
    </w:p>
    <w:p>
      <w:pPr>
        <w:pStyle w:val="4"/>
        <w:shd w:val="clear" w:color="auto" w:fill="FFFFFF"/>
        <w:tabs>
          <w:tab w:val="left" w:pos="0"/>
        </w:tabs>
        <w:ind w:left="0" w:leftChars="0" w:firstLine="0" w:firstLineChars="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eastAsia="zh-CN"/>
        </w:rPr>
        <w:t>第五部分</w:t>
      </w:r>
      <w:r>
        <w:rPr>
          <w:rFonts w:hint="eastAsia" w:ascii="仿宋_GB2312" w:hAnsi="仿宋_GB2312" w:eastAsia="仿宋_GB2312" w:cs="仿宋_GB2312"/>
          <w:b/>
          <w:bCs/>
          <w:sz w:val="32"/>
          <w:szCs w:val="32"/>
          <w:lang w:val="en-US" w:eastAsia="zh-CN"/>
        </w:rPr>
        <w:t xml:space="preserve"> </w:t>
      </w:r>
      <w:bookmarkStart w:id="0" w:name="_GoBack"/>
      <w:bookmarkEnd w:id="0"/>
      <w:r>
        <w:rPr>
          <w:rFonts w:hint="eastAsia" w:ascii="仿宋_GB2312" w:hAnsi="仿宋_GB2312" w:eastAsia="仿宋_GB2312" w:cs="仿宋_GB2312"/>
          <w:b/>
          <w:bCs/>
          <w:sz w:val="32"/>
          <w:szCs w:val="32"/>
          <w:lang w:val="en-US" w:eastAsia="zh-CN"/>
        </w:rPr>
        <w:t>附件</w:t>
      </w:r>
    </w:p>
    <w:p>
      <w:pPr>
        <w:pStyle w:val="4"/>
        <w:shd w:val="clear" w:color="auto" w:fill="FFFFFF"/>
        <w:tabs>
          <w:tab w:val="left" w:pos="0"/>
        </w:tabs>
        <w:ind w:left="0" w:leftChars="0" w:firstLine="0"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一、长沙市企业服务中心</w:t>
      </w:r>
      <w:r>
        <w:rPr>
          <w:rFonts w:hint="eastAsia" w:ascii="仿宋_GB2312" w:hAnsi="仿宋_GB2312" w:eastAsia="仿宋_GB2312" w:cs="仿宋_GB2312"/>
          <w:sz w:val="32"/>
          <w:szCs w:val="32"/>
          <w:lang w:val="en-US" w:eastAsia="zh-CN"/>
        </w:rPr>
        <w:t>2022年部门决算公开表</w:t>
      </w:r>
    </w:p>
    <w:p>
      <w:pPr>
        <w:pStyle w:val="4"/>
        <w:shd w:val="clear" w:color="auto" w:fill="FFFFFF"/>
        <w:tabs>
          <w:tab w:val="left" w:pos="0"/>
        </w:tabs>
        <w:ind w:left="0" w:leftChars="0" w:firstLine="0"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二、2022年度企业服务中心整体支出绩效评价报告</w:t>
      </w: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r>
        <w:t> </w:t>
      </w:r>
    </w:p>
    <w:p>
      <w:pPr>
        <w:pStyle w:val="4"/>
        <w:shd w:val="clear" w:color="auto" w:fill="FFFFFF"/>
        <w:jc w:val="center"/>
      </w:pPr>
      <w:r>
        <w:rPr>
          <w:rFonts w:hint="eastAsia"/>
          <w:sz w:val="72"/>
          <w:szCs w:val="72"/>
        </w:rPr>
        <w:t>第一部分</w:t>
      </w:r>
    </w:p>
    <w:p>
      <w:pPr>
        <w:pStyle w:val="4"/>
        <w:shd w:val="clear" w:color="auto" w:fill="FFFFFF"/>
        <w:jc w:val="center"/>
      </w:pPr>
      <w:r>
        <w:t> </w:t>
      </w:r>
    </w:p>
    <w:p>
      <w:pPr>
        <w:pStyle w:val="4"/>
        <w:shd w:val="clear" w:color="auto" w:fill="FFFFFF"/>
        <w:jc w:val="center"/>
      </w:pPr>
      <w:r>
        <w:rPr>
          <w:rFonts w:hint="eastAsia"/>
          <w:sz w:val="72"/>
          <w:szCs w:val="72"/>
        </w:rPr>
        <w:t>长沙市企业服务中心单位概况</w:t>
      </w:r>
    </w:p>
    <w:p>
      <w:pPr>
        <w:pStyle w:val="4"/>
        <w:shd w:val="clear" w:color="auto" w:fill="FFFFFF"/>
        <w:jc w:val="center"/>
      </w:pPr>
      <w:r>
        <w:t> </w:t>
      </w:r>
    </w:p>
    <w:p>
      <w:pPr>
        <w:pStyle w:val="4"/>
        <w:shd w:val="clear" w:color="auto" w:fill="FFFFFF"/>
        <w:jc w:val="center"/>
      </w:pPr>
      <w:r>
        <w:t> </w:t>
      </w: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p>
    <w:p>
      <w:pPr>
        <w:pStyle w:val="4"/>
        <w:shd w:val="clear" w:color="auto" w:fill="FFFFFF"/>
        <w:jc w:val="center"/>
      </w:pPr>
      <w:r>
        <w:t>  </w:t>
      </w:r>
    </w:p>
    <w:p>
      <w:pPr>
        <w:pStyle w:val="4"/>
        <w:keepNext w:val="0"/>
        <w:keepLines w:val="0"/>
        <w:pageBreakBefore w:val="0"/>
        <w:shd w:val="clear" w:color="auto" w:fill="FFFFFF"/>
        <w:kinsoku/>
        <w:wordWrap/>
        <w:overflowPunct/>
        <w:topLinePunct w:val="0"/>
        <w:bidi w:val="0"/>
        <w:adjustRightInd/>
        <w:snapToGrid/>
        <w:spacing w:line="560" w:lineRule="exact"/>
        <w:textAlignment w:val="auto"/>
        <w:rPr>
          <w:rFonts w:hint="eastAsia" w:ascii="仿宋_GB2312" w:hAnsi="仿宋_GB2312" w:eastAsia="仿宋_GB2312" w:cs="仿宋_GB2312"/>
          <w:b/>
          <w:bCs/>
        </w:rPr>
      </w:pPr>
      <w:r>
        <w:rPr>
          <w:rFonts w:hint="eastAsia" w:ascii="仿宋_GB2312" w:hAnsi="仿宋_GB2312" w:eastAsia="仿宋_GB2312" w:cs="仿宋_GB2312"/>
          <w:b/>
          <w:bCs/>
          <w:sz w:val="33"/>
          <w:szCs w:val="33"/>
        </w:rPr>
        <w:t>一、 部门职责</w:t>
      </w:r>
    </w:p>
    <w:p>
      <w:pPr>
        <w:pStyle w:val="3"/>
        <w:keepNext w:val="0"/>
        <w:keepLines w:val="0"/>
        <w:pageBreakBefore w:val="0"/>
        <w:kinsoku/>
        <w:wordWrap/>
        <w:overflowPunct/>
        <w:topLinePunct w:val="0"/>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eastAsia="zh-CN"/>
        </w:rPr>
        <w:t xml:space="preserve">（一）贯彻落实国家和省、市有关发展企业的法律法规和方针政策，依法维护企业合法权益。 </w:t>
      </w:r>
    </w:p>
    <w:p>
      <w:pPr>
        <w:pStyle w:val="3"/>
        <w:keepNext w:val="0"/>
        <w:keepLines w:val="0"/>
        <w:pageBreakBefore w:val="0"/>
        <w:kinsoku/>
        <w:wordWrap/>
        <w:overflowPunct/>
        <w:topLinePunct w:val="0"/>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eastAsia="zh-CN"/>
        </w:rPr>
        <w:t xml:space="preserve">（二）牵头组织企业申报国家扶持企业发展的各类专项资金及专项基金。 </w:t>
      </w:r>
    </w:p>
    <w:p>
      <w:pPr>
        <w:pStyle w:val="3"/>
        <w:keepNext w:val="0"/>
        <w:keepLines w:val="0"/>
        <w:pageBreakBefore w:val="0"/>
        <w:kinsoku/>
        <w:wordWrap/>
        <w:overflowPunct/>
        <w:topLinePunct w:val="0"/>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eastAsia="zh-CN"/>
        </w:rPr>
        <w:t xml:space="preserve">（三）协调联系行业协会、相关部门及其他机构，推进为企业提供融资担保、市场开拓、人才培训、创业创新、科技孵化、信息化应用、技术支持、品牌培育、经营管理以及信息咨询等多方面、多层次的服务体系建设；协助搭建校企合作平台。 </w:t>
      </w:r>
    </w:p>
    <w:p>
      <w:pPr>
        <w:pStyle w:val="3"/>
        <w:keepNext w:val="0"/>
        <w:keepLines w:val="0"/>
        <w:pageBreakBefore w:val="0"/>
        <w:kinsoku/>
        <w:wordWrap/>
        <w:overflowPunct/>
        <w:topLinePunct w:val="0"/>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eastAsia="zh-CN"/>
        </w:rPr>
        <w:t xml:space="preserve">（四）牵头整合社会服务资源，建立企业共性需求和机构服务产品对接机制。 </w:t>
      </w:r>
    </w:p>
    <w:p>
      <w:pPr>
        <w:pStyle w:val="3"/>
        <w:keepNext w:val="0"/>
        <w:keepLines w:val="0"/>
        <w:pageBreakBefore w:val="0"/>
        <w:kinsoku/>
        <w:wordWrap/>
        <w:overflowPunct/>
        <w:topLinePunct w:val="0"/>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eastAsia="zh-CN"/>
        </w:rPr>
        <w:t xml:space="preserve">（五）配合有关部门做好优化营商环境相关服务工作，负责收集整理企业困难、问题咨询及投诉。 </w:t>
      </w:r>
    </w:p>
    <w:p>
      <w:pPr>
        <w:pStyle w:val="3"/>
        <w:keepNext w:val="0"/>
        <w:keepLines w:val="0"/>
        <w:pageBreakBefore w:val="0"/>
        <w:kinsoku/>
        <w:wordWrap/>
        <w:overflowPunct/>
        <w:topLinePunct w:val="0"/>
        <w:bidi w:val="0"/>
        <w:adjustRightInd/>
        <w:snapToGrid/>
        <w:spacing w:before="0" w:after="0" w:line="560" w:lineRule="exact"/>
        <w:ind w:left="0" w:firstLine="64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lang w:eastAsia="zh-CN"/>
        </w:rPr>
        <w:t>（六）完成市工业和信息化局交办的其他任务。</w:t>
      </w:r>
    </w:p>
    <w:p>
      <w:pPr>
        <w:pStyle w:val="4"/>
        <w:keepNext w:val="0"/>
        <w:keepLines w:val="0"/>
        <w:pageBreakBefore w:val="0"/>
        <w:shd w:val="clear" w:color="auto" w:fill="FFFFFF"/>
        <w:kinsoku/>
        <w:wordWrap/>
        <w:overflowPunct/>
        <w:topLinePunct w:val="0"/>
        <w:bidi w:val="0"/>
        <w:adjustRightInd/>
        <w:snapToGrid/>
        <w:spacing w:line="560" w:lineRule="exact"/>
        <w:textAlignment w:val="auto"/>
        <w:rPr>
          <w:rFonts w:hint="eastAsia" w:ascii="仿宋_GB2312" w:hAnsi="仿宋_GB2312" w:eastAsia="仿宋_GB2312" w:cs="仿宋_GB2312"/>
          <w:b/>
          <w:bCs/>
        </w:rPr>
      </w:pPr>
      <w:r>
        <w:rPr>
          <w:rFonts w:hint="eastAsia" w:ascii="仿宋_GB2312" w:hAnsi="仿宋_GB2312" w:eastAsia="仿宋_GB2312" w:cs="仿宋_GB2312"/>
          <w:b/>
          <w:bCs/>
          <w:sz w:val="33"/>
          <w:szCs w:val="33"/>
        </w:rPr>
        <w:t>二、机构设置及决算单位构成</w:t>
      </w:r>
    </w:p>
    <w:p>
      <w:pPr>
        <w:pStyle w:val="3"/>
        <w:keepNext w:val="0"/>
        <w:keepLines w:val="0"/>
        <w:pageBreakBefore w:val="0"/>
        <w:kinsoku/>
        <w:wordWrap/>
        <w:overflowPunct/>
        <w:topLinePunct w:val="0"/>
        <w:bidi w:val="0"/>
        <w:adjustRightInd/>
        <w:snapToGrid/>
        <w:spacing w:before="0" w:after="0" w:line="560" w:lineRule="exact"/>
        <w:ind w:left="0" w:firstLine="600" w:firstLineChars="200"/>
        <w:jc w:val="both"/>
        <w:textAlignment w:val="auto"/>
        <w:rPr>
          <w:rFonts w:hint="eastAsia" w:ascii="仿宋_GB2312" w:hAnsi="仿宋_GB2312" w:eastAsia="仿宋_GB2312" w:cs="仿宋_GB2312"/>
          <w:sz w:val="33"/>
          <w:szCs w:val="33"/>
        </w:rPr>
      </w:pPr>
      <w:r>
        <w:rPr>
          <w:rFonts w:hint="eastAsia" w:ascii="仿宋_GB2312" w:hAnsi="仿宋_GB2312" w:eastAsia="仿宋_GB2312" w:cs="仿宋_GB2312"/>
          <w:sz w:val="30"/>
          <w:szCs w:val="30"/>
        </w:rPr>
        <w:t>  </w:t>
      </w:r>
      <w:r>
        <w:rPr>
          <w:rFonts w:hint="eastAsia" w:ascii="仿宋_GB2312" w:hAnsi="仿宋_GB2312" w:eastAsia="仿宋_GB2312" w:cs="仿宋_GB2312"/>
          <w:sz w:val="33"/>
          <w:szCs w:val="33"/>
        </w:rPr>
        <w:t>（一）内设机构设置。</w:t>
      </w:r>
      <w:r>
        <w:rPr>
          <w:rFonts w:hint="eastAsia" w:ascii="仿宋_GB2312" w:hAnsi="仿宋_GB2312" w:eastAsia="仿宋_GB2312" w:cs="仿宋_GB2312"/>
          <w:lang w:eastAsia="zh-CN"/>
        </w:rPr>
        <w:t>我单位为长沙市工业和信息化局所属正科级公益一类事业单位，机构级别是正科级。有事业编制数</w:t>
      </w:r>
      <w:r>
        <w:rPr>
          <w:rFonts w:hint="eastAsia" w:ascii="仿宋_GB2312" w:hAnsi="仿宋_GB2312" w:eastAsia="仿宋_GB2312" w:cs="仿宋_GB2312"/>
          <w:lang w:val="en-US" w:eastAsia="zh-CN"/>
        </w:rPr>
        <w:t>29</w:t>
      </w:r>
      <w:r>
        <w:rPr>
          <w:rFonts w:hint="eastAsia" w:ascii="仿宋_GB2312" w:hAnsi="仿宋_GB2312" w:eastAsia="仿宋_GB2312" w:cs="仿宋_GB2312"/>
          <w:lang w:eastAsia="zh-CN"/>
        </w:rPr>
        <w:t>人，实际在编在职人员27人；离退休人员50人；没有内设机构。</w:t>
      </w:r>
    </w:p>
    <w:p>
      <w:pPr>
        <w:pStyle w:val="3"/>
        <w:keepNext w:val="0"/>
        <w:keepLines w:val="0"/>
        <w:pageBreakBefore w:val="0"/>
        <w:kinsoku/>
        <w:wordWrap/>
        <w:overflowPunct/>
        <w:topLinePunct w:val="0"/>
        <w:bidi w:val="0"/>
        <w:adjustRightInd/>
        <w:snapToGrid/>
        <w:spacing w:before="0" w:after="0" w:line="560" w:lineRule="exact"/>
        <w:ind w:left="0" w:firstLine="600"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0"/>
          <w:szCs w:val="30"/>
        </w:rPr>
        <w:t>  </w:t>
      </w:r>
      <w:r>
        <w:rPr>
          <w:rFonts w:hint="eastAsia" w:ascii="仿宋_GB2312" w:hAnsi="仿宋_GB2312" w:eastAsia="仿宋_GB2312" w:cs="仿宋_GB2312"/>
          <w:sz w:val="33"/>
          <w:szCs w:val="33"/>
        </w:rPr>
        <w:t>（二）决算单位构成。</w:t>
      </w:r>
      <w:r>
        <w:rPr>
          <w:rFonts w:hint="eastAsia" w:ascii="仿宋_GB2312" w:hAnsi="仿宋_GB2312" w:eastAsia="仿宋_GB2312" w:cs="仿宋_GB2312"/>
          <w:lang w:eastAsia="zh-CN"/>
        </w:rPr>
        <w:t>长沙市企业服务中心202</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年部门决算公开</w:t>
      </w:r>
      <w:r>
        <w:rPr>
          <w:rFonts w:hint="eastAsia" w:ascii="仿宋_GB2312" w:hAnsi="仿宋_GB2312" w:eastAsia="仿宋_GB2312" w:cs="仿宋_GB2312"/>
          <w:lang w:val="en-US" w:eastAsia="zh-CN"/>
        </w:rPr>
        <w:t>单位构成包括：</w:t>
      </w:r>
      <w:r>
        <w:rPr>
          <w:rFonts w:hint="eastAsia" w:ascii="仿宋_GB2312" w:hAnsi="仿宋_GB2312" w:eastAsia="仿宋_GB2312" w:cs="仿宋_GB2312"/>
          <w:lang w:eastAsia="zh-CN"/>
        </w:rPr>
        <w:t>长沙市企业服务中心本级，没有其它二级预算单位。</w:t>
      </w:r>
    </w:p>
    <w:p>
      <w:pPr>
        <w:keepNext w:val="0"/>
        <w:keepLines w:val="0"/>
        <w:pageBreakBefore w:val="0"/>
        <w:kinsoku/>
        <w:wordWrap/>
        <w:overflowPunct/>
        <w:topLinePunct w:val="0"/>
        <w:bidi w:val="0"/>
        <w:adjustRightInd/>
        <w:snapToGrid/>
        <w:spacing w:before="0" w:after="0" w:line="560" w:lineRule="exact"/>
        <w:textAlignment w:val="auto"/>
        <w:rPr>
          <w:rFonts w:hint="eastAsia" w:ascii="仿宋_GB2312" w:hAnsi="仿宋_GB2312" w:eastAsia="仿宋_GB2312" w:cs="仿宋_GB2312"/>
          <w:sz w:val="32"/>
          <w:szCs w:val="32"/>
          <w:lang w:val="zh-CN" w:eastAsia="zh-CN" w:bidi="zh-CN"/>
        </w:rPr>
        <w:sectPr>
          <w:pgSz w:w="11910" w:h="16840"/>
          <w:pgMar w:top="1440" w:right="1800" w:bottom="1440" w:left="1800" w:header="1" w:footer="1385" w:gutter="0"/>
          <w:cols w:space="720" w:num="1"/>
        </w:sectPr>
      </w:pPr>
    </w:p>
    <w:p>
      <w:pPr>
        <w:pStyle w:val="4"/>
        <w:shd w:val="clear" w:color="auto" w:fill="FFFFFF"/>
        <w:jc w:val="center"/>
      </w:pPr>
      <w:r>
        <w:t> </w:t>
      </w:r>
    </w:p>
    <w:p>
      <w:pPr>
        <w:pStyle w:val="4"/>
        <w:shd w:val="clear" w:color="auto" w:fill="FFFFFF"/>
        <w:jc w:val="center"/>
      </w:pPr>
      <w:r>
        <w:rPr>
          <w:sz w:val="72"/>
          <w:szCs w:val="72"/>
        </w:rPr>
        <w:t>第二部分</w:t>
      </w:r>
    </w:p>
    <w:p>
      <w:pPr>
        <w:pStyle w:val="4"/>
        <w:shd w:val="clear" w:color="auto" w:fill="FFFFFF"/>
        <w:jc w:val="center"/>
      </w:pPr>
      <w:r>
        <w:t> </w:t>
      </w:r>
    </w:p>
    <w:p>
      <w:pPr>
        <w:pStyle w:val="4"/>
        <w:shd w:val="clear" w:color="auto" w:fill="FFFFFF"/>
        <w:jc w:val="center"/>
      </w:pPr>
      <w:r>
        <w:rPr>
          <w:sz w:val="72"/>
          <w:szCs w:val="72"/>
        </w:rPr>
        <w:t>部门决算表</w:t>
      </w:r>
    </w:p>
    <w:p>
      <w:pPr>
        <w:pStyle w:val="4"/>
        <w:shd w:val="clear" w:color="auto" w:fill="FFFFFF"/>
        <w:jc w:val="center"/>
      </w:pPr>
      <w:r>
        <w:t> </w:t>
      </w:r>
    </w:p>
    <w:p>
      <w:pPr>
        <w:pStyle w:val="4"/>
        <w:shd w:val="clear" w:color="auto" w:fill="FFFFFF"/>
      </w:pPr>
      <w:r>
        <w:t> </w:t>
      </w:r>
    </w:p>
    <w:p/>
    <w:p>
      <w:pPr>
        <w:pStyle w:val="2"/>
      </w:pPr>
    </w:p>
    <w:tbl>
      <w:tblPr>
        <w:tblStyle w:val="5"/>
        <w:tblW w:w="142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6"/>
        <w:gridCol w:w="768"/>
        <w:gridCol w:w="1781"/>
        <w:gridCol w:w="4862"/>
        <w:gridCol w:w="737"/>
        <w:gridCol w:w="19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18" w:type="dxa"/>
            <w:gridSpan w:val="6"/>
            <w:tcBorders>
              <w:top w:val="nil"/>
              <w:left w:val="nil"/>
              <w:bottom w:val="nil"/>
              <w:right w:val="single" w:color="808080" w:sz="4" w:space="0"/>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收入支出决算总表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521"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432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single" w:color="808080" w:sz="4" w:space="0"/>
            </w:tcBorders>
            <w:shd w:val="clear" w:color="auto" w:fill="FFFFFF"/>
            <w:noWrap/>
            <w:vAlign w:val="center"/>
          </w:tcPr>
          <w:p>
            <w:pPr>
              <w:jc w:val="lef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521"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432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公开01表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single" w:color="808080" w:sz="4" w:space="0"/>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部门：长沙市企业服务中心</w:t>
            </w: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521" w:type="dxa"/>
            <w:tcBorders>
              <w:top w:val="nil"/>
              <w:left w:val="nil"/>
              <w:bottom w:val="single" w:color="808080" w:sz="4" w:space="0"/>
              <w:right w:val="nil"/>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2022年度</w:t>
            </w:r>
          </w:p>
        </w:tc>
        <w:tc>
          <w:tcPr>
            <w:tcW w:w="4326"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25" w:type="dxa"/>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收入</w:t>
            </w:r>
          </w:p>
        </w:tc>
        <w:tc>
          <w:tcPr>
            <w:tcW w:w="7293" w:type="dxa"/>
            <w:gridSpan w:val="3"/>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行次</w:t>
            </w:r>
          </w:p>
        </w:tc>
        <w:tc>
          <w:tcPr>
            <w:tcW w:w="1521"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0" w:type="auto"/>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521"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0" w:type="auto"/>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一、一般公共预算财政拨款收入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一、一般公共服务支出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32</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二、政府性基金预算财政拨款收入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二、外交支出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三、国有资本经营预算财政拨款收入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三、国防支出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四、上级补助收入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四、公共安全支出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35</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五、事业收入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57.12</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五、教育支出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36</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六、经营收入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六、科学技术支出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37</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七、附属单位上缴收入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七、文化旅游体育与传媒支出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38</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八、其他收入</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八、社会保障和就业支出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九、卫生健康支出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40</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十、节能环保支出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41</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十一、城乡社区支出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十二、农林水支出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43</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十三、交通运输支出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44</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14</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十四、资源勘探工业信息等支出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45</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1,198.51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十五、商业服务业等支出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46</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十六、金融支出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47</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十七、援助其他地区支出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48</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十八、自然资源海洋气象等支出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49</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19</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十九、住房保障支出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二十、粮油物资储备支出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51</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二十一、国有资本经营预算支出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52</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二十二、灾害防治及应急管理支出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23</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二十三、其他支出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54</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center"/>
              <w:rPr>
                <w:rFonts w:hint="eastAsia" w:ascii="宋体" w:hAnsi="宋体" w:eastAsia="宋体" w:cs="宋体"/>
                <w:b/>
                <w:i w:val="0"/>
                <w:color w:val="000000"/>
                <w:sz w:val="20"/>
                <w:szCs w:val="20"/>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24</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0"/>
                <w:szCs w:val="20"/>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二十四、债务还本支出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55</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0"/>
                <w:szCs w:val="20"/>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二十五、债务付息支出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56</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0"/>
                <w:szCs w:val="20"/>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26</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0"/>
                <w:szCs w:val="20"/>
                <w:u w:val="none"/>
              </w:rPr>
            </w:pP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二十六、抗疫特别国债安排的支出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本年收入合计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27</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1,198.51</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本年支出合计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58</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1,198.51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使用非财政拨款结余</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28</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结余分配</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59</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年初结转和结余</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29</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年末结转和结余</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w:t>
            </w:r>
          </w:p>
        </w:tc>
        <w:tc>
          <w:tcPr>
            <w:tcW w:w="1521"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4326"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61</w:t>
            </w:r>
          </w:p>
        </w:tc>
        <w:tc>
          <w:tcPr>
            <w:tcW w:w="0" w:type="auto"/>
            <w:tcBorders>
              <w:top w:val="nil"/>
              <w:left w:val="nil"/>
              <w:bottom w:val="single" w:color="000000" w:sz="4" w:space="0"/>
              <w:right w:val="single" w:color="000000" w:sz="4" w:space="0"/>
            </w:tcBorders>
            <w:shd w:val="clear" w:color="auto" w:fill="FFFFFF"/>
            <w:noWrap/>
            <w:vAlign w:val="center"/>
          </w:tcPr>
          <w:p>
            <w:pPr>
              <w:jc w:val="lef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w:t>
            </w:r>
          </w:p>
        </w:tc>
        <w:tc>
          <w:tcPr>
            <w:tcW w:w="152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1,198.51</w:t>
            </w:r>
          </w:p>
        </w:tc>
        <w:tc>
          <w:tcPr>
            <w:tcW w:w="432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62</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1,198.51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6"/>
            <w:tcBorders>
              <w:top w:val="nil"/>
              <w:left w:val="nil"/>
              <w:bottom w:val="nil"/>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注：1.本表反映部门本年度的总收支和年末结转结余情况。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6"/>
            <w:tcBorders>
              <w:top w:val="nil"/>
              <w:left w:val="nil"/>
              <w:bottom w:val="nil"/>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2.本套报表金额单位转换时可能存在尾数误差。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6"/>
            <w:tcBorders>
              <w:top w:val="nil"/>
              <w:left w:val="nil"/>
              <w:bottom w:val="nil"/>
              <w:right w:val="single" w:color="808080" w:sz="4" w:space="0"/>
            </w:tcBorders>
            <w:shd w:val="clear" w:color="auto" w:fill="FFFFFF"/>
            <w:noWrap/>
            <w:vAlign w:val="center"/>
          </w:tcPr>
          <w:p>
            <w:pPr>
              <w:jc w:val="left"/>
              <w:rPr>
                <w:rFonts w:hint="eastAsia" w:ascii="宋体" w:hAnsi="宋体" w:eastAsia="宋体" w:cs="宋体"/>
                <w:i w:val="0"/>
                <w:color w:val="000000"/>
                <w:sz w:val="18"/>
                <w:szCs w:val="18"/>
                <w:u w:val="none"/>
              </w:rPr>
            </w:pP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496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036"/>
        <w:gridCol w:w="3583"/>
        <w:gridCol w:w="617"/>
        <w:gridCol w:w="1033"/>
        <w:gridCol w:w="1394"/>
        <w:gridCol w:w="189"/>
        <w:gridCol w:w="1607"/>
        <w:gridCol w:w="1277"/>
        <w:gridCol w:w="519"/>
        <w:gridCol w:w="614"/>
        <w:gridCol w:w="1333"/>
        <w:gridCol w:w="7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969" w:type="dxa"/>
            <w:gridSpan w:val="12"/>
            <w:tcBorders>
              <w:top w:val="nil"/>
              <w:left w:val="nil"/>
              <w:bottom w:val="nil"/>
              <w:right w:val="single" w:color="808080" w:sz="4" w:space="0"/>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收入决算表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4200"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427"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714" w:type="dxa"/>
            <w:gridSpan w:val="3"/>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公开02表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tcBorders>
              <w:top w:val="nil"/>
              <w:left w:val="nil"/>
              <w:bottom w:val="single" w:color="808080" w:sz="4" w:space="0"/>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部门：长沙市企业服务中心</w:t>
            </w:r>
          </w:p>
        </w:tc>
        <w:tc>
          <w:tcPr>
            <w:tcW w:w="4200" w:type="dxa"/>
            <w:gridSpan w:val="2"/>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427" w:type="dxa"/>
            <w:gridSpan w:val="2"/>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gridSpan w:val="2"/>
            <w:tcBorders>
              <w:top w:val="nil"/>
              <w:left w:val="nil"/>
              <w:bottom w:val="single" w:color="808080" w:sz="4" w:space="0"/>
              <w:right w:val="nil"/>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2022年度</w:t>
            </w:r>
          </w:p>
        </w:tc>
        <w:tc>
          <w:tcPr>
            <w:tcW w:w="1796" w:type="dxa"/>
            <w:gridSpan w:val="2"/>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714" w:type="dxa"/>
            <w:gridSpan w:val="3"/>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619" w:type="dxa"/>
            <w:gridSpan w:val="2"/>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650"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本年收入合计</w:t>
            </w:r>
          </w:p>
        </w:tc>
        <w:tc>
          <w:tcPr>
            <w:tcW w:w="1583"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财政拨款收入</w:t>
            </w:r>
          </w:p>
        </w:tc>
        <w:tc>
          <w:tcPr>
            <w:tcW w:w="160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上级补助收入</w:t>
            </w:r>
          </w:p>
        </w:tc>
        <w:tc>
          <w:tcPr>
            <w:tcW w:w="127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事业收入</w:t>
            </w:r>
          </w:p>
        </w:tc>
        <w:tc>
          <w:tcPr>
            <w:tcW w:w="1133"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经营收入</w:t>
            </w:r>
          </w:p>
        </w:tc>
        <w:tc>
          <w:tcPr>
            <w:tcW w:w="1333"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附属单位上缴收入</w:t>
            </w:r>
          </w:p>
        </w:tc>
        <w:tc>
          <w:tcPr>
            <w:tcW w:w="76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其他收入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3583" w:type="dxa"/>
            <w:vMerge w:val="restart"/>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1650"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583"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0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7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33"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33"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7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3583" w:type="dxa"/>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650"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583"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0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7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33"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33"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7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3583" w:type="dxa"/>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650"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583"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0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7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33"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33"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7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619" w:type="dxa"/>
            <w:gridSpan w:val="2"/>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1650" w:type="dxa"/>
            <w:gridSpan w:val="2"/>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583" w:type="dxa"/>
            <w:gridSpan w:val="2"/>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60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27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133" w:type="dxa"/>
            <w:gridSpan w:val="2"/>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333"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76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619" w:type="dxa"/>
            <w:gridSpan w:val="2"/>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650"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1,198.51</w:t>
            </w:r>
          </w:p>
        </w:tc>
        <w:tc>
          <w:tcPr>
            <w:tcW w:w="1583"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1,141.39</w:t>
            </w:r>
          </w:p>
        </w:tc>
        <w:tc>
          <w:tcPr>
            <w:tcW w:w="160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127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57.12</w:t>
            </w:r>
          </w:p>
        </w:tc>
        <w:tc>
          <w:tcPr>
            <w:tcW w:w="1133"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133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7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215</w:t>
            </w:r>
          </w:p>
        </w:tc>
        <w:tc>
          <w:tcPr>
            <w:tcW w:w="3583"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资源勘探工业信息等支出</w:t>
            </w:r>
          </w:p>
        </w:tc>
        <w:tc>
          <w:tcPr>
            <w:tcW w:w="1650"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1,198.51</w:t>
            </w:r>
          </w:p>
        </w:tc>
        <w:tc>
          <w:tcPr>
            <w:tcW w:w="1583"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1,141.39</w:t>
            </w:r>
          </w:p>
        </w:tc>
        <w:tc>
          <w:tcPr>
            <w:tcW w:w="160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127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57.12</w:t>
            </w:r>
          </w:p>
        </w:tc>
        <w:tc>
          <w:tcPr>
            <w:tcW w:w="1133"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1333"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7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21505</w:t>
            </w:r>
          </w:p>
        </w:tc>
        <w:tc>
          <w:tcPr>
            <w:tcW w:w="3583"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工业和信息产业监管</w:t>
            </w:r>
          </w:p>
        </w:tc>
        <w:tc>
          <w:tcPr>
            <w:tcW w:w="1650"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1,198.51</w:t>
            </w:r>
          </w:p>
        </w:tc>
        <w:tc>
          <w:tcPr>
            <w:tcW w:w="1583"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1,141.39</w:t>
            </w:r>
          </w:p>
        </w:tc>
        <w:tc>
          <w:tcPr>
            <w:tcW w:w="160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127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57.12</w:t>
            </w:r>
          </w:p>
        </w:tc>
        <w:tc>
          <w:tcPr>
            <w:tcW w:w="1133"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1333"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7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tcBorders>
              <w:top w:val="nil"/>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2150550</w:t>
            </w:r>
          </w:p>
        </w:tc>
        <w:tc>
          <w:tcPr>
            <w:tcW w:w="3583" w:type="dxa"/>
            <w:tcBorders>
              <w:top w:val="nil"/>
              <w:left w:val="nil"/>
              <w:bottom w:val="single" w:color="000000" w:sz="4" w:space="0"/>
              <w:right w:val="single" w:color="000000" w:sz="4" w:space="0"/>
            </w:tcBorders>
            <w:shd w:val="clear" w:color="auto" w:fill="CC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事业运行</w:t>
            </w:r>
          </w:p>
        </w:tc>
        <w:tc>
          <w:tcPr>
            <w:tcW w:w="1650"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1,028.81</w:t>
            </w:r>
          </w:p>
        </w:tc>
        <w:tc>
          <w:tcPr>
            <w:tcW w:w="1583"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1,028.81</w:t>
            </w:r>
          </w:p>
        </w:tc>
        <w:tc>
          <w:tcPr>
            <w:tcW w:w="160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7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133"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3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7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036" w:type="dxa"/>
            <w:tcBorders>
              <w:top w:val="nil"/>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2150599</w:t>
            </w:r>
          </w:p>
        </w:tc>
        <w:tc>
          <w:tcPr>
            <w:tcW w:w="3583" w:type="dxa"/>
            <w:tcBorders>
              <w:top w:val="nil"/>
              <w:left w:val="nil"/>
              <w:bottom w:val="single" w:color="000000" w:sz="4" w:space="0"/>
              <w:right w:val="single" w:color="000000" w:sz="4" w:space="0"/>
            </w:tcBorders>
            <w:shd w:val="clear" w:color="auto" w:fill="CC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其他工业和信息产业监管支出</w:t>
            </w:r>
          </w:p>
        </w:tc>
        <w:tc>
          <w:tcPr>
            <w:tcW w:w="1650"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169.70</w:t>
            </w:r>
          </w:p>
        </w:tc>
        <w:tc>
          <w:tcPr>
            <w:tcW w:w="1583"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112.57</w:t>
            </w:r>
          </w:p>
        </w:tc>
        <w:tc>
          <w:tcPr>
            <w:tcW w:w="160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7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57.12</w:t>
            </w:r>
          </w:p>
        </w:tc>
        <w:tc>
          <w:tcPr>
            <w:tcW w:w="1133"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3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7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4969" w:type="dxa"/>
            <w:gridSpan w:val="12"/>
            <w:tcBorders>
              <w:top w:val="nil"/>
              <w:left w:val="nil"/>
              <w:bottom w:val="nil"/>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注：本表反映部门本年度取得的各项收入情况。</w:t>
            </w: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49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02"/>
        <w:gridCol w:w="3334"/>
        <w:gridCol w:w="1500"/>
        <w:gridCol w:w="342"/>
        <w:gridCol w:w="824"/>
        <w:gridCol w:w="972"/>
        <w:gridCol w:w="245"/>
        <w:gridCol w:w="1551"/>
        <w:gridCol w:w="1796"/>
        <w:gridCol w:w="220"/>
        <w:gridCol w:w="26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986" w:type="dxa"/>
            <w:gridSpan w:val="11"/>
            <w:tcBorders>
              <w:top w:val="nil"/>
              <w:left w:val="nil"/>
              <w:bottom w:val="nil"/>
              <w:right w:val="single" w:color="808080" w:sz="4" w:space="0"/>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5176" w:type="dxa"/>
            <w:gridSpan w:val="3"/>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820" w:type="dxa"/>
            <w:gridSpan w:val="2"/>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公开03表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tcBorders>
              <w:top w:val="nil"/>
              <w:left w:val="nil"/>
              <w:bottom w:val="single" w:color="808080" w:sz="4" w:space="0"/>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部门：长沙市企业服务中心</w:t>
            </w:r>
          </w:p>
        </w:tc>
        <w:tc>
          <w:tcPr>
            <w:tcW w:w="5176" w:type="dxa"/>
            <w:gridSpan w:val="3"/>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gridSpan w:val="2"/>
            <w:tcBorders>
              <w:top w:val="nil"/>
              <w:left w:val="nil"/>
              <w:bottom w:val="single" w:color="808080" w:sz="4" w:space="0"/>
              <w:right w:val="nil"/>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2022年度</w:t>
            </w:r>
          </w:p>
        </w:tc>
        <w:tc>
          <w:tcPr>
            <w:tcW w:w="1796" w:type="dxa"/>
            <w:gridSpan w:val="2"/>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96"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820" w:type="dxa"/>
            <w:gridSpan w:val="2"/>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36" w:type="dxa"/>
            <w:gridSpan w:val="2"/>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50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本年支出合计</w:t>
            </w:r>
          </w:p>
        </w:tc>
        <w:tc>
          <w:tcPr>
            <w:tcW w:w="1166"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1217"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c>
          <w:tcPr>
            <w:tcW w:w="1551"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上缴上级支出</w:t>
            </w:r>
          </w:p>
        </w:tc>
        <w:tc>
          <w:tcPr>
            <w:tcW w:w="2016"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经营支出</w:t>
            </w:r>
          </w:p>
        </w:tc>
        <w:tc>
          <w:tcPr>
            <w:tcW w:w="260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对附属单位补助支出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3334" w:type="dxa"/>
            <w:vMerge w:val="restart"/>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15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66"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17"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551"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016"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6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3334" w:type="dxa"/>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5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66"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17"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551"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016"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6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3334" w:type="dxa"/>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5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66"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17"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551"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016"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6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36" w:type="dxa"/>
            <w:gridSpan w:val="2"/>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1500"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166" w:type="dxa"/>
            <w:gridSpan w:val="2"/>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217" w:type="dxa"/>
            <w:gridSpan w:val="2"/>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551"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2016" w:type="dxa"/>
            <w:gridSpan w:val="2"/>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2600"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36" w:type="dxa"/>
            <w:gridSpan w:val="2"/>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5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1,198.51</w:t>
            </w:r>
          </w:p>
        </w:tc>
        <w:tc>
          <w:tcPr>
            <w:tcW w:w="1166"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1,028.81</w:t>
            </w:r>
          </w:p>
        </w:tc>
        <w:tc>
          <w:tcPr>
            <w:tcW w:w="1217"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169.70</w:t>
            </w:r>
          </w:p>
        </w:tc>
        <w:tc>
          <w:tcPr>
            <w:tcW w:w="155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2016"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26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215</w:t>
            </w:r>
          </w:p>
        </w:tc>
        <w:tc>
          <w:tcPr>
            <w:tcW w:w="333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资源勘探工业信息等支出</w:t>
            </w:r>
          </w:p>
        </w:tc>
        <w:tc>
          <w:tcPr>
            <w:tcW w:w="150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1,198.51</w:t>
            </w:r>
          </w:p>
        </w:tc>
        <w:tc>
          <w:tcPr>
            <w:tcW w:w="1166"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1,028.81</w:t>
            </w:r>
          </w:p>
        </w:tc>
        <w:tc>
          <w:tcPr>
            <w:tcW w:w="1217"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169.70</w:t>
            </w:r>
          </w:p>
        </w:tc>
        <w:tc>
          <w:tcPr>
            <w:tcW w:w="1551"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2016"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260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21505</w:t>
            </w:r>
          </w:p>
        </w:tc>
        <w:tc>
          <w:tcPr>
            <w:tcW w:w="333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工业和信息产业监管</w:t>
            </w:r>
          </w:p>
        </w:tc>
        <w:tc>
          <w:tcPr>
            <w:tcW w:w="150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1,198.51</w:t>
            </w:r>
          </w:p>
        </w:tc>
        <w:tc>
          <w:tcPr>
            <w:tcW w:w="1166"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1,028.81</w:t>
            </w:r>
          </w:p>
        </w:tc>
        <w:tc>
          <w:tcPr>
            <w:tcW w:w="1217"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169.70</w:t>
            </w:r>
          </w:p>
        </w:tc>
        <w:tc>
          <w:tcPr>
            <w:tcW w:w="1551"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2016"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c>
          <w:tcPr>
            <w:tcW w:w="260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tcBorders>
              <w:top w:val="nil"/>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2150550</w:t>
            </w:r>
          </w:p>
        </w:tc>
        <w:tc>
          <w:tcPr>
            <w:tcW w:w="3334" w:type="dxa"/>
            <w:tcBorders>
              <w:top w:val="nil"/>
              <w:left w:val="nil"/>
              <w:bottom w:val="single" w:color="000000" w:sz="4" w:space="0"/>
              <w:right w:val="single" w:color="000000" w:sz="4" w:space="0"/>
            </w:tcBorders>
            <w:shd w:val="clear" w:color="auto" w:fill="CC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事业运行</w:t>
            </w:r>
          </w:p>
        </w:tc>
        <w:tc>
          <w:tcPr>
            <w:tcW w:w="15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1,028.81</w:t>
            </w:r>
          </w:p>
        </w:tc>
        <w:tc>
          <w:tcPr>
            <w:tcW w:w="1166"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1,028.81</w:t>
            </w:r>
          </w:p>
        </w:tc>
        <w:tc>
          <w:tcPr>
            <w:tcW w:w="1217"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55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2016"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26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602" w:type="dxa"/>
            <w:tcBorders>
              <w:top w:val="nil"/>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2150599</w:t>
            </w:r>
          </w:p>
        </w:tc>
        <w:tc>
          <w:tcPr>
            <w:tcW w:w="3334" w:type="dxa"/>
            <w:tcBorders>
              <w:top w:val="nil"/>
              <w:left w:val="nil"/>
              <w:bottom w:val="single" w:color="000000" w:sz="4" w:space="0"/>
              <w:right w:val="single" w:color="000000" w:sz="4" w:space="0"/>
            </w:tcBorders>
            <w:shd w:val="clear" w:color="auto" w:fill="CC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其他工业和信息产业监管支出</w:t>
            </w:r>
          </w:p>
        </w:tc>
        <w:tc>
          <w:tcPr>
            <w:tcW w:w="15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169.70</w:t>
            </w:r>
          </w:p>
        </w:tc>
        <w:tc>
          <w:tcPr>
            <w:tcW w:w="1166"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169.70</w:t>
            </w:r>
          </w:p>
        </w:tc>
        <w:tc>
          <w:tcPr>
            <w:tcW w:w="1551"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2016" w:type="dxa"/>
            <w:gridSpan w:val="2"/>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26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4986" w:type="dxa"/>
            <w:gridSpan w:val="11"/>
            <w:tcBorders>
              <w:top w:val="nil"/>
              <w:left w:val="nil"/>
              <w:bottom w:val="nil"/>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注：本表反映部门本年度各项支出情况。</w:t>
            </w: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41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452"/>
        <w:gridCol w:w="268"/>
        <w:gridCol w:w="268"/>
        <w:gridCol w:w="3851"/>
        <w:gridCol w:w="1958"/>
        <w:gridCol w:w="1958"/>
        <w:gridCol w:w="24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4174" w:type="dxa"/>
            <w:gridSpan w:val="7"/>
            <w:tcBorders>
              <w:top w:val="nil"/>
              <w:left w:val="nil"/>
              <w:bottom w:val="nil"/>
              <w:right w:val="single" w:color="808080" w:sz="4" w:space="0"/>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一般公共预算财政拨款支出决算表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公开05表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nil"/>
              <w:left w:val="nil"/>
              <w:bottom w:val="single" w:color="808080" w:sz="4" w:space="0"/>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部门：长沙市企业服务中心</w:t>
            </w: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nil"/>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2022年度</w:t>
            </w: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6738" w:type="dxa"/>
            <w:gridSpan w:val="3"/>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14" w:type="dxa"/>
            <w:gridSpan w:val="3"/>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0" w:type="auto"/>
            <w:vMerge w:val="restart"/>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2246"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2246"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2246"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514"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224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24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24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3514"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224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24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24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1,141.39</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1,028.81</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112.57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215</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资源勘探工业信息等支出</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1,141.39</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1,028.81</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112.57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21505</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工业和信息产业监管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1,141.39</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1,028.81</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112.57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3"/>
            <w:tcBorders>
              <w:top w:val="nil"/>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2150550</w:t>
            </w:r>
          </w:p>
        </w:tc>
        <w:tc>
          <w:tcPr>
            <w:tcW w:w="0" w:type="auto"/>
            <w:tcBorders>
              <w:top w:val="nil"/>
              <w:left w:val="nil"/>
              <w:bottom w:val="single" w:color="000000" w:sz="4" w:space="0"/>
              <w:right w:val="single" w:color="000000" w:sz="4" w:space="0"/>
            </w:tcBorders>
            <w:shd w:val="clear" w:color="auto" w:fill="CC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事业运行</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1,028.81</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1,028.81</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3"/>
            <w:tcBorders>
              <w:top w:val="nil"/>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2150599</w:t>
            </w:r>
          </w:p>
        </w:tc>
        <w:tc>
          <w:tcPr>
            <w:tcW w:w="0" w:type="auto"/>
            <w:tcBorders>
              <w:top w:val="nil"/>
              <w:left w:val="nil"/>
              <w:bottom w:val="single" w:color="000000" w:sz="4" w:space="0"/>
              <w:right w:val="single" w:color="000000" w:sz="4" w:space="0"/>
            </w:tcBorders>
            <w:shd w:val="clear" w:color="auto" w:fill="CC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其他工业和信息产业监管支出</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112.57</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0" w:type="auto"/>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112.57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gridSpan w:val="7"/>
            <w:tcBorders>
              <w:top w:val="nil"/>
              <w:left w:val="nil"/>
              <w:bottom w:val="nil"/>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注：本表反映部门本年度一般公共预算财政拨款支出情况。</w:t>
            </w: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425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387"/>
        <w:gridCol w:w="478"/>
        <w:gridCol w:w="1087"/>
        <w:gridCol w:w="3250"/>
        <w:gridCol w:w="1167"/>
        <w:gridCol w:w="1150"/>
        <w:gridCol w:w="1217"/>
        <w:gridCol w:w="1200"/>
        <w:gridCol w:w="13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4252" w:type="dxa"/>
            <w:gridSpan w:val="9"/>
            <w:tcBorders>
              <w:top w:val="nil"/>
              <w:left w:val="nil"/>
              <w:bottom w:val="nil"/>
              <w:right w:val="single" w:color="808080" w:sz="4" w:space="0"/>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财政拨款收入支出决算总表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478"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087"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3250"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167"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150"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17"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516" w:type="dxa"/>
            <w:gridSpan w:val="2"/>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公开04表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nil"/>
              <w:bottom w:val="single" w:color="808080" w:sz="4" w:space="0"/>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部门：长沙市企业服务中心</w:t>
            </w:r>
          </w:p>
        </w:tc>
        <w:tc>
          <w:tcPr>
            <w:tcW w:w="478"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087"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3250"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167" w:type="dxa"/>
            <w:tcBorders>
              <w:top w:val="nil"/>
              <w:left w:val="nil"/>
              <w:bottom w:val="single" w:color="808080" w:sz="4" w:space="0"/>
              <w:right w:val="nil"/>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2022年度</w:t>
            </w:r>
          </w:p>
        </w:tc>
        <w:tc>
          <w:tcPr>
            <w:tcW w:w="1150"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17"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516" w:type="dxa"/>
            <w:gridSpan w:val="2"/>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52" w:type="dxa"/>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收     入</w:t>
            </w:r>
          </w:p>
        </w:tc>
        <w:tc>
          <w:tcPr>
            <w:tcW w:w="9300" w:type="dxa"/>
            <w:gridSpan w:val="6"/>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支     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387" w:type="dxa"/>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478"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行次</w:t>
            </w:r>
          </w:p>
        </w:tc>
        <w:tc>
          <w:tcPr>
            <w:tcW w:w="108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w:t>
            </w:r>
          </w:p>
        </w:tc>
        <w:tc>
          <w:tcPr>
            <w:tcW w:w="3250" w:type="dxa"/>
            <w:vMerge w:val="restart"/>
            <w:tcBorders>
              <w:top w:val="nil"/>
              <w:left w:val="nil"/>
              <w:bottom w:val="single" w:color="000000" w:sz="4" w:space="0"/>
              <w:right w:val="single" w:color="000000" w:sz="4" w:space="0"/>
            </w:tcBorders>
            <w:shd w:val="clear" w:color="auto" w:fill="C0C0C0"/>
            <w:vAlign w:val="bottom"/>
          </w:tcPr>
          <w:p>
            <w:pPr>
              <w:keepNext w:val="0"/>
              <w:keepLines w:val="0"/>
              <w:widowControl/>
              <w:suppressLineNumbers w:val="0"/>
              <w:jc w:val="both"/>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116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行次</w:t>
            </w:r>
          </w:p>
        </w:tc>
        <w:tc>
          <w:tcPr>
            <w:tcW w:w="1150" w:type="dxa"/>
            <w:vMerge w:val="restart"/>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21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一般公共预算财政拨款</w:t>
            </w:r>
          </w:p>
        </w:tc>
        <w:tc>
          <w:tcPr>
            <w:tcW w:w="120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政府性基金预算财政拨款</w:t>
            </w:r>
          </w:p>
        </w:tc>
        <w:tc>
          <w:tcPr>
            <w:tcW w:w="1316"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国有资本经营预算财政拨款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387" w:type="dxa"/>
            <w:vMerge w:val="continue"/>
            <w:tcBorders>
              <w:top w:val="nil"/>
              <w:left w:val="single" w:color="000000" w:sz="4" w:space="0"/>
              <w:bottom w:val="single" w:color="000000" w:sz="4" w:space="0"/>
              <w:right w:val="single" w:color="000000" w:sz="4" w:space="0"/>
            </w:tcBorders>
            <w:shd w:val="clear" w:color="auto" w:fill="C0C0C0"/>
            <w:vAlign w:val="center"/>
          </w:tcPr>
          <w:p>
            <w:pPr>
              <w:jc w:val="both"/>
              <w:rPr>
                <w:rFonts w:hint="eastAsia" w:ascii="宋体" w:hAnsi="宋体" w:eastAsia="宋体" w:cs="宋体"/>
                <w:i w:val="0"/>
                <w:color w:val="000000"/>
                <w:sz w:val="22"/>
                <w:szCs w:val="22"/>
                <w:u w:val="none"/>
              </w:rPr>
            </w:pPr>
          </w:p>
        </w:tc>
        <w:tc>
          <w:tcPr>
            <w:tcW w:w="478"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08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3250" w:type="dxa"/>
            <w:vMerge w:val="continue"/>
            <w:tcBorders>
              <w:top w:val="nil"/>
              <w:left w:val="nil"/>
              <w:bottom w:val="single" w:color="000000" w:sz="4" w:space="0"/>
              <w:right w:val="single" w:color="000000" w:sz="4" w:space="0"/>
            </w:tcBorders>
            <w:shd w:val="clear" w:color="auto" w:fill="C0C0C0"/>
            <w:vAlign w:val="bottom"/>
          </w:tcPr>
          <w:p>
            <w:pPr>
              <w:jc w:val="both"/>
              <w:rPr>
                <w:rFonts w:hint="eastAsia" w:ascii="宋体" w:hAnsi="宋体" w:eastAsia="宋体" w:cs="宋体"/>
                <w:i w:val="0"/>
                <w:color w:val="000000"/>
                <w:sz w:val="22"/>
                <w:szCs w:val="22"/>
                <w:u w:val="none"/>
              </w:rPr>
            </w:pPr>
          </w:p>
        </w:tc>
        <w:tc>
          <w:tcPr>
            <w:tcW w:w="11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50" w:type="dxa"/>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21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1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478" w:type="dxa"/>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08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3250" w:type="dxa"/>
            <w:tcBorders>
              <w:top w:val="nil"/>
              <w:left w:val="nil"/>
              <w:bottom w:val="single" w:color="000000" w:sz="4" w:space="0"/>
              <w:right w:val="single" w:color="000000" w:sz="4" w:space="0"/>
            </w:tcBorders>
            <w:shd w:val="clear" w:color="auto" w:fill="C0C0C0"/>
            <w:noWrap/>
            <w:vAlign w:val="bottom"/>
          </w:tcPr>
          <w:p>
            <w:pPr>
              <w:keepNext w:val="0"/>
              <w:keepLines w:val="0"/>
              <w:widowControl/>
              <w:suppressLineNumbers w:val="0"/>
              <w:jc w:val="both"/>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1167" w:type="dxa"/>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1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21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20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3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一、一般公共预算财政拨款</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一、一般公共服务支出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33</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二、政府性基金预算财政拨款</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二、外交支出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三、国有资本经营预算财政拨款</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三、国防支出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35</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四、公共安全支出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36</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五、教育支出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37</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六、科学技术支出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38</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七、文化旅游体育与传媒支出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八、社会保障和就业支出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40</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九、卫生健康支出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41</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十、节能环保支出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42</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十一、城乡社区支出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43</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十二、农林水支出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44</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十三、交通运输支出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45</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14</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十四、资源勘探工业信息等支出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46</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15</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十五、商业服务业等支出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47</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十六、金融支出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48</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十七、援助其他地区支出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49</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十八、自然资源海洋气象等支出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50</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19</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十九、住房保障支出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51</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二十、粮油物资储备支出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52</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二十一、国有资本经营预算支出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53</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二十二、灾害防治及应急管理支出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54</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23</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二十三、其他支出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55</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center"/>
              <w:rPr>
                <w:rFonts w:hint="eastAsia" w:ascii="宋体" w:hAnsi="宋体" w:eastAsia="宋体" w:cs="宋体"/>
                <w:b/>
                <w:i w:val="0"/>
                <w:color w:val="000000"/>
                <w:sz w:val="20"/>
                <w:szCs w:val="20"/>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24</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二十四、债务还本支出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56</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0"/>
                <w:szCs w:val="20"/>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二十五、债务付息支出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0"/>
                <w:szCs w:val="20"/>
                <w:u w:val="none"/>
              </w:rPr>
            </w:pP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26</w:t>
            </w:r>
          </w:p>
        </w:tc>
        <w:tc>
          <w:tcPr>
            <w:tcW w:w="108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二十六、抗疫特别国债安排的支出</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58</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本年收入合计</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27</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本年支出合计</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59</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年初财政拨款结转和结余</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28</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年末财政拨款结转和结余</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一般公共预算财政拨款</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29</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3250"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61</w:t>
            </w:r>
          </w:p>
        </w:tc>
        <w:tc>
          <w:tcPr>
            <w:tcW w:w="115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1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0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316"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政府性基金预算财政拨款</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3250"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62</w:t>
            </w:r>
          </w:p>
        </w:tc>
        <w:tc>
          <w:tcPr>
            <w:tcW w:w="115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1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0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316"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国有资本经营预算财政拨款</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3250"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63</w:t>
            </w:r>
          </w:p>
        </w:tc>
        <w:tc>
          <w:tcPr>
            <w:tcW w:w="115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1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0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316"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387"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47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32</w:t>
            </w:r>
          </w:p>
        </w:tc>
        <w:tc>
          <w:tcPr>
            <w:tcW w:w="108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3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总计</w:t>
            </w:r>
          </w:p>
        </w:tc>
        <w:tc>
          <w:tcPr>
            <w:tcW w:w="11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64</w:t>
            </w:r>
          </w:p>
        </w:tc>
        <w:tc>
          <w:tcPr>
            <w:tcW w:w="11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1,141.39</w:t>
            </w:r>
          </w:p>
        </w:tc>
        <w:tc>
          <w:tcPr>
            <w:tcW w:w="12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31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936" w:type="dxa"/>
            <w:gridSpan w:val="8"/>
            <w:tcBorders>
              <w:top w:val="nil"/>
              <w:left w:val="nil"/>
              <w:bottom w:val="nil"/>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注：本表反映部门本年度一般公共预算财政拨款、政府性基金预算财政拨款和国有资本经营预算财政拨款的总收支和年末结转结余情况。</w:t>
            </w:r>
          </w:p>
        </w:tc>
        <w:tc>
          <w:tcPr>
            <w:tcW w:w="131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936" w:type="dxa"/>
            <w:gridSpan w:val="8"/>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316" w:type="dxa"/>
            <w:tcBorders>
              <w:top w:val="nil"/>
              <w:left w:val="nil"/>
              <w:bottom w:val="nil"/>
              <w:right w:val="single" w:color="808080" w:sz="4" w:space="0"/>
            </w:tcBorders>
            <w:shd w:val="clear" w:color="auto" w:fill="FFFFFF"/>
            <w:noWrap/>
            <w:vAlign w:val="center"/>
          </w:tcPr>
          <w:p>
            <w:pPr>
              <w:jc w:val="left"/>
              <w:rPr>
                <w:rFonts w:hint="eastAsia" w:ascii="宋体" w:hAnsi="宋体" w:eastAsia="宋体" w:cs="宋体"/>
                <w:i w:val="0"/>
                <w:color w:val="000000"/>
                <w:sz w:val="18"/>
                <w:szCs w:val="18"/>
                <w:u w:val="none"/>
              </w:rPr>
            </w:pP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46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54"/>
        <w:gridCol w:w="2815"/>
        <w:gridCol w:w="983"/>
        <w:gridCol w:w="1284"/>
        <w:gridCol w:w="2516"/>
        <w:gridCol w:w="967"/>
        <w:gridCol w:w="1250"/>
        <w:gridCol w:w="2618"/>
        <w:gridCol w:w="1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587" w:type="dxa"/>
            <w:gridSpan w:val="8"/>
            <w:tcBorders>
              <w:top w:val="nil"/>
              <w:left w:val="nil"/>
              <w:bottom w:val="nil"/>
              <w:right w:val="nil"/>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一般公共预算财政拨款基本支出决算明细表</w:t>
            </w:r>
          </w:p>
        </w:tc>
        <w:tc>
          <w:tcPr>
            <w:tcW w:w="1100" w:type="dxa"/>
            <w:tcBorders>
              <w:top w:val="nil"/>
              <w:left w:val="nil"/>
              <w:bottom w:val="nil"/>
              <w:right w:val="single" w:color="808080" w:sz="4" w:space="0"/>
            </w:tcBorders>
            <w:shd w:val="clear" w:color="auto" w:fill="FFFFFF"/>
            <w:noWrap/>
            <w:vAlign w:val="center"/>
          </w:tcPr>
          <w:p>
            <w:pPr>
              <w:jc w:val="lef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3" w:hRule="atLeast"/>
        </w:trPr>
        <w:tc>
          <w:tcPr>
            <w:tcW w:w="1154"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815"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983"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84"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51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967"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50"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3718" w:type="dxa"/>
            <w:gridSpan w:val="2"/>
            <w:vMerge w:val="restart"/>
            <w:tcBorders>
              <w:top w:val="nil"/>
              <w:left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公开06表</w:t>
            </w:r>
          </w:p>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9" w:type="dxa"/>
            <w:gridSpan w:val="2"/>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20"/>
                <w:szCs w:val="20"/>
                <w:u w:val="none"/>
                <w:lang w:val="en-US" w:eastAsia="zh-CN" w:bidi="ar"/>
              </w:rPr>
              <w:t>部门：长沙市企业服务中心</w:t>
            </w:r>
          </w:p>
        </w:tc>
        <w:tc>
          <w:tcPr>
            <w:tcW w:w="983"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84"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516" w:type="dxa"/>
            <w:tcBorders>
              <w:top w:val="nil"/>
              <w:left w:val="nil"/>
              <w:bottom w:val="single" w:color="808080" w:sz="4" w:space="0"/>
              <w:right w:val="nil"/>
            </w:tcBorders>
            <w:shd w:val="clear" w:color="auto" w:fill="FFFFFF"/>
            <w:noWrap/>
            <w:vAlign w:val="center"/>
          </w:tcPr>
          <w:p>
            <w:pPr>
              <w:jc w:val="center"/>
              <w:rPr>
                <w:rFonts w:hint="eastAsia" w:ascii="宋体" w:hAnsi="宋体" w:eastAsia="宋体" w:cs="宋体"/>
                <w:i w:val="0"/>
                <w:color w:val="000000"/>
                <w:sz w:val="22"/>
                <w:szCs w:val="22"/>
                <w:u w:val="none"/>
              </w:rPr>
            </w:pPr>
          </w:p>
        </w:tc>
        <w:tc>
          <w:tcPr>
            <w:tcW w:w="967"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50"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3718" w:type="dxa"/>
            <w:gridSpan w:val="2"/>
            <w:vMerge w:val="continue"/>
            <w:tcBorders>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52" w:type="dxa"/>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人员经费</w:t>
            </w:r>
          </w:p>
        </w:tc>
        <w:tc>
          <w:tcPr>
            <w:tcW w:w="9735" w:type="dxa"/>
            <w:gridSpan w:val="6"/>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公用经费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2815"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983"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c>
          <w:tcPr>
            <w:tcW w:w="1284"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2516"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96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c>
          <w:tcPr>
            <w:tcW w:w="125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2618"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110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815"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983"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84"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51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9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5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618"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工资福利支出</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612.82</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商品和服务支出</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62.14</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307</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债务利息及费用支出</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30101</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基本工资</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120.49</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30201</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办公费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3.45</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30701</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国内债务付息</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30102</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津贴补贴</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9.84</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30202</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印刷费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30702</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国外债务付息</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30103</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奖金</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217.30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30203</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咨询费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1.28</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资本性支出</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30106</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伙食补助费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30204</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手续费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31001</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房屋建筑物购建</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30107</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绩效工资</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98.07</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30205</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水费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31002</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办公设备购置</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30108</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机关事业单位基本养老保险缴费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34.30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30206</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电费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31003</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专用设备购置</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30109</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职业年金缴费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14.96</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30207</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邮电费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1.60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31005</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基础设施建设</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30110</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职工基本医疗保险缴费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17.63</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30208</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取暖费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31006</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大型修缮</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30111</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公务员医疗补助缴费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27.94</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30209</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物业管理费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31007</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信息网络及软件购置更新</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30112</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其他社会保障缴费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6.03</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30211</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差旅费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31008</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物资储备</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30113</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住房公积金</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57.10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30212</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因公出国（境）费用</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31009</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土地补偿</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30114</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医疗费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30213</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维修（护）费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1.32</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31010</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安置补助</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30199</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其他工资福利支出</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9.15</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30214</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租赁费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31011</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地上附着物和青苗补偿</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对个人和家庭的补助</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353.85</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30215</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会议费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31012</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拆迁补偿</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30301</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离休费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30216</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培训费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0.95</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31013</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公务用车购置</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30302</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退休费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326.13</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30217</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公务接待费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31019</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其他交通工具购置</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30303</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退职（役）费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30218</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专用材料费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31021</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文物和陈列品购置</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30304</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抚恤金</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30224</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被装购置费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31022</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无形资产购置</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30305</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生活补助</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30225</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专用燃料费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31099</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其他资本性支出</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30306</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救济费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30226</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劳务费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399</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其他支出</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30307</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医疗费补助</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30227</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委托业务费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39907</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国家赔偿费用支出</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30308</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助学金</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30228</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工会经费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2.62</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39908</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对民间非营利组织和群众性自治组织补贴</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30309</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奖励金</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0.01</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30229</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福利费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39909</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经常性赠与</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30310</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个人农业生产补贴</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30231</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公务用车运行维护费</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1.01</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39910</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资本性赠与</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30311</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代缴社会保险费</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30239</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其他交通费用</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11.88</w:t>
            </w:r>
          </w:p>
        </w:tc>
        <w:tc>
          <w:tcPr>
            <w:tcW w:w="125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39999</w:t>
            </w:r>
          </w:p>
        </w:tc>
        <w:tc>
          <w:tcPr>
            <w:tcW w:w="2618"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其他支出</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30399</w:t>
            </w:r>
          </w:p>
        </w:tc>
        <w:tc>
          <w:tcPr>
            <w:tcW w:w="2815"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其他对个人和家庭的补助</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27.71</w:t>
            </w: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30240</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税金及附加费用</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250"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2618"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110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154" w:type="dxa"/>
            <w:tcBorders>
              <w:top w:val="nil"/>
              <w:left w:val="single" w:color="000000" w:sz="4" w:space="0"/>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2815"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983"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84"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30299</w:t>
            </w:r>
          </w:p>
        </w:tc>
        <w:tc>
          <w:tcPr>
            <w:tcW w:w="2516"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其他商品和服务支出</w:t>
            </w:r>
          </w:p>
        </w:tc>
        <w:tc>
          <w:tcPr>
            <w:tcW w:w="96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36.73</w:t>
            </w:r>
          </w:p>
        </w:tc>
        <w:tc>
          <w:tcPr>
            <w:tcW w:w="1250"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2618" w:type="dxa"/>
            <w:tcBorders>
              <w:top w:val="nil"/>
              <w:left w:val="nil"/>
              <w:bottom w:val="single" w:color="000000" w:sz="4" w:space="0"/>
              <w:right w:val="single" w:color="000000" w:sz="4" w:space="0"/>
            </w:tcBorders>
            <w:shd w:val="clear" w:color="auto" w:fill="C0C0C0"/>
            <w:noWrap/>
            <w:vAlign w:val="center"/>
          </w:tcPr>
          <w:p>
            <w:pPr>
              <w:jc w:val="left"/>
              <w:rPr>
                <w:rFonts w:hint="eastAsia" w:ascii="宋体" w:hAnsi="宋体" w:eastAsia="宋体" w:cs="宋体"/>
                <w:i w:val="0"/>
                <w:color w:val="000000"/>
                <w:sz w:val="22"/>
                <w:szCs w:val="22"/>
                <w:u w:val="none"/>
              </w:rPr>
            </w:pPr>
          </w:p>
        </w:tc>
        <w:tc>
          <w:tcPr>
            <w:tcW w:w="110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969" w:type="dxa"/>
            <w:gridSpan w:val="2"/>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人员经费合计</w:t>
            </w:r>
          </w:p>
        </w:tc>
        <w:tc>
          <w:tcPr>
            <w:tcW w:w="9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966.67</w:t>
            </w:r>
          </w:p>
        </w:tc>
        <w:tc>
          <w:tcPr>
            <w:tcW w:w="8635" w:type="dxa"/>
            <w:gridSpan w:val="5"/>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公用经费合计</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62.14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4687" w:type="dxa"/>
            <w:gridSpan w:val="9"/>
            <w:tcBorders>
              <w:top w:val="nil"/>
              <w:left w:val="nil"/>
              <w:bottom w:val="nil"/>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注：本表反映部门本年度一般公共预算财政拨款基本支出明细情况。</w:t>
            </w: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48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302"/>
        <w:gridCol w:w="1367"/>
        <w:gridCol w:w="1450"/>
        <w:gridCol w:w="2735"/>
        <w:gridCol w:w="115"/>
        <w:gridCol w:w="1602"/>
        <w:gridCol w:w="329"/>
        <w:gridCol w:w="1052"/>
        <w:gridCol w:w="1367"/>
        <w:gridCol w:w="1200"/>
        <w:gridCol w:w="13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519" w:type="dxa"/>
            <w:gridSpan w:val="10"/>
            <w:tcBorders>
              <w:top w:val="nil"/>
              <w:left w:val="nil"/>
              <w:bottom w:val="nil"/>
              <w:right w:val="nil"/>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政府性基金预算财政拨款收入支出决算表</w:t>
            </w:r>
          </w:p>
        </w:tc>
        <w:tc>
          <w:tcPr>
            <w:tcW w:w="1367" w:type="dxa"/>
            <w:tcBorders>
              <w:top w:val="nil"/>
              <w:left w:val="nil"/>
              <w:bottom w:val="nil"/>
              <w:right w:val="single" w:color="808080" w:sz="4" w:space="0"/>
            </w:tcBorders>
            <w:shd w:val="clear" w:color="auto" w:fill="FFFFFF"/>
            <w:noWrap/>
            <w:vAlign w:val="center"/>
          </w:tcPr>
          <w:p>
            <w:pPr>
              <w:jc w:val="lef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69"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450"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2735"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17" w:type="dxa"/>
            <w:gridSpan w:val="2"/>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329"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4986" w:type="dxa"/>
            <w:gridSpan w:val="4"/>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公开07表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669" w:type="dxa"/>
            <w:gridSpan w:val="2"/>
            <w:tcBorders>
              <w:top w:val="nil"/>
              <w:left w:val="nil"/>
              <w:bottom w:val="single" w:color="808080" w:sz="4" w:space="0"/>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部门：长沙市企业服务中心</w:t>
            </w:r>
          </w:p>
        </w:tc>
        <w:tc>
          <w:tcPr>
            <w:tcW w:w="1450" w:type="dxa"/>
            <w:tcBorders>
              <w:top w:val="nil"/>
              <w:left w:val="nil"/>
              <w:bottom w:val="single" w:color="808080" w:sz="4" w:space="0"/>
              <w:right w:val="nil"/>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2022年度</w:t>
            </w:r>
          </w:p>
        </w:tc>
        <w:tc>
          <w:tcPr>
            <w:tcW w:w="2735"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717" w:type="dxa"/>
            <w:gridSpan w:val="2"/>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329"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4986" w:type="dxa"/>
            <w:gridSpan w:val="4"/>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19" w:type="dxa"/>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2850"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年初结转和结余</w:t>
            </w:r>
          </w:p>
        </w:tc>
        <w:tc>
          <w:tcPr>
            <w:tcW w:w="1602"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本年收入</w:t>
            </w:r>
          </w:p>
        </w:tc>
        <w:tc>
          <w:tcPr>
            <w:tcW w:w="3948" w:type="dxa"/>
            <w:gridSpan w:val="4"/>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w:t>
            </w:r>
          </w:p>
        </w:tc>
        <w:tc>
          <w:tcPr>
            <w:tcW w:w="136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年末结转和结余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02" w:type="dxa"/>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2817" w:type="dxa"/>
            <w:gridSpan w:val="2"/>
            <w:vMerge w:val="restart"/>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2850"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02"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81" w:type="dxa"/>
            <w:gridSpan w:val="2"/>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136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120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c>
          <w:tcPr>
            <w:tcW w:w="13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02"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817" w:type="dxa"/>
            <w:gridSpan w:val="2"/>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2850"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02"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81"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02"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2817" w:type="dxa"/>
            <w:gridSpan w:val="2"/>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2850"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02"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81" w:type="dxa"/>
            <w:gridSpan w:val="2"/>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2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6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19" w:type="dxa"/>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2850"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602"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1381" w:type="dxa"/>
            <w:gridSpan w:val="2"/>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3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200"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1367" w:type="dxa"/>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119" w:type="dxa"/>
            <w:gridSpan w:val="3"/>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2850" w:type="dxa"/>
            <w:gridSpan w:val="2"/>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c>
          <w:tcPr>
            <w:tcW w:w="1602"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c>
          <w:tcPr>
            <w:tcW w:w="1381" w:type="dxa"/>
            <w:gridSpan w:val="2"/>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c>
          <w:tcPr>
            <w:tcW w:w="136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c>
          <w:tcPr>
            <w:tcW w:w="120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c>
          <w:tcPr>
            <w:tcW w:w="136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2302" w:type="dxa"/>
            <w:tcBorders>
              <w:top w:val="nil"/>
              <w:left w:val="single" w:color="000000" w:sz="4" w:space="0"/>
              <w:bottom w:val="single" w:color="000000" w:sz="4" w:space="0"/>
              <w:right w:val="single" w:color="000000" w:sz="4" w:space="0"/>
            </w:tcBorders>
            <w:shd w:val="clear" w:color="auto" w:fill="FFFFFF"/>
            <w:noWrap/>
            <w:vAlign w:val="center"/>
          </w:tcPr>
          <w:p>
            <w:pPr>
              <w:jc w:val="left"/>
              <w:rPr>
                <w:rFonts w:hint="eastAsia" w:ascii="宋体" w:hAnsi="宋体" w:eastAsia="宋体" w:cs="宋体"/>
                <w:i w:val="0"/>
                <w:color w:val="000000"/>
                <w:sz w:val="22"/>
                <w:szCs w:val="22"/>
                <w:u w:val="none"/>
              </w:rPr>
            </w:pPr>
          </w:p>
        </w:tc>
        <w:tc>
          <w:tcPr>
            <w:tcW w:w="2817" w:type="dxa"/>
            <w:gridSpan w:val="2"/>
            <w:tcBorders>
              <w:top w:val="nil"/>
              <w:left w:val="nil"/>
              <w:bottom w:val="single" w:color="000000" w:sz="4" w:space="0"/>
              <w:right w:val="single" w:color="000000" w:sz="4" w:space="0"/>
            </w:tcBorders>
            <w:shd w:val="clear" w:color="auto" w:fill="CCFFFF"/>
            <w:noWrap/>
            <w:vAlign w:val="center"/>
          </w:tcPr>
          <w:p>
            <w:pPr>
              <w:jc w:val="left"/>
              <w:rPr>
                <w:rFonts w:hint="eastAsia" w:ascii="宋体" w:hAnsi="宋体" w:eastAsia="宋体" w:cs="宋体"/>
                <w:i w:val="0"/>
                <w:color w:val="000000"/>
                <w:sz w:val="22"/>
                <w:szCs w:val="22"/>
                <w:u w:val="none"/>
              </w:rPr>
            </w:pPr>
          </w:p>
        </w:tc>
        <w:tc>
          <w:tcPr>
            <w:tcW w:w="2850" w:type="dxa"/>
            <w:gridSpan w:val="2"/>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602"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381" w:type="dxa"/>
            <w:gridSpan w:val="2"/>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36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200"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1367" w:type="dxa"/>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4886" w:type="dxa"/>
            <w:gridSpan w:val="11"/>
            <w:tcBorders>
              <w:top w:val="nil"/>
              <w:left w:val="nil"/>
              <w:bottom w:val="nil"/>
              <w:right w:val="nil"/>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注：本表反映部门本年度政府性基金预算财政拨款收入、支出及结转和结余情况。 </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说明：我单位没有政府性基金收入，也没有使用政府性基金安排的支出，故本表无数据。（当表格数据为空时，应有此说明）</w:t>
            </w: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25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06"/>
        <w:gridCol w:w="335"/>
        <w:gridCol w:w="335"/>
        <w:gridCol w:w="1735"/>
        <w:gridCol w:w="1594"/>
        <w:gridCol w:w="1594"/>
        <w:gridCol w:w="26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546" w:type="dxa"/>
            <w:gridSpan w:val="7"/>
            <w:tcBorders>
              <w:top w:val="nil"/>
              <w:left w:val="nil"/>
              <w:bottom w:val="nil"/>
              <w:right w:val="single" w:color="808080" w:sz="4" w:space="0"/>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国有资本经营预算财政拨款支出决算表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公开08表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tcBorders>
              <w:top w:val="nil"/>
              <w:left w:val="nil"/>
              <w:bottom w:val="single" w:color="808080" w:sz="4" w:space="0"/>
              <w:right w:val="nil"/>
            </w:tcBorders>
            <w:shd w:val="clear" w:color="auto" w:fill="FFFFFF"/>
            <w:noWrap/>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部门：长沙市企业服务中心</w:t>
            </w: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nil"/>
            </w:tcBorders>
            <w:shd w:val="clear" w:color="auto" w:fill="FFFFFF"/>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2022年度</w:t>
            </w: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0" w:type="auto"/>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w:t>
            </w:r>
          </w:p>
        </w:tc>
        <w:tc>
          <w:tcPr>
            <w:tcW w:w="5110" w:type="dxa"/>
            <w:gridSpan w:val="3"/>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本年支出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14" w:type="dxa"/>
            <w:gridSpan w:val="3"/>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科目代码</w:t>
            </w:r>
          </w:p>
        </w:tc>
        <w:tc>
          <w:tcPr>
            <w:tcW w:w="0" w:type="auto"/>
            <w:vMerge w:val="restart"/>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科目名称</w:t>
            </w:r>
          </w:p>
        </w:tc>
        <w:tc>
          <w:tcPr>
            <w:tcW w:w="167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67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基本支出</w:t>
            </w:r>
          </w:p>
        </w:tc>
        <w:tc>
          <w:tcPr>
            <w:tcW w:w="1756"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项目支出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14"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67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7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75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514" w:type="dxa"/>
            <w:gridSpan w:val="3"/>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0" w:type="auto"/>
            <w:vMerge w:val="continue"/>
            <w:tcBorders>
              <w:top w:val="nil"/>
              <w:left w:val="nil"/>
              <w:bottom w:val="single" w:color="000000" w:sz="4" w:space="0"/>
              <w:right w:val="single" w:color="000000" w:sz="4" w:space="0"/>
            </w:tcBorders>
            <w:shd w:val="clear" w:color="auto" w:fill="C0C0C0"/>
            <w:noWrap/>
            <w:vAlign w:val="center"/>
          </w:tcPr>
          <w:p>
            <w:pPr>
              <w:jc w:val="center"/>
              <w:rPr>
                <w:rFonts w:hint="eastAsia" w:ascii="宋体" w:hAnsi="宋体" w:eastAsia="宋体" w:cs="宋体"/>
                <w:i w:val="0"/>
                <w:color w:val="000000"/>
                <w:sz w:val="22"/>
                <w:szCs w:val="22"/>
                <w:u w:val="none"/>
              </w:rPr>
            </w:pPr>
          </w:p>
        </w:tc>
        <w:tc>
          <w:tcPr>
            <w:tcW w:w="167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67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756"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栏次</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0" w:type="auto"/>
            <w:tcBorders>
              <w:top w:val="nil"/>
              <w:left w:val="nil"/>
              <w:bottom w:val="single" w:color="000000" w:sz="4" w:space="0"/>
              <w:right w:val="single" w:color="000000" w:sz="4" w:space="0"/>
            </w:tcBorders>
            <w:shd w:val="clear" w:color="auto" w:fill="C0C0C0"/>
            <w:noWrap/>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4"/>
            <w:tcBorders>
              <w:top w:val="nil"/>
              <w:left w:val="single" w:color="000000" w:sz="4" w:space="0"/>
              <w:bottom w:val="single" w:color="000000" w:sz="4" w:space="0"/>
              <w:right w:val="single" w:color="000000" w:sz="4" w:space="0"/>
            </w:tcBorders>
            <w:shd w:val="clear" w:color="auto" w:fill="C0C0C0"/>
            <w:noWrap/>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0" w:type="auto"/>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c>
          <w:tcPr>
            <w:tcW w:w="0" w:type="auto"/>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c>
          <w:tcPr>
            <w:tcW w:w="0" w:type="auto"/>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b/>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3"/>
            <w:tcBorders>
              <w:top w:val="nil"/>
              <w:left w:val="single" w:color="000000" w:sz="4" w:space="0"/>
              <w:bottom w:val="single" w:color="000000" w:sz="4" w:space="0"/>
              <w:right w:val="single" w:color="000000" w:sz="4" w:space="0"/>
            </w:tcBorders>
            <w:shd w:val="clear" w:color="auto" w:fill="FFFFFF"/>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CCFFFF"/>
            <w:noWrap/>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c>
          <w:tcPr>
            <w:tcW w:w="0" w:type="auto"/>
            <w:tcBorders>
              <w:top w:val="nil"/>
              <w:left w:val="nil"/>
              <w:bottom w:val="single" w:color="000000" w:sz="4" w:space="0"/>
              <w:right w:val="single" w:color="000000" w:sz="4" w:space="0"/>
            </w:tcBorders>
            <w:shd w:val="clear" w:color="auto" w:fill="FFFFFF"/>
            <w:noWrap/>
            <w:vAlign w:val="center"/>
          </w:tcPr>
          <w:p>
            <w:pPr>
              <w:jc w:val="right"/>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546" w:type="dxa"/>
            <w:gridSpan w:val="7"/>
            <w:tcBorders>
              <w:top w:val="nil"/>
              <w:left w:val="nil"/>
              <w:bottom w:val="nil"/>
              <w:right w:val="nil"/>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注：本表反映部门本年度国有资本经营预算财政拨款支出情况。 </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 xml:space="preserve">说明：我单位没有国有资本经营预算收入，也没有使用国有资本经营预算安排的支出，故本表无数据。（当表格数据为空时 </w:t>
            </w:r>
            <w:r>
              <w:rPr>
                <w:rFonts w:hint="eastAsia" w:ascii="宋体" w:hAnsi="宋体" w:eastAsia="宋体" w:cs="宋体"/>
                <w:i w:val="0"/>
                <w:color w:val="000000"/>
                <w:kern w:val="0"/>
                <w:sz w:val="20"/>
                <w:szCs w:val="20"/>
                <w:u w:val="none"/>
                <w:lang w:val="en-US" w:eastAsia="zh-CN" w:bidi="ar"/>
              </w:rPr>
              <w:br w:type="textWrapping"/>
            </w:r>
            <w:r>
              <w:rPr>
                <w:rFonts w:hint="eastAsia" w:ascii="宋体" w:hAnsi="宋体" w:eastAsia="宋体" w:cs="宋体"/>
                <w:i w:val="0"/>
                <w:color w:val="000000"/>
                <w:kern w:val="0"/>
                <w:sz w:val="20"/>
                <w:szCs w:val="20"/>
                <w:u w:val="none"/>
                <w:lang w:val="en-US" w:eastAsia="zh-CN" w:bidi="ar"/>
              </w:rPr>
              <w:t>，应有此说明）</w:t>
            </w: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tbl>
      <w:tblPr>
        <w:tblStyle w:val="5"/>
        <w:tblW w:w="12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2"/>
        <w:gridCol w:w="1100"/>
        <w:gridCol w:w="634"/>
        <w:gridCol w:w="1266"/>
        <w:gridCol w:w="1534"/>
        <w:gridCol w:w="750"/>
        <w:gridCol w:w="833"/>
        <w:gridCol w:w="1383"/>
        <w:gridCol w:w="1017"/>
        <w:gridCol w:w="1117"/>
        <w:gridCol w:w="1083"/>
        <w:gridCol w:w="12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217" w:type="dxa"/>
          <w:trHeight w:val="555" w:hRule="atLeast"/>
        </w:trPr>
        <w:tc>
          <w:tcPr>
            <w:tcW w:w="11419" w:type="dxa"/>
            <w:gridSpan w:val="11"/>
            <w:tcBorders>
              <w:top w:val="nil"/>
              <w:left w:val="nil"/>
              <w:bottom w:val="nil"/>
              <w:right w:val="nil"/>
            </w:tcBorders>
            <w:shd w:val="clear" w:color="auto" w:fill="FFFFFF"/>
            <w:noWrap/>
            <w:vAlign w:val="center"/>
          </w:tcPr>
          <w:p>
            <w:pPr>
              <w:jc w:val="center"/>
              <w:rPr>
                <w:rFonts w:hint="eastAsia" w:ascii="宋体" w:hAnsi="宋体" w:eastAsia="宋体" w:cs="宋体"/>
                <w:i w:val="0"/>
                <w:color w:val="000000"/>
                <w:sz w:val="18"/>
                <w:szCs w:val="18"/>
                <w:u w:val="none"/>
              </w:rPr>
            </w:pPr>
            <w:r>
              <w:rPr>
                <w:rFonts w:hint="eastAsia" w:ascii="黑体" w:hAnsi="宋体" w:eastAsia="黑体" w:cs="黑体"/>
                <w:i w:val="0"/>
                <w:color w:val="000000"/>
                <w:kern w:val="0"/>
                <w:sz w:val="30"/>
                <w:szCs w:val="30"/>
                <w:u w:val="none"/>
                <w:lang w:val="en-US" w:eastAsia="zh-CN" w:bidi="ar"/>
              </w:rPr>
              <w:t>财政拨款“三公”经费支出决算表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4"/>
          <w:wAfter w:w="4434" w:type="dxa"/>
          <w:trHeight w:val="300" w:hRule="atLeast"/>
        </w:trPr>
        <w:tc>
          <w:tcPr>
            <w:tcW w:w="702"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22"/>
                <w:szCs w:val="22"/>
                <w:u w:val="none"/>
              </w:rPr>
            </w:pPr>
          </w:p>
        </w:tc>
        <w:tc>
          <w:tcPr>
            <w:tcW w:w="1100"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634"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6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534"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750"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833"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383"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02" w:type="dxa"/>
            <w:gridSpan w:val="2"/>
            <w:vMerge w:val="restart"/>
            <w:tcBorders>
              <w:top w:val="nil"/>
              <w:left w:val="nil"/>
              <w:right w:val="nil"/>
            </w:tcBorders>
            <w:shd w:val="clear" w:color="auto" w:fill="FFFFFF"/>
            <w:noWrap/>
            <w:vAlign w:val="center"/>
          </w:tcPr>
          <w:p>
            <w:pPr>
              <w:jc w:val="left"/>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预算代码：501009</w:t>
            </w:r>
          </w:p>
          <w:p>
            <w:pPr>
              <w:jc w:val="left"/>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22"/>
                <w:szCs w:val="22"/>
                <w:u w:val="none"/>
                <w:lang w:val="en-US" w:eastAsia="zh-CN" w:bidi="ar"/>
              </w:rPr>
              <w:t>部门：长沙市企业服务中心</w:t>
            </w:r>
          </w:p>
        </w:tc>
        <w:tc>
          <w:tcPr>
            <w:tcW w:w="634"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66"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534"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750"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833" w:type="dxa"/>
            <w:tcBorders>
              <w:top w:val="nil"/>
              <w:left w:val="nil"/>
              <w:bottom w:val="nil"/>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5817" w:type="dxa"/>
            <w:gridSpan w:val="5"/>
            <w:tcBorders>
              <w:top w:val="nil"/>
              <w:left w:val="nil"/>
              <w:bottom w:val="nil"/>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公开09表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802" w:type="dxa"/>
            <w:gridSpan w:val="2"/>
            <w:vMerge w:val="continue"/>
            <w:tcBorders>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634"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266"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1534"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750"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833" w:type="dxa"/>
            <w:tcBorders>
              <w:top w:val="nil"/>
              <w:left w:val="nil"/>
              <w:bottom w:val="single" w:color="808080" w:sz="4" w:space="0"/>
              <w:right w:val="nil"/>
            </w:tcBorders>
            <w:shd w:val="clear" w:color="auto" w:fill="FFFFFF"/>
            <w:noWrap/>
            <w:vAlign w:val="center"/>
          </w:tcPr>
          <w:p>
            <w:pPr>
              <w:jc w:val="left"/>
              <w:rPr>
                <w:rFonts w:hint="eastAsia" w:ascii="宋体" w:hAnsi="宋体" w:eastAsia="宋体" w:cs="宋体"/>
                <w:i w:val="0"/>
                <w:color w:val="000000"/>
                <w:sz w:val="18"/>
                <w:szCs w:val="18"/>
                <w:u w:val="none"/>
              </w:rPr>
            </w:pPr>
          </w:p>
        </w:tc>
        <w:tc>
          <w:tcPr>
            <w:tcW w:w="5817" w:type="dxa"/>
            <w:gridSpan w:val="5"/>
            <w:tcBorders>
              <w:top w:val="nil"/>
              <w:left w:val="nil"/>
              <w:bottom w:val="single" w:color="808080" w:sz="4" w:space="0"/>
              <w:right w:val="single" w:color="80808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986" w:type="dxa"/>
            <w:gridSpan w:val="6"/>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预算数</w:t>
            </w:r>
          </w:p>
        </w:tc>
        <w:tc>
          <w:tcPr>
            <w:tcW w:w="6650" w:type="dxa"/>
            <w:gridSpan w:val="6"/>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决算数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2" w:type="dxa"/>
            <w:vMerge w:val="restart"/>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10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因公出国（境）费</w:t>
            </w:r>
          </w:p>
        </w:tc>
        <w:tc>
          <w:tcPr>
            <w:tcW w:w="3434" w:type="dxa"/>
            <w:gridSpan w:val="3"/>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公务用车购置及运行维护费</w:t>
            </w:r>
          </w:p>
        </w:tc>
        <w:tc>
          <w:tcPr>
            <w:tcW w:w="750"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公务接待费</w:t>
            </w:r>
          </w:p>
        </w:tc>
        <w:tc>
          <w:tcPr>
            <w:tcW w:w="833"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1383"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因公出国（境）费</w:t>
            </w:r>
          </w:p>
        </w:tc>
        <w:tc>
          <w:tcPr>
            <w:tcW w:w="3217" w:type="dxa"/>
            <w:gridSpan w:val="3"/>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公务用车购置及运行维护费</w:t>
            </w:r>
          </w:p>
        </w:tc>
        <w:tc>
          <w:tcPr>
            <w:tcW w:w="1217" w:type="dxa"/>
            <w:vMerge w:val="restart"/>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公务接待费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02" w:type="dxa"/>
            <w:vMerge w:val="continue"/>
            <w:tcBorders>
              <w:top w:val="nil"/>
              <w:left w:val="single" w:color="000000" w:sz="4" w:space="0"/>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10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634"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1266"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公务用车购置费</w:t>
            </w:r>
          </w:p>
        </w:tc>
        <w:tc>
          <w:tcPr>
            <w:tcW w:w="1534"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公务用车运行维护费</w:t>
            </w:r>
          </w:p>
        </w:tc>
        <w:tc>
          <w:tcPr>
            <w:tcW w:w="750"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833"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383"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c>
          <w:tcPr>
            <w:tcW w:w="101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小计</w:t>
            </w:r>
          </w:p>
        </w:tc>
        <w:tc>
          <w:tcPr>
            <w:tcW w:w="111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公务用车购置费</w:t>
            </w:r>
          </w:p>
        </w:tc>
        <w:tc>
          <w:tcPr>
            <w:tcW w:w="1083"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公务用车运行维护费</w:t>
            </w:r>
          </w:p>
        </w:tc>
        <w:tc>
          <w:tcPr>
            <w:tcW w:w="1217" w:type="dxa"/>
            <w:vMerge w:val="continue"/>
            <w:tcBorders>
              <w:top w:val="nil"/>
              <w:left w:val="nil"/>
              <w:bottom w:val="single" w:color="000000" w:sz="4" w:space="0"/>
              <w:right w:val="single" w:color="000000" w:sz="4" w:space="0"/>
            </w:tcBorders>
            <w:shd w:val="clear" w:color="auto" w:fill="C0C0C0"/>
            <w:vAlign w:val="center"/>
          </w:tcPr>
          <w:p>
            <w:pPr>
              <w:jc w:val="cente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2" w:type="dxa"/>
            <w:tcBorders>
              <w:top w:val="nil"/>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1100"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634"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1266"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1534"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750"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833"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1383"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8</w:t>
            </w:r>
          </w:p>
        </w:tc>
        <w:tc>
          <w:tcPr>
            <w:tcW w:w="101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9</w:t>
            </w:r>
          </w:p>
        </w:tc>
        <w:tc>
          <w:tcPr>
            <w:tcW w:w="111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w:t>
            </w:r>
          </w:p>
        </w:tc>
        <w:tc>
          <w:tcPr>
            <w:tcW w:w="1083"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11</w:t>
            </w:r>
          </w:p>
        </w:tc>
        <w:tc>
          <w:tcPr>
            <w:tcW w:w="1217" w:type="dxa"/>
            <w:tcBorders>
              <w:top w:val="nil"/>
              <w:left w:val="nil"/>
              <w:bottom w:val="single" w:color="000000" w:sz="4" w:space="0"/>
              <w:right w:val="single" w:color="000000" w:sz="4" w:space="0"/>
            </w:tcBorders>
            <w:shd w:val="clear" w:color="auto" w:fill="C0C0C0"/>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2" w:type="dxa"/>
            <w:tcBorders>
              <w:top w:val="nil"/>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2.50</w:t>
            </w:r>
          </w:p>
        </w:tc>
        <w:tc>
          <w:tcPr>
            <w:tcW w:w="110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634"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2.50</w:t>
            </w:r>
          </w:p>
        </w:tc>
        <w:tc>
          <w:tcPr>
            <w:tcW w:w="1266"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534"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2.50</w:t>
            </w:r>
          </w:p>
        </w:tc>
        <w:tc>
          <w:tcPr>
            <w:tcW w:w="750"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83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1.01</w:t>
            </w:r>
          </w:p>
        </w:tc>
        <w:tc>
          <w:tcPr>
            <w:tcW w:w="13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0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1.01</w:t>
            </w:r>
          </w:p>
        </w:tc>
        <w:tc>
          <w:tcPr>
            <w:tcW w:w="11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c>
          <w:tcPr>
            <w:tcW w:w="1083"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1.01</w:t>
            </w:r>
          </w:p>
        </w:tc>
        <w:tc>
          <w:tcPr>
            <w:tcW w:w="1217" w:type="dxa"/>
            <w:tcBorders>
              <w:top w:val="nil"/>
              <w:left w:val="nil"/>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2636" w:type="dxa"/>
            <w:gridSpan w:val="12"/>
            <w:tcBorders>
              <w:top w:val="nil"/>
              <w:left w:val="nil"/>
              <w:bottom w:val="nil"/>
              <w:right w:val="nil"/>
            </w:tcBorders>
            <w:shd w:val="clear" w:color="auto" w:fill="FFFFFF"/>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pPr>
        <w:pStyle w:val="4"/>
        <w:shd w:val="clear" w:color="auto" w:fill="FFFFFF"/>
        <w:sectPr>
          <w:pgSz w:w="16840" w:h="11907" w:orient="landscape"/>
          <w:pgMar w:top="1800" w:right="1440" w:bottom="1800" w:left="1440" w:header="851" w:footer="992" w:gutter="0"/>
          <w:cols w:space="425" w:num="1"/>
          <w:docGrid w:type="lines" w:linePitch="312" w:charSpace="0"/>
        </w:sectPr>
      </w:pPr>
    </w:p>
    <w:p>
      <w:pPr>
        <w:pStyle w:val="4"/>
        <w:shd w:val="clear" w:color="auto" w:fill="FFFFFF"/>
        <w:ind w:firstLine="720" w:firstLineChars="100"/>
        <w:jc w:val="center"/>
        <w:rPr>
          <w:sz w:val="72"/>
          <w:szCs w:val="72"/>
        </w:rPr>
      </w:pPr>
    </w:p>
    <w:p>
      <w:pPr>
        <w:pStyle w:val="4"/>
        <w:shd w:val="clear" w:color="auto" w:fill="FFFFFF"/>
        <w:jc w:val="both"/>
        <w:rPr>
          <w:sz w:val="72"/>
          <w:szCs w:val="72"/>
        </w:rPr>
      </w:pPr>
    </w:p>
    <w:p>
      <w:pPr>
        <w:pStyle w:val="4"/>
        <w:shd w:val="clear" w:color="auto" w:fill="FFFFFF"/>
        <w:ind w:firstLine="720" w:firstLineChars="100"/>
        <w:jc w:val="center"/>
        <w:rPr>
          <w:sz w:val="72"/>
          <w:szCs w:val="72"/>
        </w:rPr>
      </w:pPr>
    </w:p>
    <w:p>
      <w:pPr>
        <w:pStyle w:val="4"/>
        <w:shd w:val="clear" w:color="auto" w:fill="FFFFFF"/>
        <w:ind w:firstLine="720" w:firstLineChars="100"/>
        <w:jc w:val="center"/>
      </w:pPr>
      <w:r>
        <w:rPr>
          <w:sz w:val="72"/>
          <w:szCs w:val="72"/>
        </w:rPr>
        <w:t>第三部分</w:t>
      </w:r>
    </w:p>
    <w:p>
      <w:pPr>
        <w:pStyle w:val="4"/>
        <w:shd w:val="clear" w:color="auto" w:fill="FFFFFF"/>
        <w:jc w:val="center"/>
      </w:pPr>
      <w:r>
        <w:t> </w:t>
      </w:r>
    </w:p>
    <w:p>
      <w:pPr>
        <w:pStyle w:val="4"/>
        <w:shd w:val="clear" w:color="auto" w:fill="FFFFFF"/>
        <w:jc w:val="center"/>
      </w:pPr>
      <w:r>
        <w:rPr>
          <w:sz w:val="72"/>
          <w:szCs w:val="72"/>
        </w:rPr>
        <w:t>2022年度部门决算情况说明</w:t>
      </w:r>
    </w:p>
    <w:p>
      <w:pPr>
        <w:pStyle w:val="4"/>
        <w:shd w:val="clear" w:color="auto" w:fill="FFFFFF"/>
      </w:pPr>
      <w:r>
        <w:t> </w:t>
      </w:r>
    </w:p>
    <w:p>
      <w:pPr>
        <w:pStyle w:val="4"/>
        <w:shd w:val="clear" w:color="auto" w:fill="FFFFFF"/>
      </w:pPr>
    </w:p>
    <w:p>
      <w:pPr>
        <w:pStyle w:val="4"/>
        <w:shd w:val="clear" w:color="auto" w:fill="FFFFFF"/>
        <w:rPr>
          <w:rFonts w:hint="eastAsia"/>
          <w:lang w:val="en-US" w:eastAsia="zh-CN"/>
        </w:rPr>
      </w:pPr>
    </w:p>
    <w:p>
      <w:pPr>
        <w:pStyle w:val="4"/>
        <w:shd w:val="clear" w:color="auto" w:fill="FFFFFF"/>
        <w:rPr>
          <w:rFonts w:hint="eastAsia"/>
          <w:lang w:val="en-US" w:eastAsia="zh-CN"/>
        </w:rPr>
      </w:pPr>
    </w:p>
    <w:p>
      <w:pPr>
        <w:pStyle w:val="4"/>
        <w:shd w:val="clear" w:color="auto" w:fill="FFFFFF"/>
        <w:rPr>
          <w:rFonts w:hint="eastAsia"/>
          <w:lang w:val="en-US" w:eastAsia="zh-CN"/>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一、收入支出决算总体情况说明</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rPr>
        <w:t>2022年度收、支总计1,198.51万元。与上年相比，增加61.30万元，增长5.39%，</w:t>
      </w:r>
      <w:r>
        <w:rPr>
          <w:rFonts w:hint="eastAsia" w:ascii="仿宋_GB2312" w:hAnsi="仿宋_GB2312" w:eastAsia="仿宋_GB2312" w:cs="仿宋_GB2312"/>
          <w:color w:val="000000"/>
          <w:kern w:val="0"/>
          <w:sz w:val="32"/>
          <w:szCs w:val="32"/>
        </w:rPr>
        <w:t>主要原因是：(一）本单位涉改、人员增加。2020年新招聘人员，在2021年1月全部入职，</w:t>
      </w:r>
      <w:r>
        <w:rPr>
          <w:rFonts w:hint="eastAsia" w:ascii="仿宋_GB2312" w:hAnsi="仿宋_GB2312" w:eastAsia="仿宋_GB2312" w:cs="仿宋_GB2312"/>
          <w:color w:val="000000"/>
          <w:kern w:val="0"/>
          <w:sz w:val="32"/>
          <w:szCs w:val="32"/>
          <w:lang w:eastAsia="zh-CN"/>
        </w:rPr>
        <w:t>此部分人员产生的人员经费和公用经费属于额外追加，在</w:t>
      </w:r>
      <w:r>
        <w:rPr>
          <w:rFonts w:hint="eastAsia" w:ascii="仿宋_GB2312" w:hAnsi="仿宋_GB2312" w:eastAsia="仿宋_GB2312" w:cs="仿宋_GB2312"/>
          <w:color w:val="000000"/>
          <w:kern w:val="0"/>
          <w:sz w:val="32"/>
          <w:szCs w:val="32"/>
          <w:lang w:val="en-US" w:eastAsia="zh-CN"/>
        </w:rPr>
        <w:t>2021年预算中并未体现</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因</w:t>
      </w:r>
      <w:r>
        <w:rPr>
          <w:rFonts w:hint="eastAsia" w:ascii="仿宋_GB2312" w:hAnsi="仿宋_GB2312" w:eastAsia="仿宋_GB2312" w:cs="仿宋_GB2312"/>
          <w:color w:val="000000"/>
          <w:kern w:val="0"/>
          <w:sz w:val="32"/>
          <w:szCs w:val="32"/>
        </w:rPr>
        <w:t>此</w:t>
      </w:r>
      <w:r>
        <w:rPr>
          <w:rFonts w:hint="eastAsia" w:ascii="仿宋_GB2312" w:hAnsi="仿宋_GB2312" w:eastAsia="仿宋_GB2312" w:cs="仿宋_GB2312"/>
          <w:color w:val="000000"/>
          <w:kern w:val="0"/>
          <w:sz w:val="32"/>
          <w:szCs w:val="32"/>
          <w:lang w:val="en-US" w:eastAsia="zh-CN"/>
        </w:rPr>
        <w:t>2022年</w:t>
      </w:r>
      <w:r>
        <w:rPr>
          <w:rFonts w:hint="eastAsia" w:ascii="仿宋_GB2312" w:hAnsi="仿宋_GB2312" w:eastAsia="仿宋_GB2312" w:cs="仿宋_GB2312"/>
          <w:color w:val="000000"/>
          <w:kern w:val="0"/>
          <w:sz w:val="32"/>
          <w:szCs w:val="32"/>
        </w:rPr>
        <w:t>相对应的增加了人员经费和公用经费；（二）项目支出预算中的长沙市企业服务中心工作经费由2021年度10万元，增加为100万元，上升900%。原因是单位人员配备完成，所有工作走上正轨，为完成相关职能职责增加了工作经费。</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二、收入决算情况说明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度收入合计1,198.51万元，其中：财政拨款收入1,141.39万元，占95.23%；上级补助收入0.00万元，占0.00%；事业收入57.12万元，占4.77%；经营收入0.00万元，占0.00%；附属单位上缴收入0.00万元，占0.00%；其他收入0.00万元，占0.00%。</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三、支出决算情况说明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2022年度支出合计1,198.51万元，其中：基本支出1,028.81万元，占85.84%；项目支出169.70万元，占14.16%；上缴上级支出0.00万元，占0.00%；经营支出0.00万元，占0.00%；对附属单位补助支出0.00万元，占0.00%。</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四、财政拨款收入支出决算总体情况说明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2022年度财政拨款收、支总计1,141.39万元，与上年相比，增加7.06万元,增长0.62%，</w:t>
      </w:r>
      <w:r>
        <w:rPr>
          <w:rFonts w:hint="eastAsia" w:ascii="仿宋_GB2312" w:hAnsi="仿宋_GB2312" w:eastAsia="仿宋_GB2312" w:cs="仿宋_GB2312"/>
          <w:color w:val="000000"/>
          <w:kern w:val="0"/>
          <w:sz w:val="32"/>
          <w:szCs w:val="32"/>
        </w:rPr>
        <w:t>主要原因是：(一）本单位涉改、人员增加。2020年新招聘人员，在2021年1月全部入职，</w:t>
      </w:r>
      <w:r>
        <w:rPr>
          <w:rFonts w:hint="eastAsia" w:ascii="仿宋_GB2312" w:hAnsi="仿宋_GB2312" w:eastAsia="仿宋_GB2312" w:cs="仿宋_GB2312"/>
          <w:color w:val="000000"/>
          <w:kern w:val="0"/>
          <w:sz w:val="32"/>
          <w:szCs w:val="32"/>
          <w:lang w:eastAsia="zh-CN"/>
        </w:rPr>
        <w:t>此部分人员产生的人员经费和公用经费属于额外追加，在</w:t>
      </w:r>
      <w:r>
        <w:rPr>
          <w:rFonts w:hint="eastAsia" w:ascii="仿宋_GB2312" w:hAnsi="仿宋_GB2312" w:eastAsia="仿宋_GB2312" w:cs="仿宋_GB2312"/>
          <w:color w:val="000000"/>
          <w:kern w:val="0"/>
          <w:sz w:val="32"/>
          <w:szCs w:val="32"/>
          <w:lang w:val="en-US" w:eastAsia="zh-CN"/>
        </w:rPr>
        <w:t>2021年预算中并未体现</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因</w:t>
      </w:r>
      <w:r>
        <w:rPr>
          <w:rFonts w:hint="eastAsia" w:ascii="仿宋_GB2312" w:hAnsi="仿宋_GB2312" w:eastAsia="仿宋_GB2312" w:cs="仿宋_GB2312"/>
          <w:color w:val="000000"/>
          <w:kern w:val="0"/>
          <w:sz w:val="32"/>
          <w:szCs w:val="32"/>
        </w:rPr>
        <w:t>此</w:t>
      </w:r>
      <w:r>
        <w:rPr>
          <w:rFonts w:hint="eastAsia" w:ascii="仿宋_GB2312" w:hAnsi="仿宋_GB2312" w:eastAsia="仿宋_GB2312" w:cs="仿宋_GB2312"/>
          <w:color w:val="000000"/>
          <w:kern w:val="0"/>
          <w:sz w:val="32"/>
          <w:szCs w:val="32"/>
          <w:lang w:val="en-US" w:eastAsia="zh-CN"/>
        </w:rPr>
        <w:t>2022年</w:t>
      </w:r>
      <w:r>
        <w:rPr>
          <w:rFonts w:hint="eastAsia" w:ascii="仿宋_GB2312" w:hAnsi="仿宋_GB2312" w:eastAsia="仿宋_GB2312" w:cs="仿宋_GB2312"/>
          <w:color w:val="000000"/>
          <w:kern w:val="0"/>
          <w:sz w:val="32"/>
          <w:szCs w:val="32"/>
        </w:rPr>
        <w:t>相对应的增加了人员经费和公用经费；（二）项目支出预算中的长沙市企业服务中心工作经费由2021年度10万元，增加为100万元，上升900%。原因是单位人员配备完成，所有工作走上正轨，为完成相关职能职责增加了工作经费。</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五、一般公共预算财政拨款支出决算情况说明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（一）财政拨款支出决算总体情况</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2022年度一般公共预算财政拨款支出1,141.39万元，占本年支出合计的95.23%，与上年相比，一般公共预算财政拨款支出增加7.06万元，增长0.62%，</w:t>
      </w:r>
      <w:r>
        <w:rPr>
          <w:rFonts w:hint="eastAsia" w:ascii="仿宋_GB2312" w:hAnsi="仿宋_GB2312" w:eastAsia="仿宋_GB2312" w:cs="仿宋_GB2312"/>
          <w:color w:val="000000"/>
          <w:kern w:val="0"/>
          <w:sz w:val="32"/>
          <w:szCs w:val="32"/>
        </w:rPr>
        <w:t>主要原因是：(一）本单位涉改、人员增加。2020年新招聘人员，在2021年1月全部入职，</w:t>
      </w:r>
      <w:r>
        <w:rPr>
          <w:rFonts w:hint="eastAsia" w:ascii="仿宋_GB2312" w:hAnsi="仿宋_GB2312" w:eastAsia="仿宋_GB2312" w:cs="仿宋_GB2312"/>
          <w:color w:val="000000"/>
          <w:kern w:val="0"/>
          <w:sz w:val="32"/>
          <w:szCs w:val="32"/>
          <w:lang w:eastAsia="zh-CN"/>
        </w:rPr>
        <w:t>此部分人员产生的人员经费和公用经费属于额外追加，在</w:t>
      </w:r>
      <w:r>
        <w:rPr>
          <w:rFonts w:hint="eastAsia" w:ascii="仿宋_GB2312" w:hAnsi="仿宋_GB2312" w:eastAsia="仿宋_GB2312" w:cs="仿宋_GB2312"/>
          <w:color w:val="000000"/>
          <w:kern w:val="0"/>
          <w:sz w:val="32"/>
          <w:szCs w:val="32"/>
          <w:lang w:val="en-US" w:eastAsia="zh-CN"/>
        </w:rPr>
        <w:t>2021年预算中并未体现</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因</w:t>
      </w:r>
      <w:r>
        <w:rPr>
          <w:rFonts w:hint="eastAsia" w:ascii="仿宋_GB2312" w:hAnsi="仿宋_GB2312" w:eastAsia="仿宋_GB2312" w:cs="仿宋_GB2312"/>
          <w:color w:val="000000"/>
          <w:kern w:val="0"/>
          <w:sz w:val="32"/>
          <w:szCs w:val="32"/>
        </w:rPr>
        <w:t>此</w:t>
      </w:r>
      <w:r>
        <w:rPr>
          <w:rFonts w:hint="eastAsia" w:ascii="仿宋_GB2312" w:hAnsi="仿宋_GB2312" w:eastAsia="仿宋_GB2312" w:cs="仿宋_GB2312"/>
          <w:color w:val="000000"/>
          <w:kern w:val="0"/>
          <w:sz w:val="32"/>
          <w:szCs w:val="32"/>
          <w:lang w:val="en-US" w:eastAsia="zh-CN"/>
        </w:rPr>
        <w:t>2022年</w:t>
      </w:r>
      <w:r>
        <w:rPr>
          <w:rFonts w:hint="eastAsia" w:ascii="仿宋_GB2312" w:hAnsi="仿宋_GB2312" w:eastAsia="仿宋_GB2312" w:cs="仿宋_GB2312"/>
          <w:color w:val="000000"/>
          <w:kern w:val="0"/>
          <w:sz w:val="32"/>
          <w:szCs w:val="32"/>
        </w:rPr>
        <w:t>相对应的增加了人员经费和公用经费；（二）项目支出预算中的长沙市企业服务中心工作经费由2021年度10万元，增加为100万元，上升900%。原因是单位人员配备完成，所有工作走上正轨，为完成相关职能职责增加了工作经费。</w:t>
      </w:r>
    </w:p>
    <w:p>
      <w:pPr>
        <w:pStyle w:val="4"/>
        <w:keepNext w:val="0"/>
        <w:keepLines w:val="0"/>
        <w:pageBreakBefore w:val="0"/>
        <w:widowControl/>
        <w:numPr>
          <w:ilvl w:val="0"/>
          <w:numId w:val="1"/>
        </w:numPr>
        <w:shd w:val="clear" w:color="auto" w:fill="FFFFFF"/>
        <w:kinsoku/>
        <w:wordWrap/>
        <w:overflowPunct/>
        <w:topLinePunct w:val="0"/>
        <w:autoSpaceDE/>
        <w:autoSpaceDN/>
        <w:bidi w:val="0"/>
        <w:adjustRightInd/>
        <w:snapToGrid/>
        <w:spacing w:before="0" w:beforeAutospacing="0" w:after="0" w:afterAutospacing="0" w:line="560" w:lineRule="exact"/>
        <w:ind w:left="766" w:leftChars="0" w:firstLine="0" w:firstLineChars="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财政拨款支出决算结构情况</w:t>
      </w:r>
    </w:p>
    <w:p>
      <w:pPr>
        <w:pStyle w:val="4"/>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kern w:val="0"/>
          <w:sz w:val="32"/>
          <w:szCs w:val="32"/>
          <w:shd w:val="clear" w:color="auto" w:fill="FFFFFF"/>
          <w:lang w:val="en-US" w:bidi="ar"/>
        </w:rPr>
      </w:pPr>
      <w:r>
        <w:rPr>
          <w:rFonts w:hint="eastAsia" w:ascii="仿宋_GB2312" w:hAnsi="仿宋_GB2312" w:eastAsia="仿宋_GB2312" w:cs="仿宋_GB2312"/>
          <w:sz w:val="32"/>
          <w:szCs w:val="32"/>
        </w:rPr>
        <w:t>2022年度一般公共预算财政拨款支出1,141.39万元，主要用于以下方面：</w:t>
      </w:r>
      <w:r>
        <w:rPr>
          <w:rFonts w:hint="eastAsia" w:ascii="仿宋_GB2312" w:hAnsi="仿宋_GB2312" w:eastAsia="仿宋_GB2312" w:cs="仿宋_GB2312"/>
          <w:kern w:val="0"/>
          <w:sz w:val="32"/>
          <w:szCs w:val="32"/>
          <w:shd w:val="clear" w:color="auto" w:fill="FFFFFF"/>
          <w:lang w:eastAsia="zh-CN" w:bidi="ar"/>
        </w:rPr>
        <w:t>资源勘探工业信息等（类）支出</w:t>
      </w:r>
      <w:r>
        <w:rPr>
          <w:rFonts w:hint="eastAsia" w:ascii="仿宋_GB2312" w:hAnsi="仿宋_GB2312" w:eastAsia="仿宋_GB2312" w:cs="仿宋_GB2312"/>
          <w:sz w:val="32"/>
          <w:szCs w:val="32"/>
        </w:rPr>
        <w:t>1,141.39</w:t>
      </w:r>
      <w:r>
        <w:rPr>
          <w:rFonts w:hint="eastAsia" w:ascii="仿宋_GB2312" w:hAnsi="仿宋_GB2312" w:eastAsia="仿宋_GB2312" w:cs="仿宋_GB2312"/>
          <w:sz w:val="32"/>
          <w:szCs w:val="32"/>
          <w:lang w:eastAsia="zh-CN"/>
        </w:rPr>
        <w:t>万元</w:t>
      </w:r>
      <w:r>
        <w:rPr>
          <w:rFonts w:hint="eastAsia" w:ascii="仿宋_GB2312" w:hAnsi="仿宋_GB2312" w:eastAsia="仿宋_GB2312" w:cs="仿宋_GB2312"/>
          <w:kern w:val="0"/>
          <w:sz w:val="32"/>
          <w:szCs w:val="32"/>
          <w:shd w:val="clear" w:color="auto" w:fill="FFFFFF"/>
          <w:lang w:eastAsia="zh-CN" w:bidi="ar"/>
        </w:rPr>
        <w:t>，占</w:t>
      </w:r>
      <w:r>
        <w:rPr>
          <w:rFonts w:hint="eastAsia" w:ascii="仿宋_GB2312" w:hAnsi="仿宋_GB2312" w:eastAsia="仿宋_GB2312" w:cs="仿宋_GB2312"/>
          <w:kern w:val="0"/>
          <w:sz w:val="32"/>
          <w:szCs w:val="32"/>
          <w:shd w:val="clear" w:color="auto" w:fill="FFFFFF"/>
          <w:lang w:val="en-US" w:bidi="ar"/>
        </w:rPr>
        <w:t>100%</w:t>
      </w:r>
      <w:r>
        <w:rPr>
          <w:rFonts w:hint="eastAsia" w:ascii="仿宋_GB2312" w:hAnsi="仿宋_GB2312" w:eastAsia="仿宋_GB2312" w:cs="仿宋_GB2312"/>
          <w:kern w:val="0"/>
          <w:sz w:val="32"/>
          <w:szCs w:val="32"/>
          <w:shd w:val="clear" w:color="auto" w:fill="FFFFFF"/>
          <w:lang w:eastAsia="zh-CN" w:bidi="ar"/>
        </w:rPr>
        <w:t>。</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（三）财政拨款支出决算具体情况</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2022年度一般公共预算财政拨款支出年初预算数为1,038.23万元，支出决算数为1,141.39万元，完成年初预算的109.94%，其中：</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shd w:val="clear" w:color="auto" w:fill="FFFFFF"/>
          <w:lang w:val="en-US" w:eastAsia="zh-CN"/>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shd w:val="clear" w:color="auto" w:fill="FFFFFF"/>
          <w:lang w:val="en-US"/>
        </w:rPr>
        <w:t>1</w:t>
      </w:r>
      <w:r>
        <w:rPr>
          <w:rFonts w:hint="eastAsia" w:ascii="仿宋_GB2312" w:hAnsi="仿宋_GB2312" w:eastAsia="仿宋_GB2312" w:cs="仿宋_GB2312"/>
          <w:sz w:val="32"/>
          <w:szCs w:val="32"/>
          <w:shd w:val="clear" w:color="auto" w:fill="FFFFFF"/>
          <w:lang w:val="en-US" w:eastAsia="zh-CN"/>
        </w:rPr>
        <w:t>、</w:t>
      </w:r>
      <w:r>
        <w:rPr>
          <w:rFonts w:hint="eastAsia" w:ascii="仿宋_GB2312" w:hAnsi="仿宋_GB2312" w:eastAsia="仿宋_GB2312" w:cs="仿宋_GB2312"/>
          <w:sz w:val="32"/>
          <w:szCs w:val="32"/>
          <w:shd w:val="clear" w:color="auto" w:fill="FFFFFF"/>
          <w:lang w:eastAsia="zh-CN"/>
        </w:rPr>
        <w:t>资源勘探工业信息等支出（类）工业和信息产业监管（款）事业运行（项）。</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rPr>
        <w:t>年初预算为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万元，支出决算为</w:t>
      </w:r>
      <w:r>
        <w:rPr>
          <w:rFonts w:hint="eastAsia" w:ascii="仿宋_GB2312" w:hAnsi="仿宋_GB2312" w:eastAsia="仿宋_GB2312" w:cs="仿宋_GB2312"/>
          <w:sz w:val="32"/>
          <w:szCs w:val="32"/>
          <w:lang w:val="en-US" w:eastAsia="zh-CN"/>
        </w:rPr>
        <w:t>1141.39</w:t>
      </w:r>
      <w:r>
        <w:rPr>
          <w:rFonts w:hint="eastAsia" w:ascii="仿宋_GB2312" w:hAnsi="仿宋_GB2312" w:eastAsia="仿宋_GB2312" w:cs="仿宋_GB2312"/>
          <w:sz w:val="32"/>
          <w:szCs w:val="32"/>
        </w:rPr>
        <w:t>万元，决算数大于年初预算数的主要原因是：</w:t>
      </w:r>
      <w:r>
        <w:rPr>
          <w:rFonts w:hint="eastAsia" w:ascii="仿宋_GB2312" w:hAnsi="仿宋_GB2312" w:eastAsia="仿宋_GB2312" w:cs="仿宋_GB2312"/>
          <w:color w:val="000000" w:themeColor="text1"/>
          <w:sz w:val="32"/>
          <w:szCs w:val="32"/>
          <w:lang w:eastAsia="zh-CN"/>
          <w14:textFill>
            <w14:solidFill>
              <w14:schemeClr w14:val="tx1"/>
            </w14:solidFill>
          </w14:textFill>
        </w:rPr>
        <w:t>按照</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2022年财政政策</w:t>
      </w:r>
      <w:r>
        <w:rPr>
          <w:rFonts w:hint="eastAsia" w:ascii="仿宋_GB2312" w:hAnsi="仿宋_GB2312" w:eastAsia="仿宋_GB2312" w:cs="仿宋_GB2312"/>
          <w:color w:val="000000" w:themeColor="text1"/>
          <w:sz w:val="32"/>
          <w:szCs w:val="32"/>
          <w:lang w:eastAsia="zh-CN"/>
          <w14:textFill>
            <w14:solidFill>
              <w14:schemeClr w14:val="tx1"/>
            </w14:solidFill>
          </w14:textFill>
        </w:rPr>
        <w:t>，年初预算中基本支出在</w:t>
      </w:r>
      <w:r>
        <w:rPr>
          <w:rFonts w:hint="eastAsia" w:ascii="仿宋_GB2312" w:hAnsi="仿宋_GB2312" w:eastAsia="仿宋_GB2312" w:cs="仿宋_GB2312"/>
          <w:color w:val="000000" w:themeColor="text1"/>
          <w:sz w:val="32"/>
          <w:szCs w:val="32"/>
          <w14:textFill>
            <w14:solidFill>
              <w14:schemeClr w14:val="tx1"/>
            </w14:solidFill>
          </w14:textFill>
        </w:rPr>
        <w:t>2150599其它工业和信息产业监管支出功能科目中列支</w:t>
      </w:r>
      <w:r>
        <w:rPr>
          <w:rFonts w:hint="eastAsia" w:ascii="仿宋_GB2312" w:hAnsi="仿宋_GB2312" w:eastAsia="仿宋_GB2312" w:cs="仿宋_GB2312"/>
          <w:color w:val="000000" w:themeColor="text1"/>
          <w:sz w:val="32"/>
          <w:szCs w:val="32"/>
          <w:lang w:eastAsia="zh-CN"/>
          <w14:textFill>
            <w14:solidFill>
              <w14:schemeClr w14:val="tx1"/>
            </w14:solidFill>
          </w14:textFill>
        </w:rPr>
        <w:t>，故预算中未列支</w:t>
      </w:r>
      <w:r>
        <w:rPr>
          <w:rFonts w:hint="eastAsia" w:ascii="仿宋_GB2312" w:hAnsi="仿宋_GB2312" w:eastAsia="仿宋_GB2312" w:cs="仿宋_GB2312"/>
          <w:color w:val="000000" w:themeColor="text1"/>
          <w:sz w:val="32"/>
          <w:szCs w:val="32"/>
          <w14:textFill>
            <w14:solidFill>
              <w14:schemeClr w14:val="tx1"/>
            </w14:solidFill>
          </w14:textFill>
        </w:rPr>
        <w:t>2150550事业运行功能科目</w:t>
      </w:r>
      <w:r>
        <w:rPr>
          <w:rFonts w:hint="eastAsia" w:ascii="仿宋_GB2312" w:hAnsi="仿宋_GB2312" w:eastAsia="仿宋_GB2312" w:cs="仿宋_GB2312"/>
          <w:color w:val="000000" w:themeColor="text1"/>
          <w:sz w:val="32"/>
          <w:szCs w:val="32"/>
          <w:lang w:eastAsia="zh-CN"/>
          <w14:textFill>
            <w14:solidFill>
              <w14:schemeClr w14:val="tx1"/>
            </w14:solidFill>
          </w14:textFill>
        </w:rPr>
        <w:t>，事业运行</w:t>
      </w:r>
      <w:r>
        <w:rPr>
          <w:rFonts w:hint="eastAsia" w:ascii="仿宋_GB2312" w:hAnsi="仿宋_GB2312" w:eastAsia="仿宋_GB2312" w:cs="仿宋_GB2312"/>
          <w:sz w:val="32"/>
          <w:szCs w:val="32"/>
          <w:shd w:val="clear" w:color="auto" w:fill="FFFFFF"/>
          <w:lang w:eastAsia="zh-CN"/>
        </w:rPr>
        <w:t>（项）为</w:t>
      </w:r>
      <w:r>
        <w:rPr>
          <w:rFonts w:hint="eastAsia" w:ascii="仿宋_GB2312" w:hAnsi="仿宋_GB2312" w:eastAsia="仿宋_GB2312" w:cs="仿宋_GB2312"/>
          <w:sz w:val="32"/>
          <w:szCs w:val="32"/>
          <w:shd w:val="clear" w:color="auto" w:fill="FFFFFF"/>
          <w:lang w:val="en-US" w:eastAsia="zh-CN"/>
        </w:rPr>
        <w:t>0，</w:t>
      </w:r>
      <w:r>
        <w:rPr>
          <w:rFonts w:hint="eastAsia" w:ascii="仿宋_GB2312" w:hAnsi="仿宋_GB2312" w:eastAsia="仿宋_GB2312" w:cs="仿宋_GB2312"/>
          <w:color w:val="000000" w:themeColor="text1"/>
          <w:sz w:val="32"/>
          <w:szCs w:val="32"/>
          <w:lang w:eastAsia="zh-CN"/>
          <w14:textFill>
            <w14:solidFill>
              <w14:schemeClr w14:val="tx1"/>
            </w14:solidFill>
          </w14:textFill>
        </w:rPr>
        <w:t>后</w:t>
      </w:r>
      <w:r>
        <w:rPr>
          <w:rFonts w:hint="eastAsia" w:ascii="仿宋_GB2312" w:hAnsi="仿宋_GB2312" w:eastAsia="仿宋_GB2312" w:cs="仿宋_GB2312"/>
          <w:color w:val="000000" w:themeColor="text1"/>
          <w:sz w:val="32"/>
          <w:szCs w:val="32"/>
          <w14:textFill>
            <w14:solidFill>
              <w14:schemeClr w14:val="tx1"/>
            </w14:solidFill>
          </w14:textFill>
        </w:rPr>
        <w:t>根据财政要求</w:t>
      </w:r>
      <w:r>
        <w:rPr>
          <w:rFonts w:hint="eastAsia" w:ascii="仿宋_GB2312" w:hAnsi="仿宋_GB2312" w:eastAsia="仿宋_GB2312" w:cs="仿宋_GB2312"/>
          <w:color w:val="000000" w:themeColor="text1"/>
          <w:sz w:val="32"/>
          <w:szCs w:val="32"/>
          <w:lang w:eastAsia="zh-CN"/>
          <w14:textFill>
            <w14:solidFill>
              <w14:schemeClr w14:val="tx1"/>
            </w14:solidFill>
          </w14:textFill>
        </w:rPr>
        <w:t>调整功能科目，确保决算报表准确性</w:t>
      </w:r>
      <w:r>
        <w:rPr>
          <w:rFonts w:hint="eastAsia" w:ascii="仿宋_GB2312" w:hAnsi="仿宋_GB2312" w:eastAsia="仿宋_GB2312" w:cs="仿宋_GB2312"/>
          <w:color w:val="000000" w:themeColor="text1"/>
          <w:sz w:val="32"/>
          <w:szCs w:val="32"/>
          <w14:textFill>
            <w14:solidFill>
              <w14:schemeClr w14:val="tx1"/>
            </w14:solidFill>
          </w14:textFill>
        </w:rPr>
        <w:t>，2022年基本支出全部在2150550事业运行功能科目中列支</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pPr>
        <w:pStyle w:val="4"/>
        <w:keepNext w:val="0"/>
        <w:keepLines w:val="0"/>
        <w:pageBreakBefore w:val="0"/>
        <w:widowControl/>
        <w:numPr>
          <w:ilvl w:val="0"/>
          <w:numId w:val="2"/>
        </w:numPr>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资源勘探工业信息等支出（类）工业和信息产业监管（款）其他工业和信息产业监管（项）。</w:t>
      </w:r>
    </w:p>
    <w:p>
      <w:pPr>
        <w:pStyle w:val="4"/>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年初预算为</w:t>
      </w:r>
      <w:r>
        <w:rPr>
          <w:rFonts w:hint="eastAsia" w:ascii="仿宋_GB2312" w:hAnsi="仿宋_GB2312" w:eastAsia="仿宋_GB2312" w:cs="仿宋_GB2312"/>
          <w:sz w:val="32"/>
          <w:szCs w:val="32"/>
          <w:lang w:val="en-US" w:eastAsia="zh-CN"/>
        </w:rPr>
        <w:t>1038.23</w:t>
      </w:r>
      <w:r>
        <w:rPr>
          <w:rFonts w:hint="eastAsia" w:ascii="仿宋_GB2312" w:hAnsi="仿宋_GB2312" w:eastAsia="仿宋_GB2312" w:cs="仿宋_GB2312"/>
          <w:sz w:val="32"/>
          <w:szCs w:val="32"/>
        </w:rPr>
        <w:t>万元，支出决算为</w:t>
      </w:r>
      <w:r>
        <w:rPr>
          <w:rFonts w:hint="eastAsia" w:ascii="仿宋_GB2312" w:hAnsi="仿宋_GB2312" w:eastAsia="仿宋_GB2312" w:cs="仿宋_GB2312"/>
          <w:sz w:val="32"/>
          <w:szCs w:val="32"/>
          <w:lang w:val="en-US" w:eastAsia="zh-CN"/>
        </w:rPr>
        <w:t>112.57</w:t>
      </w:r>
      <w:r>
        <w:rPr>
          <w:rFonts w:hint="eastAsia" w:ascii="仿宋_GB2312" w:hAnsi="仿宋_GB2312" w:eastAsia="仿宋_GB2312" w:cs="仿宋_GB2312"/>
          <w:sz w:val="32"/>
          <w:szCs w:val="32"/>
        </w:rPr>
        <w:t>万元，完成年初预算的</w:t>
      </w:r>
      <w:r>
        <w:rPr>
          <w:rFonts w:hint="eastAsia" w:ascii="仿宋_GB2312" w:hAnsi="仿宋_GB2312" w:eastAsia="仿宋_GB2312" w:cs="仿宋_GB2312"/>
          <w:sz w:val="32"/>
          <w:szCs w:val="32"/>
          <w:lang w:val="en-US" w:eastAsia="zh-CN"/>
        </w:rPr>
        <w:t>10.84</w:t>
      </w:r>
      <w:r>
        <w:rPr>
          <w:rFonts w:hint="eastAsia" w:ascii="仿宋_GB2312" w:hAnsi="仿宋_GB2312" w:eastAsia="仿宋_GB2312" w:cs="仿宋_GB2312"/>
          <w:sz w:val="32"/>
          <w:szCs w:val="32"/>
        </w:rPr>
        <w:t>%，决算数小于年初预算数的主要原因是：</w:t>
      </w:r>
      <w:r>
        <w:rPr>
          <w:rFonts w:hint="eastAsia" w:ascii="仿宋_GB2312" w:hAnsi="仿宋_GB2312" w:eastAsia="仿宋_GB2312" w:cs="仿宋_GB2312"/>
          <w:color w:val="000000" w:themeColor="text1"/>
          <w:sz w:val="32"/>
          <w:szCs w:val="32"/>
          <w:lang w:eastAsia="zh-CN"/>
          <w14:textFill>
            <w14:solidFill>
              <w14:schemeClr w14:val="tx1"/>
            </w14:solidFill>
          </w14:textFill>
        </w:rPr>
        <w:t>按照</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2022年财政政策</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年基本支出和项目支出都在2150599其它工业和信息产业监管支出功能科目中列支</w:t>
      </w:r>
      <w:r>
        <w:rPr>
          <w:rFonts w:hint="eastAsia" w:ascii="仿宋_GB2312" w:hAnsi="仿宋_GB2312" w:eastAsia="仿宋_GB2312" w:cs="仿宋_GB2312"/>
          <w:color w:val="000000" w:themeColor="text1"/>
          <w:sz w:val="32"/>
          <w:szCs w:val="32"/>
          <w:lang w:eastAsia="zh-CN"/>
          <w14:textFill>
            <w14:solidFill>
              <w14:schemeClr w14:val="tx1"/>
            </w14:solidFill>
          </w14:textFill>
        </w:rPr>
        <w:t>，故预算中该科目列支</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1038.23万元，</w:t>
      </w:r>
      <w:r>
        <w:rPr>
          <w:rFonts w:hint="eastAsia" w:ascii="仿宋_GB2312" w:hAnsi="仿宋_GB2312" w:eastAsia="仿宋_GB2312" w:cs="仿宋_GB2312"/>
          <w:color w:val="000000" w:themeColor="text1"/>
          <w:sz w:val="32"/>
          <w:szCs w:val="32"/>
          <w:lang w:eastAsia="zh-CN"/>
          <w14:textFill>
            <w14:solidFill>
              <w14:schemeClr w14:val="tx1"/>
            </w14:solidFill>
          </w14:textFill>
        </w:rPr>
        <w:t>后</w:t>
      </w:r>
      <w:r>
        <w:rPr>
          <w:rFonts w:hint="eastAsia" w:ascii="仿宋_GB2312" w:hAnsi="仿宋_GB2312" w:eastAsia="仿宋_GB2312" w:cs="仿宋_GB2312"/>
          <w:color w:val="000000" w:themeColor="text1"/>
          <w:sz w:val="32"/>
          <w:szCs w:val="32"/>
          <w14:textFill>
            <w14:solidFill>
              <w14:schemeClr w14:val="tx1"/>
            </w14:solidFill>
          </w14:textFill>
        </w:rPr>
        <w:t>根据财政要求</w:t>
      </w:r>
      <w:r>
        <w:rPr>
          <w:rFonts w:hint="eastAsia" w:ascii="仿宋_GB2312" w:hAnsi="仿宋_GB2312" w:eastAsia="仿宋_GB2312" w:cs="仿宋_GB2312"/>
          <w:color w:val="000000" w:themeColor="text1"/>
          <w:sz w:val="32"/>
          <w:szCs w:val="32"/>
          <w:lang w:eastAsia="zh-CN"/>
          <w14:textFill>
            <w14:solidFill>
              <w14:schemeClr w14:val="tx1"/>
            </w14:solidFill>
          </w14:textFill>
        </w:rPr>
        <w:t>调整功能科目，确保决算报表准确性</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4</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仅</w:t>
      </w:r>
      <w:r>
        <w:rPr>
          <w:rFonts w:hint="eastAsia" w:ascii="仿宋_GB2312" w:hAnsi="仿宋_GB2312" w:eastAsia="仿宋_GB2312" w:cs="仿宋_GB2312"/>
          <w:color w:val="000000" w:themeColor="text1"/>
          <w:sz w:val="32"/>
          <w:szCs w:val="32"/>
          <w14:textFill>
            <w14:solidFill>
              <w14:schemeClr w14:val="tx1"/>
            </w14:solidFill>
          </w14:textFill>
        </w:rPr>
        <w:t>2022年项目支出在2150599其它工业和信息产业监管支出功能科目中列支，</w:t>
      </w:r>
      <w:r>
        <w:rPr>
          <w:rFonts w:hint="eastAsia" w:ascii="仿宋_GB2312" w:hAnsi="仿宋_GB2312" w:eastAsia="仿宋_GB2312" w:cs="仿宋_GB2312"/>
          <w:color w:val="000000" w:themeColor="text1"/>
          <w:sz w:val="32"/>
          <w:szCs w:val="32"/>
          <w:lang w:eastAsia="zh-CN"/>
          <w14:textFill>
            <w14:solidFill>
              <w14:schemeClr w14:val="tx1"/>
            </w14:solidFill>
          </w14:textFill>
        </w:rPr>
        <w:t>故支出决算为</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112.57万元。</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六、一般公共预算财政拨款基本支出决算情况说明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2022年度一般公共预算财政拨款基本支出1,028.81万元，其中：</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lang w:val="en-US"/>
        </w:rPr>
      </w:pPr>
      <w:r>
        <w:rPr>
          <w:rStyle w:val="7"/>
          <w:rFonts w:hint="eastAsia" w:ascii="仿宋_GB2312" w:hAnsi="仿宋_GB2312" w:eastAsia="仿宋_GB2312" w:cs="仿宋_GB2312"/>
          <w:b w:val="0"/>
          <w:bCs w:val="0"/>
          <w:sz w:val="32"/>
          <w:szCs w:val="32"/>
        </w:rPr>
        <w:t>人员经费</w:t>
      </w:r>
      <w:r>
        <w:rPr>
          <w:rFonts w:hint="eastAsia" w:ascii="仿宋_GB2312" w:hAnsi="仿宋_GB2312" w:eastAsia="仿宋_GB2312" w:cs="仿宋_GB2312"/>
          <w:sz w:val="32"/>
          <w:szCs w:val="32"/>
        </w:rPr>
        <w:t>966.67万元，占基本支出的93.96%,主要包括</w:t>
      </w:r>
      <w:r>
        <w:rPr>
          <w:rFonts w:hint="eastAsia" w:ascii="仿宋_GB2312" w:hAnsi="仿宋_GB2312" w:eastAsia="仿宋_GB2312" w:cs="仿宋_GB2312"/>
          <w:sz w:val="32"/>
          <w:szCs w:val="32"/>
          <w:shd w:val="clear" w:color="auto" w:fill="FFFFFF"/>
          <w:lang w:eastAsia="zh-CN"/>
        </w:rPr>
        <w:t>基本工资、津贴补贴、伙食补助费、绩效工资、机关事业单位基本养老保险缴费、职业年金缴费、其他社会保障缴费、其他工资福利支出、离休费、退休费、抚恤金、生活补助、医疗费、奖励金、住房公积金、其他对个人和家庭的补助支出。</w:t>
      </w:r>
    </w:p>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ind w:left="0" w:right="0" w:firstLine="640" w:firstLineChars="200"/>
        <w:jc w:val="both"/>
        <w:textAlignment w:val="auto"/>
        <w:rPr>
          <w:rFonts w:hint="eastAsia" w:ascii="仿宋_GB2312" w:hAnsi="仿宋_GB2312" w:eastAsia="仿宋_GB2312" w:cs="仿宋_GB2312"/>
          <w:sz w:val="32"/>
          <w:szCs w:val="32"/>
          <w:shd w:val="clear" w:color="auto" w:fill="FFFFFF"/>
          <w:lang w:val="en-US"/>
        </w:rPr>
      </w:pPr>
      <w:r>
        <w:rPr>
          <w:rStyle w:val="7"/>
          <w:rFonts w:hint="eastAsia" w:ascii="仿宋_GB2312" w:hAnsi="仿宋_GB2312" w:eastAsia="仿宋_GB2312" w:cs="仿宋_GB2312"/>
          <w:b w:val="0"/>
          <w:bCs w:val="0"/>
          <w:sz w:val="32"/>
          <w:szCs w:val="32"/>
        </w:rPr>
        <w:t>公用经费</w:t>
      </w:r>
      <w:r>
        <w:rPr>
          <w:rFonts w:hint="eastAsia" w:ascii="仿宋_GB2312" w:hAnsi="仿宋_GB2312" w:eastAsia="仿宋_GB2312" w:cs="仿宋_GB2312"/>
          <w:sz w:val="32"/>
          <w:szCs w:val="32"/>
        </w:rPr>
        <w:t>62.14万元，占基本支出的6.04%，</w:t>
      </w:r>
      <w:r>
        <w:rPr>
          <w:rFonts w:hint="eastAsia" w:ascii="仿宋_GB2312" w:hAnsi="仿宋_GB2312" w:eastAsia="仿宋_GB2312" w:cs="仿宋_GB2312"/>
          <w:sz w:val="32"/>
          <w:szCs w:val="32"/>
          <w:shd w:val="clear" w:color="auto" w:fill="FFFFFF"/>
          <w:lang w:eastAsia="zh-CN"/>
        </w:rPr>
        <w:t>主要包括：办公费、印刷费、咨询费、手续费、水费、电费、邮电费、差旅费、维修（护）费、租赁费、会议费、培训费、工会经费、公务用车运行维护费、其他交通费用、税金及附加费用、其他商品和服务支出。</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七、财政拨款三公经费支出决算情况说明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（一）“三公”经费财政拨款支出决算总体情况说明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“三公”经费财政拨款支出预算为2.50万元，支出决算为1.01万元，完成预算的40.30%，其中：</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因公出国（境）费支出预算为0.00万元，支出决算为0.00万元，</w:t>
      </w:r>
      <w:r>
        <w:rPr>
          <w:rFonts w:hint="eastAsia" w:ascii="仿宋_GB2312" w:hAnsi="仿宋_GB2312" w:eastAsia="仿宋_GB2312" w:cs="仿宋_GB2312"/>
          <w:sz w:val="32"/>
          <w:szCs w:val="32"/>
          <w:lang w:eastAsia="zh-CN"/>
        </w:rPr>
        <w:t>由于预算数为</w:t>
      </w:r>
      <w:r>
        <w:rPr>
          <w:rFonts w:hint="eastAsia" w:ascii="仿宋_GB2312" w:hAnsi="仿宋_GB2312" w:eastAsia="仿宋_GB2312" w:cs="仿宋_GB2312"/>
          <w:sz w:val="32"/>
          <w:szCs w:val="32"/>
          <w:lang w:val="en-US" w:eastAsia="zh-CN"/>
        </w:rPr>
        <w:t>0，无法计算百分比</w:t>
      </w:r>
      <w:r>
        <w:rPr>
          <w:rFonts w:hint="eastAsia" w:ascii="仿宋_GB2312" w:hAnsi="仿宋_GB2312" w:eastAsia="仿宋_GB2312" w:cs="仿宋_GB2312"/>
          <w:sz w:val="32"/>
          <w:szCs w:val="32"/>
        </w:rPr>
        <w:t>，决算数等于预算数的主要原因是单位无人员因公出国（境）。</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公务接待费支出预算为0.00万元，支出决算为0.00万元，</w:t>
      </w:r>
      <w:r>
        <w:rPr>
          <w:rFonts w:hint="eastAsia" w:ascii="仿宋_GB2312" w:hAnsi="仿宋_GB2312" w:eastAsia="仿宋_GB2312" w:cs="仿宋_GB2312"/>
          <w:sz w:val="32"/>
          <w:szCs w:val="32"/>
          <w:lang w:eastAsia="zh-CN"/>
        </w:rPr>
        <w:t>由于预算数为</w:t>
      </w:r>
      <w:r>
        <w:rPr>
          <w:rFonts w:hint="eastAsia" w:ascii="仿宋_GB2312" w:hAnsi="仿宋_GB2312" w:eastAsia="仿宋_GB2312" w:cs="仿宋_GB2312"/>
          <w:sz w:val="32"/>
          <w:szCs w:val="32"/>
          <w:lang w:val="en-US" w:eastAsia="zh-CN"/>
        </w:rPr>
        <w:t>0，无法计算百分比</w:t>
      </w:r>
      <w:r>
        <w:rPr>
          <w:rFonts w:hint="eastAsia" w:ascii="仿宋_GB2312" w:hAnsi="仿宋_GB2312" w:eastAsia="仿宋_GB2312" w:cs="仿宋_GB2312"/>
          <w:sz w:val="32"/>
          <w:szCs w:val="32"/>
        </w:rPr>
        <w:t>，决算数等于预算数的主要原因是单位无公务接待任务，认真贯彻落实“中央八项”规定精神和厉行节约的要求，严格预算执行，从严控制“三公”经费支出。与上年相同，主要原因是单位无公务接待任务，认真贯彻落实“中央八项”规定精神和厉行节约的要求，严格预算执行，从严控制“三公”经费支出。</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公务用车购置费支出预算为0.00万元，支出决算为0.00万元，</w:t>
      </w:r>
      <w:r>
        <w:rPr>
          <w:rFonts w:hint="eastAsia" w:ascii="仿宋_GB2312" w:hAnsi="仿宋_GB2312" w:eastAsia="仿宋_GB2312" w:cs="仿宋_GB2312"/>
          <w:sz w:val="32"/>
          <w:szCs w:val="32"/>
          <w:lang w:eastAsia="zh-CN"/>
        </w:rPr>
        <w:t>由于预算数为</w:t>
      </w:r>
      <w:r>
        <w:rPr>
          <w:rFonts w:hint="eastAsia" w:ascii="仿宋_GB2312" w:hAnsi="仿宋_GB2312" w:eastAsia="仿宋_GB2312" w:cs="仿宋_GB2312"/>
          <w:sz w:val="32"/>
          <w:szCs w:val="32"/>
          <w:lang w:val="en-US" w:eastAsia="zh-CN"/>
        </w:rPr>
        <w:t>0，无法计算百分比</w:t>
      </w:r>
      <w:r>
        <w:rPr>
          <w:rFonts w:hint="eastAsia" w:ascii="仿宋_GB2312" w:hAnsi="仿宋_GB2312" w:eastAsia="仿宋_GB2312" w:cs="仿宋_GB2312"/>
          <w:sz w:val="32"/>
          <w:szCs w:val="32"/>
        </w:rPr>
        <w:t>，决算数等于预算数的主要原因是单位已有离退休干部用车一台，无公务用车购置需求，与上年相同，主要原因是单位已有离退休干部用车一台，无公务用车购置需求。</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rPr>
      </w:pPr>
      <w:r>
        <w:rPr>
          <w:rFonts w:hint="eastAsia" w:ascii="仿宋_GB2312" w:hAnsi="仿宋_GB2312" w:eastAsia="仿宋_GB2312" w:cs="仿宋_GB2312"/>
          <w:sz w:val="32"/>
          <w:szCs w:val="32"/>
        </w:rPr>
        <w:t>公务用车运行维护费支出预算为2.50万元，支出决算为1.01万元，完成预算的40.30%，决算数小于预算数的主要原因是认真贯彻落实“中央八项”规定精神和厉行节约的要求，严格预算执行，从严控制“三公”经费支出，与上年相比增加0.11万元，增长12.87%,增长的主要原因是公务用车保险和汽油费增加。</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b w:val="0"/>
          <w:bCs w:val="0"/>
          <w:sz w:val="32"/>
          <w:szCs w:val="32"/>
        </w:rPr>
      </w:pPr>
      <w:r>
        <w:rPr>
          <w:rStyle w:val="7"/>
          <w:rFonts w:hint="eastAsia" w:ascii="仿宋_GB2312" w:hAnsi="仿宋_GB2312" w:eastAsia="仿宋_GB2312" w:cs="仿宋_GB2312"/>
          <w:b w:val="0"/>
          <w:bCs w:val="0"/>
          <w:sz w:val="32"/>
          <w:szCs w:val="32"/>
        </w:rPr>
        <w:t>（二）“三公”经费财政拨款支出决算具体情况说明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2022年度“三公”经费财政拨款支出决算中，公务接待费支出决算0.00万元，占0.00%,因公出国（境）费支出决算0.00万元，占0.00%,公务用车购置费及运行维护费支出决算1.01万元，占100.00%。其中：</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1、因公出国（境）费支出决算为0.00万元，全年安排因公出国（境）团组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个，累计</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人次</w:t>
      </w:r>
      <w:r>
        <w:rPr>
          <w:rFonts w:hint="eastAsia" w:ascii="仿宋_GB2312" w:hAnsi="仿宋_GB2312" w:eastAsia="仿宋_GB2312" w:cs="仿宋_GB2312"/>
          <w:sz w:val="32"/>
          <w:szCs w:val="32"/>
          <w:lang w:eastAsia="zh-CN"/>
        </w:rPr>
        <w:t>。</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2、公务接待费支出决算为0.00万元，全年共接待来访团组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个、来宾</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人次。</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3、公务用车购置费及运行维护费支出决算为1.01万元，其中：公务用车购置费0.00万元，</w:t>
      </w:r>
      <w:r>
        <w:rPr>
          <w:rFonts w:hint="eastAsia" w:ascii="仿宋_GB2312" w:hAnsi="仿宋_GB2312" w:eastAsia="仿宋_GB2312" w:cs="仿宋_GB2312"/>
          <w:sz w:val="32"/>
          <w:szCs w:val="32"/>
          <w:lang w:eastAsia="zh-CN"/>
        </w:rPr>
        <w:t>单位本级</w:t>
      </w:r>
      <w:r>
        <w:rPr>
          <w:rFonts w:hint="eastAsia" w:ascii="仿宋_GB2312" w:hAnsi="仿宋_GB2312" w:eastAsia="仿宋_GB2312" w:cs="仿宋_GB2312"/>
          <w:sz w:val="32"/>
          <w:szCs w:val="32"/>
        </w:rPr>
        <w:t>更新公务用车</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辆。公务用车运行维护费1.01万元，主要是</w:t>
      </w:r>
      <w:r>
        <w:rPr>
          <w:rFonts w:hint="eastAsia" w:ascii="仿宋_GB2312" w:hAnsi="仿宋_GB2312" w:eastAsia="仿宋_GB2312" w:cs="仿宋_GB2312"/>
          <w:sz w:val="32"/>
          <w:szCs w:val="32"/>
          <w:shd w:val="clear" w:color="auto" w:fill="FFFFFF"/>
          <w:lang w:eastAsia="zh-CN"/>
        </w:rPr>
        <w:t>单位车辆的年检、保险、维修、汽油及路桥费支出。</w:t>
      </w:r>
      <w:r>
        <w:rPr>
          <w:rFonts w:hint="eastAsia" w:ascii="仿宋_GB2312" w:hAnsi="仿宋_GB2312" w:eastAsia="仿宋_GB2312" w:cs="仿宋_GB2312"/>
          <w:sz w:val="32"/>
          <w:szCs w:val="32"/>
        </w:rPr>
        <w:t>截止2022年12月31日，我单位开支财政拨款的公务用车保有量为</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辆。</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八、政府性基金预算收入支出决算情况</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2022年度政府性基金预算财政拨款收入0.00万元；年初结转和结余0.00万元；支出0.00万元，其中基本支出0.00万元，项目支出0.00万元；年末结转和结余0.00万元。</w:t>
      </w:r>
    </w:p>
    <w:p>
      <w:pPr>
        <w:pStyle w:val="4"/>
        <w:keepNext w:val="0"/>
        <w:keepLines w:val="0"/>
        <w:pageBreakBefore w:val="0"/>
        <w:widowControl/>
        <w:numPr>
          <w:ilvl w:val="0"/>
          <w:numId w:val="3"/>
        </w:numPr>
        <w:shd w:val="clear" w:color="auto" w:fill="FFFFFF"/>
        <w:kinsoku/>
        <w:wordWrap/>
        <w:overflowPunct/>
        <w:topLinePunct w:val="0"/>
        <w:autoSpaceDE/>
        <w:autoSpaceDN/>
        <w:bidi w:val="0"/>
        <w:adjustRightInd/>
        <w:snapToGrid/>
        <w:spacing w:before="0" w:beforeAutospacing="0" w:after="0" w:afterAutospacing="0" w:line="560" w:lineRule="exact"/>
        <w:ind w:left="329" w:leftChars="137" w:firstLine="321" w:firstLineChars="100"/>
        <w:jc w:val="both"/>
        <w:textAlignment w:val="auto"/>
        <w:rPr>
          <w:rStyle w:val="7"/>
          <w:rFonts w:hint="eastAsia" w:ascii="仿宋_GB2312" w:hAnsi="仿宋_GB2312" w:eastAsia="仿宋_GB2312" w:cs="仿宋_GB2312"/>
          <w:sz w:val="32"/>
          <w:szCs w:val="32"/>
        </w:rPr>
      </w:pPr>
      <w:r>
        <w:rPr>
          <w:rStyle w:val="7"/>
          <w:rFonts w:hint="eastAsia" w:ascii="仿宋_GB2312" w:hAnsi="仿宋_GB2312" w:eastAsia="仿宋_GB2312" w:cs="仿宋_GB2312"/>
          <w:sz w:val="32"/>
          <w:szCs w:val="32"/>
        </w:rPr>
        <w:t>国有资本经营预算收入支出决算情况</w:t>
      </w:r>
    </w:p>
    <w:p>
      <w:pPr>
        <w:pStyle w:val="4"/>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2022年度国有资本经营预算财政拨款收入0.00万元；年初结转和结余0.00万元；支出0.00万元，其中基本支出0.00万元，项目支出0.00万元；年末结转和结余0.00万元</w:t>
      </w:r>
      <w:r>
        <w:rPr>
          <w:rStyle w:val="7"/>
          <w:rFonts w:hint="eastAsia" w:ascii="仿宋_GB2312" w:hAnsi="仿宋_GB2312" w:eastAsia="仿宋_GB2312" w:cs="仿宋_GB2312"/>
          <w:sz w:val="32"/>
          <w:szCs w:val="32"/>
        </w:rPr>
        <w:t>。</w:t>
      </w:r>
      <w:r>
        <w:rPr>
          <w:rFonts w:hint="eastAsia" w:ascii="仿宋_GB2312" w:hAnsi="仿宋_GB2312" w:eastAsia="仿宋_GB2312" w:cs="仿宋_GB2312"/>
          <w:sz w:val="32"/>
          <w:szCs w:val="32"/>
        </w:rPr>
        <w:t>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sz w:val="32"/>
          <w:szCs w:val="32"/>
        </w:rPr>
      </w:pPr>
      <w:r>
        <w:rPr>
          <w:rStyle w:val="7"/>
          <w:rFonts w:hint="eastAsia" w:ascii="仿宋_GB2312" w:hAnsi="仿宋_GB2312" w:eastAsia="仿宋_GB2312" w:cs="仿宋_GB2312"/>
          <w:sz w:val="32"/>
          <w:szCs w:val="32"/>
        </w:rPr>
        <w:t>十、关于机关运行经费支出说明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本部门2022年度机关运行经费支出0.00万元，</w:t>
      </w:r>
      <w:r>
        <w:rPr>
          <w:rFonts w:hint="eastAsia" w:ascii="仿宋_GB2312" w:hAnsi="仿宋_GB2312" w:eastAsia="仿宋_GB2312" w:cs="仿宋_GB2312"/>
          <w:sz w:val="32"/>
          <w:szCs w:val="32"/>
          <w:lang w:eastAsia="zh-CN"/>
        </w:rPr>
        <w:t>与</w:t>
      </w:r>
      <w:r>
        <w:rPr>
          <w:rFonts w:hint="eastAsia" w:ascii="仿宋_GB2312" w:hAnsi="仿宋_GB2312" w:eastAsia="仿宋_GB2312" w:cs="仿宋_GB2312"/>
          <w:sz w:val="32"/>
          <w:szCs w:val="32"/>
        </w:rPr>
        <w:t>年初预算数</w:t>
      </w:r>
      <w:r>
        <w:rPr>
          <w:rFonts w:hint="eastAsia" w:ascii="仿宋_GB2312" w:hAnsi="仿宋_GB2312" w:eastAsia="仿宋_GB2312" w:cs="仿宋_GB2312"/>
          <w:sz w:val="32"/>
          <w:szCs w:val="32"/>
          <w:lang w:eastAsia="zh-CN"/>
        </w:rPr>
        <w:t>相同</w:t>
      </w:r>
      <w:r>
        <w:rPr>
          <w:rFonts w:hint="eastAsia" w:ascii="仿宋_GB2312" w:hAnsi="仿宋_GB2312" w:eastAsia="仿宋_GB2312" w:cs="仿宋_GB2312"/>
          <w:sz w:val="32"/>
          <w:szCs w:val="32"/>
        </w:rPr>
        <w:t>。</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十一、一般性支出情况说明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2022年本部门开支会议费0.00万元；开支培训费0.95万元，</w:t>
      </w:r>
      <w:r>
        <w:rPr>
          <w:rFonts w:hint="eastAsia" w:ascii="仿宋_GB2312" w:hAnsi="仿宋_GB2312" w:eastAsia="仿宋_GB2312" w:cs="仿宋_GB2312"/>
          <w:sz w:val="32"/>
          <w:szCs w:val="32"/>
          <w:shd w:val="clear" w:color="auto" w:fill="FFFFFF"/>
          <w:lang w:eastAsia="zh-CN"/>
        </w:rPr>
        <w:t>用于开展事业单位工作人员年度培训，人数</w:t>
      </w:r>
      <w:r>
        <w:rPr>
          <w:rFonts w:hint="eastAsia" w:ascii="仿宋_GB2312" w:hAnsi="仿宋_GB2312" w:eastAsia="仿宋_GB2312" w:cs="仿宋_GB2312"/>
          <w:sz w:val="32"/>
          <w:szCs w:val="32"/>
          <w:shd w:val="clear" w:color="auto" w:fill="FFFFFF"/>
          <w:lang w:val="en-US" w:eastAsia="zh-CN"/>
        </w:rPr>
        <w:t>27</w:t>
      </w:r>
      <w:r>
        <w:rPr>
          <w:rFonts w:hint="eastAsia" w:ascii="仿宋_GB2312" w:hAnsi="仿宋_GB2312" w:eastAsia="仿宋_GB2312" w:cs="仿宋_GB2312"/>
          <w:sz w:val="32"/>
          <w:szCs w:val="32"/>
          <w:shd w:val="clear" w:color="auto" w:fill="FFFFFF"/>
          <w:lang w:eastAsia="zh-CN"/>
        </w:rPr>
        <w:t>人，内容为公共科目、专业科目</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举办节庆、晚会、论坛、赛事活动开支。</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十二、关于政府采购支出说明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本部门2022年度政府采购支出总额45.07万元，其中：政府采购货物支出39.41 万元、政府采购工程支出0.00万元、政府采购服务支出5.66万元。授予中小企业合同金额45.07万元，占政府采购支出总额的100.00%，其中：授予小微企业合同金额45.07万元，占政府采购支出总额的100.00%。货物采购授予中小企业合同金额占货物支出金额的</w:t>
      </w:r>
      <w:r>
        <w:rPr>
          <w:rFonts w:hint="eastAsia" w:ascii="仿宋_GB2312" w:hAnsi="仿宋_GB2312" w:eastAsia="仿宋_GB2312" w:cs="仿宋_GB2312"/>
          <w:sz w:val="32"/>
          <w:szCs w:val="32"/>
          <w:lang w:val="en-US" w:eastAsia="zh-CN"/>
        </w:rPr>
        <w:t>100.00</w:t>
      </w:r>
      <w:r>
        <w:rPr>
          <w:rFonts w:hint="eastAsia" w:ascii="仿宋_GB2312" w:hAnsi="仿宋_GB2312" w:eastAsia="仿宋_GB2312" w:cs="仿宋_GB2312"/>
          <w:sz w:val="32"/>
          <w:szCs w:val="32"/>
        </w:rPr>
        <w:t>%，工程采购授予中小企业合同金额占工程支出金额的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%，服务采购授予中小企业合同金额占服务支出金额的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十三、关于国有资产占用情况说明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截至2022年12月31日，本单位共有车辆1辆，其中，主要领导干部用车0辆，机要通信用车1辆、应急保障用车0辆、执法执勤用车0辆、特种专业技术用车0辆、其他用车0辆；单位价值50万元以上通用设备</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台（套）；单位价值100万元以上专用设备</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台（套）。</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2"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十四、关于2022年度预算绩效情况的说明</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w:t>
      </w:r>
      <w:r>
        <w:rPr>
          <w:rStyle w:val="7"/>
          <w:rFonts w:hint="eastAsia" w:ascii="仿宋_GB2312" w:hAnsi="仿宋_GB2312" w:eastAsia="仿宋_GB2312" w:cs="仿宋_GB2312"/>
          <w:b w:val="0"/>
          <w:bCs w:val="0"/>
          <w:sz w:val="32"/>
          <w:szCs w:val="32"/>
        </w:rPr>
        <w:t>（一）部门整体支出绩效情况</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根据预算绩效管理要求，我部门组织对202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年度一般公共预算项目支出全面开展绩效自评，本部门202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年整体支出1198.51万元，其中项目支出169.7万元，无重点项目支出。其中，项目</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个，共涉及资金169.7万元，占一般公共预算项目支出总额的100%。</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bCs/>
          <w:kern w:val="2"/>
          <w:sz w:val="32"/>
          <w:szCs w:val="32"/>
        </w:rPr>
      </w:pPr>
      <w:r>
        <w:rPr>
          <w:rFonts w:hint="eastAsia" w:ascii="仿宋_GB2312" w:hAnsi="仿宋_GB2312" w:eastAsia="仿宋_GB2312" w:cs="仿宋_GB2312"/>
          <w:sz w:val="32"/>
          <w:szCs w:val="32"/>
        </w:rPr>
        <w:t>组织对本单位开展部门整体支出绩效评价，从评价情况来看，</w:t>
      </w:r>
      <w:r>
        <w:rPr>
          <w:rFonts w:hint="eastAsia" w:ascii="仿宋_GB2312" w:hAnsi="仿宋_GB2312" w:eastAsia="仿宋_GB2312" w:cs="仿宋_GB2312"/>
          <w:bCs/>
          <w:kern w:val="2"/>
          <w:sz w:val="32"/>
          <w:szCs w:val="32"/>
        </w:rPr>
        <w:t>资金管理规范，制定了《</w:t>
      </w:r>
      <w:r>
        <w:rPr>
          <w:rFonts w:hint="eastAsia" w:ascii="仿宋_GB2312" w:hAnsi="仿宋_GB2312" w:eastAsia="仿宋_GB2312" w:cs="仿宋_GB2312"/>
          <w:bCs/>
          <w:kern w:val="2"/>
          <w:sz w:val="32"/>
          <w:szCs w:val="32"/>
          <w:lang w:eastAsia="zh-CN"/>
        </w:rPr>
        <w:t>长沙市企业服务中心贯彻落实“三重一大”事项集体决策制度的实施办法（试行）</w:t>
      </w:r>
      <w:r>
        <w:rPr>
          <w:rFonts w:hint="eastAsia" w:ascii="仿宋_GB2312" w:hAnsi="仿宋_GB2312" w:eastAsia="仿宋_GB2312" w:cs="仿宋_GB2312"/>
          <w:bCs/>
          <w:kern w:val="2"/>
          <w:sz w:val="32"/>
          <w:szCs w:val="32"/>
        </w:rPr>
        <w:t>》、《</w:t>
      </w:r>
      <w:r>
        <w:rPr>
          <w:rFonts w:hint="eastAsia" w:ascii="仿宋_GB2312" w:hAnsi="仿宋_GB2312" w:eastAsia="仿宋_GB2312" w:cs="仿宋_GB2312"/>
          <w:bCs/>
          <w:kern w:val="2"/>
          <w:sz w:val="32"/>
          <w:szCs w:val="32"/>
          <w:lang w:eastAsia="zh-CN"/>
        </w:rPr>
        <w:t>长沙市企业服务中心财务管理制度（暂行）</w:t>
      </w:r>
      <w:r>
        <w:rPr>
          <w:rFonts w:hint="eastAsia" w:ascii="仿宋_GB2312" w:hAnsi="仿宋_GB2312" w:eastAsia="仿宋_GB2312" w:cs="仿宋_GB2312"/>
          <w:bCs/>
          <w:kern w:val="2"/>
          <w:sz w:val="32"/>
          <w:szCs w:val="32"/>
        </w:rPr>
        <w:t>》等</w:t>
      </w:r>
      <w:r>
        <w:rPr>
          <w:rFonts w:hint="eastAsia" w:ascii="仿宋_GB2312" w:hAnsi="仿宋_GB2312" w:eastAsia="仿宋_GB2312" w:cs="仿宋_GB2312"/>
          <w:bCs/>
          <w:kern w:val="2"/>
          <w:sz w:val="32"/>
          <w:szCs w:val="32"/>
          <w:lang w:eastAsia="zh-CN"/>
        </w:rPr>
        <w:t>一系列管理制度</w:t>
      </w:r>
      <w:r>
        <w:rPr>
          <w:rFonts w:hint="eastAsia" w:ascii="仿宋_GB2312" w:hAnsi="仿宋_GB2312" w:eastAsia="仿宋_GB2312" w:cs="仿宋_GB2312"/>
          <w:bCs/>
          <w:kern w:val="2"/>
          <w:sz w:val="32"/>
          <w:szCs w:val="32"/>
        </w:rPr>
        <w:t>，对专项资金的管理制度进行了详细规定，保障了财政资金的安全</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kern w:val="2"/>
          <w:sz w:val="32"/>
          <w:szCs w:val="32"/>
        </w:rPr>
        <w:t>和高效运行</w:t>
      </w:r>
      <w:r>
        <w:rPr>
          <w:rFonts w:hint="eastAsia" w:ascii="仿宋_GB2312" w:hAnsi="仿宋_GB2312" w:eastAsia="仿宋_GB2312" w:cs="仿宋_GB2312"/>
          <w:bCs/>
          <w:kern w:val="2"/>
          <w:sz w:val="32"/>
          <w:szCs w:val="32"/>
          <w:lang w:eastAsia="zh-CN"/>
        </w:rPr>
        <w:t>；</w:t>
      </w:r>
      <w:r>
        <w:rPr>
          <w:rFonts w:hint="eastAsia" w:ascii="仿宋_GB2312" w:hAnsi="仿宋_GB2312" w:eastAsia="仿宋_GB2312" w:cs="仿宋_GB2312"/>
          <w:kern w:val="0"/>
          <w:sz w:val="32"/>
          <w:szCs w:val="32"/>
        </w:rPr>
        <w:t>工作有序开展，资产按财政要求清理报废，职工大学资产整体移交，平台建设按进度有序推进，定期对市重点100个产业项目开展调度服务，积极构建“两库”、</w:t>
      </w:r>
      <w:r>
        <w:rPr>
          <w:rFonts w:hint="eastAsia" w:ascii="仿宋_GB2312" w:hAnsi="仿宋_GB2312" w:eastAsia="仿宋_GB2312" w:cs="仿宋_GB2312"/>
          <w:bCs/>
          <w:kern w:val="0"/>
          <w:sz w:val="32"/>
          <w:szCs w:val="32"/>
        </w:rPr>
        <w:t>开展了“携手行动” “供需协同”产销对接、</w:t>
      </w:r>
      <w:r>
        <w:rPr>
          <w:rFonts w:hint="eastAsia" w:ascii="仿宋_GB2312" w:hAnsi="仿宋_GB2312" w:eastAsia="仿宋_GB2312" w:cs="仿宋_GB2312"/>
          <w:kern w:val="0"/>
          <w:sz w:val="32"/>
          <w:szCs w:val="32"/>
        </w:rPr>
        <w:t>融资服务等</w:t>
      </w:r>
      <w:r>
        <w:rPr>
          <w:rFonts w:hint="eastAsia" w:ascii="仿宋_GB2312" w:hAnsi="仿宋_GB2312" w:eastAsia="仿宋_GB2312" w:cs="仿宋_GB2312"/>
          <w:bCs/>
          <w:kern w:val="0"/>
          <w:sz w:val="32"/>
          <w:szCs w:val="32"/>
        </w:rPr>
        <w:t>工作，全部完成年初既定目标。</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Style w:val="7"/>
          <w:rFonts w:hint="eastAsia" w:ascii="仿宋_GB2312" w:hAnsi="仿宋_GB2312" w:eastAsia="仿宋_GB2312" w:cs="仿宋_GB2312"/>
          <w:sz w:val="32"/>
          <w:szCs w:val="32"/>
        </w:rPr>
        <w:t>（二）存在的问题及原因分析</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color w:val="000000"/>
          <w:kern w:val="2"/>
          <w:sz w:val="32"/>
          <w:szCs w:val="32"/>
          <w:lang w:val="en-US" w:eastAsia="zh-CN" w:bidi="ar-SA"/>
        </w:rPr>
        <w:t>在资产管理方面，存在资产</w:t>
      </w:r>
      <w:r>
        <w:rPr>
          <w:rFonts w:hint="eastAsia" w:ascii="仿宋_GB2312" w:hAnsi="仿宋_GB2312" w:eastAsia="仿宋_GB2312" w:cs="仿宋_GB2312"/>
          <w:color w:val="000000"/>
          <w:kern w:val="2"/>
          <w:sz w:val="32"/>
          <w:szCs w:val="32"/>
          <w:lang w:val="en-US" w:eastAsia="zh-CN" w:bidi="ar-SA"/>
        </w:rPr>
        <w:t>系统新增资产卡片录入信息不规范、信息更新不及时的问题。主要原因是</w:t>
      </w:r>
      <w:r>
        <w:rPr>
          <w:rFonts w:hint="eastAsia" w:ascii="仿宋_GB2312" w:hAnsi="仿宋_GB2312" w:eastAsia="仿宋_GB2312" w:cs="仿宋_GB2312"/>
          <w:sz w:val="32"/>
          <w:szCs w:val="32"/>
          <w:lang w:eastAsia="zh-CN"/>
        </w:rPr>
        <w:t>单位地址搬迁，</w:t>
      </w:r>
      <w:r>
        <w:rPr>
          <w:rFonts w:hint="eastAsia" w:ascii="仿宋_GB2312" w:hAnsi="仿宋_GB2312" w:eastAsia="仿宋_GB2312" w:cs="仿宋_GB2312"/>
          <w:color w:val="000000"/>
          <w:kern w:val="2"/>
          <w:sz w:val="32"/>
          <w:szCs w:val="32"/>
          <w:lang w:val="en-US" w:eastAsia="zh-CN" w:bidi="ar-SA"/>
        </w:rPr>
        <w:t>资产保管信息末及时变更。</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48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48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48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48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48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 </w:t>
      </w:r>
    </w:p>
    <w:p>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60" w:lineRule="exact"/>
        <w:ind w:firstLine="480" w:firstLineChars="200"/>
        <w:jc w:val="both"/>
        <w:textAlignment w:val="auto"/>
        <w:rPr>
          <w:rFonts w:hint="eastAsia" w:ascii="仿宋_GB2312" w:hAnsi="仿宋_GB2312" w:eastAsia="仿宋_GB2312" w:cs="仿宋_GB2312"/>
        </w:rPr>
      </w:pPr>
      <w:r>
        <w:rPr>
          <w:rFonts w:hint="eastAsia" w:ascii="仿宋_GB2312" w:hAnsi="仿宋_GB2312" w:eastAsia="仿宋_GB2312" w:cs="仿宋_GB2312"/>
        </w:rPr>
        <w:t> </w:t>
      </w:r>
    </w:p>
    <w:p>
      <w:pPr>
        <w:pStyle w:val="4"/>
        <w:shd w:val="clear" w:color="auto" w:fill="FFFFFF"/>
        <w:jc w:val="center"/>
        <w:rPr>
          <w:rFonts w:hint="eastAsia"/>
          <w:sz w:val="72"/>
          <w:szCs w:val="72"/>
        </w:rPr>
      </w:pPr>
      <w:r>
        <w:rPr>
          <w:rFonts w:hint="eastAsia"/>
          <w:sz w:val="72"/>
          <w:szCs w:val="72"/>
        </w:rPr>
        <w:t>第四部分 </w:t>
      </w:r>
    </w:p>
    <w:p>
      <w:pPr>
        <w:pStyle w:val="4"/>
        <w:shd w:val="clear" w:color="auto" w:fill="FFFFFF"/>
        <w:jc w:val="center"/>
        <w:rPr>
          <w:rFonts w:hint="eastAsia"/>
          <w:sz w:val="72"/>
          <w:szCs w:val="72"/>
        </w:rPr>
      </w:pPr>
      <w:r>
        <w:rPr>
          <w:rFonts w:hint="eastAsia"/>
          <w:sz w:val="72"/>
          <w:szCs w:val="72"/>
        </w:rPr>
        <w:t>名词解释</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一、机关运行经费：为保障行政单位（包括参照公务员法管理的事业单位）运行，用当年财政拨款安排的用于购买货物和服务的各项资金，包括办公及印刷费、邮电费、差旅费、会议费、福利费、日常维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二、基本支出：指保障机构正常运转、完成日常工作任务而发生的人员支出和公用支出。</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三、项目支出：指在基本支出之外为完成特定行政任务和事业发展目标所发生的支出。</w:t>
      </w:r>
    </w:p>
    <w:p>
      <w:pPr>
        <w:keepNext w:val="0"/>
        <w:keepLines w:val="0"/>
        <w:pageBreakBefore w:val="0"/>
        <w:widowControl/>
        <w:kinsoku/>
        <w:wordWrap/>
        <w:overflowPunct/>
        <w:topLinePunct w:val="0"/>
        <w:autoSpaceDE/>
        <w:autoSpaceDN/>
        <w:bidi w:val="0"/>
        <w:adjustRightInd/>
        <w:snapToGrid/>
        <w:spacing w:beforeAutospacing="0" w:afterAutospacing="0" w:line="560" w:lineRule="exact"/>
        <w:ind w:left="0" w:firstLine="640" w:firstLineChars="200"/>
        <w:jc w:val="both"/>
        <w:textAlignment w:val="auto"/>
      </w:pPr>
      <w:r>
        <w:rPr>
          <w:rFonts w:hint="eastAsia" w:ascii="仿宋_GB2312" w:hAnsi="仿宋_GB2312" w:eastAsia="仿宋_GB2312" w:cs="仿宋_GB2312"/>
          <w:sz w:val="32"/>
          <w:szCs w:val="32"/>
          <w:lang w:eastAsia="zh-CN"/>
        </w:rPr>
        <w:t>四、“三公”经费：纳入省财政预算管理的“三公“经费，是指用当年一般公共预算拨款安排的公务接待费、公务用车购置及运行维护费和因公出国（境）费。其中，公务接待费反映单位按规定开支的各类公务接待支出；公务用车购置及运行费反映单位公务用车车辆购置支出（含车辆购置税）及燃料费、维修费、保险费等支出；因公出国（境）费反映单位公务出国（境）的国际旅费、国外城市间交通费、住宿费等支出。</w:t>
      </w:r>
      <w:r>
        <w:t> </w:t>
      </w:r>
    </w:p>
    <w:sectPr>
      <w:pgSz w:w="11907" w:h="16840"/>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DE55CA"/>
    <w:multiLevelType w:val="singleLevel"/>
    <w:tmpl w:val="DCDE55CA"/>
    <w:lvl w:ilvl="0" w:tentative="0">
      <w:start w:val="2"/>
      <w:numFmt w:val="decimal"/>
      <w:suff w:val="nothing"/>
      <w:lvlText w:val="%1、"/>
      <w:lvlJc w:val="left"/>
    </w:lvl>
  </w:abstractNum>
  <w:abstractNum w:abstractNumId="1">
    <w:nsid w:val="FD1EF50B"/>
    <w:multiLevelType w:val="singleLevel"/>
    <w:tmpl w:val="FD1EF50B"/>
    <w:lvl w:ilvl="0" w:tentative="0">
      <w:start w:val="9"/>
      <w:numFmt w:val="chineseCounting"/>
      <w:suff w:val="nothing"/>
      <w:lvlText w:val="%1、"/>
      <w:lvlJc w:val="left"/>
      <w:rPr>
        <w:rFonts w:hint="eastAsia"/>
      </w:rPr>
    </w:lvl>
  </w:abstractNum>
  <w:abstractNum w:abstractNumId="2">
    <w:nsid w:val="FDFCAFB2"/>
    <w:multiLevelType w:val="singleLevel"/>
    <w:tmpl w:val="FDFCAFB2"/>
    <w:lvl w:ilvl="0" w:tentative="0">
      <w:start w:val="2"/>
      <w:numFmt w:val="chineseCounting"/>
      <w:suff w:val="nothing"/>
      <w:lvlText w:val="（%1）"/>
      <w:lvlJc w:val="left"/>
      <w:pPr>
        <w:ind w:left="766" w:leftChars="0" w:firstLine="0" w:firstLineChars="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isplayHorizontalDrawingGridEvery w:val="1"/>
  <w:displayVerticalDrawingGridEvery w:val="1"/>
  <w:noPunctuationKerning w:val="true"/>
  <w:characterSpacingControl w:val="doNotCompress"/>
  <w:compat>
    <w:doNotExpandShiftReturn/>
    <w:doNotSnapToGridInCell/>
    <w:doNotWrapTextWithPunct/>
    <w:doNotUseEastAsianBreakRules/>
    <w:growAutofit/>
    <w:useFELayout/>
    <w:doNotUseIndentAsNumberingTabStop/>
    <w:useAltKinsokuLineBreakRules/>
    <w:compatSetting w:name="compatibilityMode" w:uri="http://schemas.microsoft.com/office/word" w:val="15"/>
    <w:compatSetting w:name="differentiateMultirowTableHeaders" w:uri="http://schemas.microsoft.com/office/word" w:val="1"/>
  </w:compat>
  <w:rsids>
    <w:rsidRoot w:val="004411BB"/>
    <w:rsid w:val="004411BB"/>
    <w:rsid w:val="1C9F41E3"/>
    <w:rsid w:val="27B5DC52"/>
    <w:rsid w:val="3DAF1866"/>
    <w:rsid w:val="53FB463F"/>
    <w:rsid w:val="5EB20342"/>
    <w:rsid w:val="5F4ECBF3"/>
    <w:rsid w:val="5FED3D2D"/>
    <w:rsid w:val="6CFD337E"/>
    <w:rsid w:val="6DFB0F63"/>
    <w:rsid w:val="6FF93704"/>
    <w:rsid w:val="768FFD3E"/>
    <w:rsid w:val="7C320836"/>
    <w:rsid w:val="7DEE5603"/>
    <w:rsid w:val="7E7DEECE"/>
    <w:rsid w:val="7F676889"/>
    <w:rsid w:val="7F6B490C"/>
    <w:rsid w:val="C1CD9DE5"/>
    <w:rsid w:val="EDF77489"/>
    <w:rsid w:val="EDFF2E26"/>
    <w:rsid w:val="FB8B46DA"/>
    <w:rsid w:val="FC7D715B"/>
    <w:rsid w:val="FDB97406"/>
    <w:rsid w:val="FEBFAF9B"/>
    <w:rsid w:val="FFDE8E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First Indent 2"/>
    <w:next w:val="1"/>
    <w:qFormat/>
    <w:uiPriority w:val="0"/>
    <w:pPr>
      <w:widowControl w:val="0"/>
      <w:spacing w:after="120"/>
      <w:ind w:left="420" w:leftChars="200" w:firstLine="420" w:firstLineChars="200"/>
      <w:jc w:val="both"/>
    </w:pPr>
    <w:rPr>
      <w:rFonts w:ascii="Calibri" w:hAnsi="Calibri" w:eastAsia="宋体" w:cs="Times New Roman"/>
      <w:kern w:val="2"/>
      <w:sz w:val="21"/>
      <w:szCs w:val="21"/>
      <w:lang w:val="en-US" w:eastAsia="zh-CN" w:bidi="ar-SA"/>
    </w:rPr>
  </w:style>
  <w:style w:type="paragraph" w:styleId="3">
    <w:name w:val="Body Text"/>
    <w:qFormat/>
    <w:uiPriority w:val="1"/>
    <w:pPr>
      <w:keepNext w:val="0"/>
      <w:keepLines w:val="0"/>
      <w:widowControl w:val="0"/>
      <w:suppressLineNumbers w:val="0"/>
      <w:autoSpaceDE w:val="0"/>
      <w:autoSpaceDN w:val="0"/>
      <w:spacing w:before="0" w:beforeAutospacing="0" w:after="0" w:afterAutospacing="0"/>
      <w:ind w:left="0" w:right="0"/>
      <w:jc w:val="left"/>
    </w:pPr>
    <w:rPr>
      <w:rFonts w:hint="eastAsia" w:ascii="宋体" w:hAnsi="宋体" w:eastAsia="宋体" w:cs="宋体"/>
      <w:kern w:val="0"/>
      <w:sz w:val="32"/>
      <w:szCs w:val="32"/>
      <w:lang w:val="en-US" w:eastAsia="zh-CN" w:bidi="ar"/>
    </w:rPr>
  </w:style>
  <w:style w:type="paragraph" w:styleId="4">
    <w:name w:val="Normal (Web)"/>
    <w:basedOn w:val="1"/>
    <w:semiHidden/>
    <w:unhideWhenUsed/>
    <w:qFormat/>
    <w:uiPriority w:val="99"/>
    <w:pPr>
      <w:spacing w:before="100" w:beforeAutospacing="1" w:after="100" w:afterAutospacing="1"/>
    </w:pPr>
  </w:style>
  <w:style w:type="character" w:styleId="7">
    <w:name w:val="Strong"/>
    <w:basedOn w:val="6"/>
    <w:qFormat/>
    <w:uiPriority w:val="22"/>
    <w:rPr>
      <w:b/>
      <w:bCs/>
    </w:rPr>
  </w:style>
  <w:style w:type="character" w:styleId="8">
    <w:name w:val="Emphasis"/>
    <w:basedOn w:val="6"/>
    <w:qFormat/>
    <w:uiPriority w:val="20"/>
    <w:rPr>
      <w:i/>
      <w:iCs/>
    </w:rPr>
  </w:style>
  <w:style w:type="paragraph" w:customStyle="1" w:styleId="9">
    <w:name w:val="msonormal"/>
    <w:basedOn w:val="1"/>
    <w:qFormat/>
    <w:uiPriority w:val="0"/>
    <w:pPr>
      <w:spacing w:before="100" w:beforeAutospacing="1" w:after="100" w:afterAutospacing="1"/>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3774</Words>
  <Characters>1072</Characters>
  <Lines>8</Lines>
  <Paragraphs>9</Paragraphs>
  <TotalTime>2</TotalTime>
  <ScaleCrop>false</ScaleCrop>
  <LinksUpToDate>false</LinksUpToDate>
  <CharactersWithSpaces>4837</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2023-10-13T16:12:00Z</dcterms:created>
  <dc:creator>Administrator</dc:creator>
  <cp:lastModifiedBy>greatwall</cp:lastModifiedBy>
  <cp:lastPrinted>2023-11-01T06:33:00Z</cp:lastPrinted>
  <dcterms:modified xsi:type="dcterms:W3CDTF">2024-08-27T11:47:31Z</dcterms:modified>
  <dc:title>22公开</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