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b/>
          <w:bCs/>
        </w:rPr>
      </w:pPr>
      <w:bookmarkStart w:id="0" w:name="_GoBack"/>
      <w:bookmarkEnd w:id="0"/>
      <w:r>
        <w:rPr>
          <w:rFonts w:hint="eastAsia" w:ascii="仿宋_GB2312" w:eastAsia="仿宋_GB2312" w:cs="仿宋_GB2312"/>
          <w:b/>
          <w:bCs/>
          <w:sz w:val="32"/>
          <w:szCs w:val="32"/>
          <w:lang w:eastAsia="zh-CN"/>
        </w:rPr>
        <w:t>部门整体支出绩效评价</w:t>
      </w:r>
    </w:p>
    <w:p>
      <w:pPr>
        <w:keepNext w:val="0"/>
        <w:keepLines w:val="0"/>
        <w:widowControl/>
        <w:suppressLineNumbers w:val="0"/>
        <w:ind w:left="0" w:firstLine="140"/>
      </w:pPr>
      <w:r>
        <w:rPr>
          <w:rFonts w:hint="eastAsia" w:ascii="仿宋_GB2312" w:eastAsia="仿宋_GB2312" w:cs="仿宋_GB2312"/>
          <w:sz w:val="24"/>
          <w:szCs w:val="24"/>
          <w:lang w:eastAsia="zh-CN"/>
        </w:rPr>
        <w:t>    填报单位：</w:t>
      </w:r>
      <w:r>
        <w:rPr>
          <w:rFonts w:hint="eastAsia" w:ascii="仿宋_GB2312" w:eastAsia="仿宋_GB2312" w:cs="仿宋_GB2312"/>
          <w:sz w:val="24"/>
          <w:szCs w:val="24"/>
          <w:lang w:val="en-US"/>
        </w:rPr>
        <w:t>长沙市社会科学界联合会</w:t>
      </w:r>
    </w:p>
    <w:tbl>
      <w:tblPr>
        <w:tblStyle w:val="2"/>
        <w:tblW w:w="10264" w:type="dxa"/>
        <w:tblInd w:w="10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4"/>
        <w:gridCol w:w="614"/>
        <w:gridCol w:w="614"/>
        <w:gridCol w:w="614"/>
        <w:gridCol w:w="706"/>
        <w:gridCol w:w="654"/>
        <w:gridCol w:w="1312"/>
        <w:gridCol w:w="662"/>
        <w:gridCol w:w="659"/>
        <w:gridCol w:w="761"/>
        <w:gridCol w:w="668"/>
        <w:gridCol w:w="522"/>
        <w:gridCol w:w="1199"/>
        <w:gridCol w:w="6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财政供养人员情况</w:t>
            </w:r>
          </w:p>
        </w:tc>
        <w:tc>
          <w:tcPr>
            <w:tcW w:w="2560"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b/>
                <w:bCs/>
              </w:rPr>
              <w:t xml:space="preserve">编制数 </w:t>
            </w:r>
          </w:p>
        </w:tc>
        <w:tc>
          <w:tcPr>
            <w:tcW w:w="2560" w:type="dxa"/>
            <w:gridSpan w:val="3"/>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b/>
                <w:bCs/>
                <w:lang w:val="en-US"/>
              </w:rPr>
              <w:t>2019</w:t>
            </w:r>
            <w:r>
              <w:rPr>
                <w:b/>
                <w:bCs/>
              </w:rPr>
              <w:t xml:space="preserve"> 年实际在职人数 </w:t>
            </w:r>
          </w:p>
        </w:tc>
        <w:tc>
          <w:tcPr>
            <w:tcW w:w="3420" w:type="dxa"/>
            <w:gridSpan w:val="3"/>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b/>
                <w:bCs/>
              </w:rPr>
              <w:t xml:space="preserve">控制率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3"/>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420" w:type="dxa"/>
            <w:gridSpan w:val="3"/>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lang w:val="en-US"/>
              </w:rPr>
              <w:t>10</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lang w:val="en-US"/>
              </w:rPr>
              <w:t>11</w:t>
            </w:r>
          </w:p>
        </w:tc>
        <w:tc>
          <w:tcPr>
            <w:tcW w:w="342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lang w:val="en-US"/>
              </w:rPr>
              <w:t>110%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经费控制情况</w:t>
            </w:r>
          </w:p>
        </w:tc>
        <w:tc>
          <w:tcPr>
            <w:tcW w:w="2560" w:type="dxa"/>
            <w:gridSpan w:val="2"/>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b/>
                <w:bCs/>
                <w:lang w:val="en-US"/>
              </w:rPr>
              <w:t>2018</w:t>
            </w:r>
            <w:r>
              <w:rPr>
                <w:b/>
                <w:bCs/>
              </w:rPr>
              <w:t xml:space="preserve"> 年决算数 </w:t>
            </w:r>
          </w:p>
        </w:tc>
        <w:tc>
          <w:tcPr>
            <w:tcW w:w="2560" w:type="dxa"/>
            <w:gridSpan w:val="3"/>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b/>
                <w:bCs/>
                <w:lang w:val="en-US"/>
              </w:rPr>
              <w:t>2019</w:t>
            </w:r>
            <w:r>
              <w:rPr>
                <w:b/>
                <w:bCs/>
              </w:rPr>
              <w:t xml:space="preserve"> 年预算数 </w:t>
            </w:r>
          </w:p>
        </w:tc>
        <w:tc>
          <w:tcPr>
            <w:tcW w:w="3420" w:type="dxa"/>
            <w:gridSpan w:val="3"/>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b/>
                <w:bCs/>
                <w:lang w:val="en-US"/>
              </w:rPr>
              <w:t>2019</w:t>
            </w:r>
            <w:r>
              <w:rPr>
                <w:b/>
                <w:bCs/>
              </w:rPr>
              <w:t xml:space="preserve"> 年决算数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2"/>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3"/>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420" w:type="dxa"/>
            <w:gridSpan w:val="3"/>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项目支出</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186.49</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333.45</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240.87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1.业务工作专项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186.49</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333.45</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240.87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2.运行维护专项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公用经费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30.28</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49.51</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33.94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其中:办公经费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null</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null</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null</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水费、电费、差旅费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null</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null</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null</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部门整体支出预算调整</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null</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null</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null</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三公经费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3.08</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3.8</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2.66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2.出国经费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3.公务接待</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0.58</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0.95</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0.38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1.公务用车配置和维护经费</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2.5</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2.85</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2.28</w:t>
            </w:r>
          </w:p>
        </w:tc>
      </w:tr>
      <w:tr>
        <w:tblPrEx>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其中:公车购置</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left"/>
            </w:pPr>
            <w:r>
              <w:rPr>
                <w:rFonts w:hint="eastAsia" w:ascii="仿宋_GB2312" w:eastAsia="仿宋_GB2312" w:cs="仿宋_GB2312"/>
                <w:sz w:val="24"/>
                <w:szCs w:val="24"/>
              </w:rPr>
              <w:t>公车运行维护</w:t>
            </w:r>
          </w:p>
        </w:tc>
        <w:tc>
          <w:tcPr>
            <w:tcW w:w="256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2.5</w:t>
            </w:r>
          </w:p>
        </w:tc>
        <w:tc>
          <w:tcPr>
            <w:tcW w:w="2560"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2.85</w:t>
            </w:r>
          </w:p>
        </w:tc>
        <w:tc>
          <w:tcPr>
            <w:tcW w:w="3420" w:type="dxa"/>
            <w:gridSpan w:val="3"/>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2.28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楼堂馆所控制情况</w:t>
            </w:r>
          </w:p>
          <w:p>
            <w:pPr>
              <w:keepNext w:val="0"/>
              <w:keepLines w:val="0"/>
              <w:widowControl/>
              <w:suppressLineNumbers w:val="0"/>
              <w:jc w:val="center"/>
            </w:pPr>
            <w:r>
              <w:t>(</w:t>
            </w:r>
            <w:r>
              <w:rPr>
                <w:lang w:val="en-US"/>
              </w:rPr>
              <w:t>2019</w:t>
            </w:r>
            <w:r>
              <w:rPr>
                <w:rFonts w:hint="eastAsia" w:ascii="仿宋_GB2312" w:eastAsia="仿宋_GB2312" w:cs="仿宋_GB2312"/>
                <w:sz w:val="24"/>
                <w:szCs w:val="24"/>
              </w:rPr>
              <w:t>年完工项目）</w:t>
            </w:r>
          </w:p>
        </w:tc>
        <w:tc>
          <w:tcPr>
            <w:tcW w:w="17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批复规模（㎡）</w:t>
            </w:r>
          </w:p>
        </w:tc>
        <w:tc>
          <w:tcPr>
            <w:tcW w:w="170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实际规模（㎡）</w:t>
            </w:r>
          </w:p>
        </w:tc>
        <w:tc>
          <w:tcPr>
            <w:tcW w:w="8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规模控制率</w:t>
            </w:r>
          </w:p>
        </w:tc>
        <w:tc>
          <w:tcPr>
            <w:tcW w:w="1700" w:type="dxa"/>
            <w:gridSpan w:val="2"/>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预算投资（万元）</w:t>
            </w:r>
          </w:p>
        </w:tc>
        <w:tc>
          <w:tcPr>
            <w:tcW w:w="17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实际投资（万元）</w:t>
            </w:r>
          </w:p>
        </w:tc>
        <w:tc>
          <w:tcPr>
            <w:tcW w:w="86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投资概算控制率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7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70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70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7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7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70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700" w:type="dxa"/>
            <w:gridSpan w:val="2"/>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7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6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17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lang w:val="en-US"/>
              </w:rPr>
              <w:t>0</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lang w:val="en-US"/>
              </w:rPr>
              <w:t>0</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lang w:val="en-US"/>
              </w:rPr>
              <w:t>0</w:t>
            </w:r>
          </w:p>
        </w:tc>
        <w:tc>
          <w:tcPr>
            <w:tcW w:w="17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lang w:val="en-US"/>
              </w:rPr>
              <w:t>0</w:t>
            </w:r>
          </w:p>
        </w:tc>
        <w:tc>
          <w:tcPr>
            <w:tcW w:w="170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lang w:val="en-US"/>
              </w:rPr>
              <w:t>0</w:t>
            </w:r>
          </w:p>
        </w:tc>
        <w:tc>
          <w:tcPr>
            <w:tcW w:w="86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lang w:val="en-US"/>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24"/>
                <w:szCs w:val="24"/>
              </w:rPr>
              <w:t>厉行节约保障措施</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Pr>
            <w:r>
              <w:rPr>
                <w:lang w:val="en-US"/>
              </w:rPr>
              <w:t>认真贯彻中央八项规定和省市委纪检和财政相关文件规定和厉行节约的要求，进一步从严格控制三公经费开支，全年三公经费和公用经费相比上年度和预算都有较好的控制。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rFonts w:hint="eastAsia" w:ascii="仿宋_GB2312" w:eastAsia="仿宋_GB2312" w:cs="仿宋_GB2312"/>
                <w:b/>
                <w:bCs/>
                <w:sz w:val="24"/>
                <w:szCs w:val="24"/>
              </w:rPr>
              <w:t>部门概况</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top"/>
          </w:tcPr>
          <w:p>
            <w:pPr>
              <w:keepNext w:val="0"/>
              <w:keepLines w:val="0"/>
              <w:widowControl/>
              <w:suppressLineNumbers w:val="0"/>
            </w:pPr>
            <w:r>
              <w:t>1、</w:t>
            </w:r>
            <w:r>
              <w:rPr>
                <w:lang w:val="en-US"/>
              </w:rPr>
              <w:t>1.在职人员情况:截至2019年底纳入预算编制的人员数字：在编在职11人，中级政府雇员4人，临聘人员3人，退休2人。人员经费按国家规定的工资福利政策标准核定。 2.机构设置:社科联下设两个处室，综合秘书处（学会工作处）和科研组织处。 3.主要职能:组织、推动社会科学学术研究活动，开展国内外学术交流，坚持理论联系实际，为市委、市政府决策服务。 落实《湖南省社会科学普及条例》，全面开展社会科学普及工作。 依法对全市社科类社会组织、社会科学学术团体和民办社科研究机构进行管理。 负责全市哲学社会科学优秀成果评奖的组织工作。 负责中国特色社会主义理论体系研究基地的有关工作。 负责全市社会科学著作出版资助和社会科学基金管理工作。 促进社会科学界的团结、学术团体的沟通、理论工作部门与实际工作部门的联系、社会科学界与自然科学界的协作。 加强社会科学人才队伍建设。</w:t>
            </w:r>
          </w:p>
          <w:p>
            <w:pPr>
              <w:keepNext w:val="0"/>
              <w:keepLines w:val="0"/>
              <w:widowControl/>
              <w:suppressLineNumbers w:val="0"/>
            </w:pPr>
            <w:r>
              <w:t>2、</w:t>
            </w:r>
            <w:r>
              <w:rPr>
                <w:lang w:val="en-US"/>
              </w:rPr>
              <w:t>2019年部门决算支出647.28万元,其中一般公共支出406.41万,项目支出240.87万元。项目支出使用方向为业务工作支出，主要用于重大课题、重点课题、一般课题规划立项及相关工作；科普示范基地建设及社科普及活动；基层社科联建设和学会建设；社科优秀人才和优秀成果评选；社科联委员会议及社科工作会议；《长沙社科》编辑、印刷；社科联网站维护、升级、日常运行及其他等方面。</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rFonts w:hint="eastAsia" w:ascii="仿宋_GB2312" w:eastAsia="仿宋_GB2312" w:cs="仿宋_GB2312"/>
                <w:b/>
                <w:bCs/>
                <w:sz w:val="24"/>
                <w:szCs w:val="24"/>
              </w:rPr>
              <w:t>部门整体支出管理及使用情况</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Pr>
            <w:r>
              <w:t>1、</w:t>
            </w:r>
            <w:r>
              <w:rPr>
                <w:lang w:val="en-US"/>
              </w:rPr>
              <w:t>基本支出主要为部门日常工作支出和人员支出，我单位从制度建设着手，不断加强制度建设，在2018年底对现有制度进行完善修改，编制新的《制度汇编》，组织人员学习，并严格按照制度落实相关要求，推动工作稳步推进。资金管理制度有《长沙市社会科学界联合会（长沙社会科学院）党组工作规则》、《长沙市社会科学界联合会“三重一大”决策制度》、《长沙市社会科学界联合会机关财务管理制度》、《长沙市社会科学界联合会内控制度》《《长沙市社会科学界联合会机关物资管理若干规定》、《长沙市社科联子女统筹医疗报销管理制度》、《长沙市社会科学界联合会机关接待工作若干规定》、《长沙市社会科学界联合会机关车辆管理与驾驶员管理办法》、《长沙市社会科学界联合会机关接待工作若干规定》等</w:t>
            </w:r>
          </w:p>
          <w:p>
            <w:pPr>
              <w:keepNext w:val="0"/>
              <w:keepLines w:val="0"/>
              <w:widowControl/>
              <w:suppressLineNumbers w:val="0"/>
            </w:pPr>
            <w:r>
              <w:t>2、</w:t>
            </w:r>
            <w:r>
              <w:rPr>
                <w:lang w:val="en-US"/>
              </w:rPr>
              <w:t>2019年度专项资金预算333.45万元，用于社科研究课题规划相关工作；科普示范基地建设及社科普及活动；基层社科联建设和学会建设；社科优秀人才和优秀成果评选；社科联委员会议及社科工作会议；《长沙社科》编辑、印刷；社科联网站维护、升级、日常运行及其他等方面。</w:t>
            </w:r>
          </w:p>
          <w:p>
            <w:pPr>
              <w:keepNext w:val="0"/>
              <w:keepLines w:val="0"/>
              <w:widowControl/>
              <w:suppressLineNumbers w:val="0"/>
            </w:pPr>
            <w:r>
              <w:t>3、</w:t>
            </w:r>
            <w:r>
              <w:rPr>
                <w:lang w:val="en-US"/>
              </w:rPr>
              <w:t>2019年度专项资金决算支出240.87万元， 2019年市社科联主要业务工作：组织开展新时代中国特色社会主义思想理论研究；强化社科类社会组织管理；做好项目研究成果转化运用工作；加强新型智库建设；做好社科规划重大项目工作；完成好“营商环境优化年”活动工作任务；做好社科规划项目立项和跟踪管理工作；加强社科研究基地建设；深入开展社科普及活动；加强学术交流；推进社科类社会组织党组织建设；加强社科宣传阵地建设。 工作完成情况：围绕习近平新时代中国特色社会主义思想、新中国成立70周年、弘扬爱国奋斗精神、营商环境优化年等内容，立项1批次课题26个，纳入到社科规划课题管理；组织省会社科界专家召开“培根铸魂，新时代哲学社会科学的新使命”和学习贯彻党的十九届四中全会精神理论研讨会，并在省市主要媒体宣传；组织专家在市级以上报刊发表基地署名理论文章106篇，其中中央“三报一刊”5篇，比2018年4篇多推出1篇，省“一报一刊”42篇，市“一报一网”59篇。 已完成对社科类社会组织9项重大活动报备审批；举办了1期社会组织党建工作培训班；与43个社会组织负责人签订了意识形态责任书，社会组织意识形态重大舆情事件“零发生”。 经专家严格评审，2018年（下半年）和2019年度社科规划项目共结项105个（包括3个重点、79个一般和23个自筹项目）；编辑《成果要报》11期；汇编了《长沙市哲学社会科学优秀成果文库精选（2018）》；完成第二十届社会科学优秀成果评定工作，下发《长沙市第二十届社会科学优秀成果评定结果的通报》（长社字〔2019〕44号），评定结果在长沙晚报等网站上进行公示；项目成果已在各类公开刊物发表论文108篇。 4月哲学社科专家信息管理系统通过验收，新增智库专家28人，从专家库中挑选专家参加2次理论研讨会、1次人才推荐和4次课题评审会；结合2019年2个重大项目，组织智库专家开展课题研究，已初步形成了前期阶段性研究成果；11月20-21日协同省社科联专家去往浏阳开展《创意烟花转型升级的社会根基与前景研究》专题调研，推进社科研究深入基层；市级专家基层行正在探索试行，由岳麓区橘子洲街道承办，就新民学会价值发掘与新民学会旧址提质改造进行调研咨询，8月以来组织多次调研，开展了专家集中研讨，预计2020年春节前后形成咨询报告。 经市委市政府主要领导审定，确定2019年重大项目开展方案，完成2个重大项目《长沙园区转型发展升级研究》、《长沙创新生态建设研究》的立项工作；经初评会议、市直相关部门意见征集、市委市政府主要领导审定、召开结项评审等程序，完成对2018年2个重大项目《长沙对接粤港澳大湾区发展研究》、《城市精细化管理目标体系建设研究》的结项工作；指导督促2018年重大课题项目组在省级以上权威刊物发表4篇文章；（4）召开2018年重大项目成果推介发布会，向有关部门进行了宣传推广，得到了热烈的反响。 加大理论宣传造势，针对“优化营商环境”开展专项研究，在报刊媒体上发表相关理论文章，在《长沙社科》上开设理论专栏；配合做好全市优化营商环境的安排部署，高标准完成相关工作任务；积极推进“互联网+电子政务”，加快推进政务信息系统互联和公共数据共享，实现行政效能提质升级。 制定下发《关于做好2019年度哲学社会科学规划项目申报工作的通知》（长社字〔2019〕8号），明确2019年度哲学社会科学项目选题参考；按规定开展2019年度社科规划项目立项评审工作，共收到153个项目申请，立项2019年市级重点项目5个、一般项目74个，所有立项项目均在市政府网站进行公示；强化2019年重大项目跟踪调度，协助《长沙园区转型发展升级研究》课题组与相关部门开展专题座谈以及赴长沙经开区、高新区和长沙金霞物流产业园调研考察，协调《长沙创新生态建设研究》课题组赴各单位的调研事宜，确保项目研究进度和质量。 已确立研究基地以湘菜产业、现代服务业和会展业等作为主攻方向，联合优势资源，正有序开展项目研究；2018年新建的社科研究基地推出了《长沙园区（基地）高质量发展研究》、《长沙市创新型经济高端人才吸引与集聚策略研究》和《新时代长沙文化创意产业高质量发展策略研究》3项研究成果；对中特基地各分基地、特聘专家开展了1次集中培训；对2017年设立的分基地和特聘专家进行了评估考核并发文通报，重新确定了分基地和特聘研究员队伍。 5月6日在长沙县田汉文化园开展长沙市社科普及活动周启动式；指导历史学会、健康管理学会、时务学堂研究会、尚上心理等开展社科普及活动；开展了市级社科普及基地创建工作，2019年新创建社科普及基地7个；开展了市级社科普及基地评估工作，对29家社科普及基地进行评估，评定优秀社科普及基地11个、合格社科普及基地18个。 参加了第七届长沙中游城市群建设论坛、全国城市社科院第二十九次院长联席会议，提交2篇论文入选参会论文集，武汉、郑州、广州、太原、哈尔滨、郑州等社科院来长开展调研交流；指导商业经济学会开展学术研讨，指导社科类社会组织参加全国大中城市社科联工作会议，推介3篇论文入选论文集；参与2019年全国社科院系统行政管理工作研讨会，积极策划和协办2019年中国伦理学大会。 成立社科类社会组织行业党委，指导11家条件成熟的社科类社会组织成立党支部；指导尚上心理、甲骨文学会党支部挂牌仪式；指导11家党支部开展“不忘初心、牢记使命”主题教育。 《长沙社科》已出版4期；围绕时政热点，在第一期开设“纪念改革开放40周年”专栏，第二期开设“培根铸魂理论研讨”专栏，第三期开设“学习贯彻习近平新时代中国特色社会主义思想”、“优化营商环境”等专栏，第四期开设“</w:t>
            </w:r>
            <w:r>
              <w:rPr>
                <w:rFonts w:hint="eastAsia"/>
                <w:lang w:val="en-US" w:eastAsia="zh-CN"/>
              </w:rPr>
              <w:t>庆祝中华人民共和国成立</w:t>
            </w:r>
            <w:r>
              <w:rPr>
                <w:lang w:val="en-US"/>
              </w:rPr>
              <w:t>成立七十周年”“不忘初心，牢记使命”主题教育专栏，专栏设置紧跟时政，反映热点；就“培根铸魂，新时代哲学社会科学的新使命”理论研讨会于5月24日在省、市党报推出了2个理论专版，组织专家对《习近平总书记在庆祝中华人民共和国成立70周年大会上的讲话》进行阐释，于10月3日在《长沙晚报》推出《汇聚磅礴伟力 阔步伟大征程》的理论专版。 部分社科研究课题资助和社科普及基地资助为预算单位，采取指标调剂的方式拨付资金，未在支付系统中体现。</w:t>
            </w:r>
          </w:p>
          <w:p>
            <w:pPr>
              <w:keepNext w:val="0"/>
              <w:keepLines w:val="0"/>
              <w:widowControl/>
              <w:suppressLineNumbers w:val="0"/>
            </w:pPr>
            <w:r>
              <w:t>4、</w:t>
            </w:r>
            <w:r>
              <w:rPr>
                <w:lang w:val="en-US"/>
              </w:rPr>
              <w:t>《长沙市哲学社会科学规划项目管理办法》、《关于加快推进学会创新发展的若干意见》、《湖南省中国特色社会主义理论体系研究中心长沙市基地工作制度》、《长沙市社会科学普及（示范）基地管理办法（修订）》、《长沙市社科类社会组织举办研讨会、论坛及重要活动管理办法（试行）》、《长沙市社会科学界联合会（长沙社会科学院）党组工作规则》、《长沙市社会科学界联合会“三重一大”决策制度》、《长沙市社会科学界联合会机关财务管理制度》、《长沙市社会科学界联合会内控制度》《《长沙市社会科学界联合会机关物资管理若干规定》、《长沙市社科联子女统筹医疗报销管理制度》、《长沙市社会科学界联合会机关接待工作若干规定》、《长沙市社会科学界联合会机关车辆管理与驾驶员管理办法》等。 我单位从制度建设着手，不断加强制度建设，在2018年底对现有制度进行完善修改，编制新的《制度汇编》，组织人员学习，并严格按照制度落实相关要求，推动工作稳步推进。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rFonts w:hint="eastAsia" w:ascii="仿宋_GB2312" w:eastAsia="仿宋_GB2312" w:cs="仿宋_GB2312"/>
                <w:b/>
                <w:bCs/>
                <w:sz w:val="24"/>
                <w:szCs w:val="24"/>
              </w:rPr>
              <w:t>部门专项组织实施情况</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Pr>
            <w:r>
              <w:t>1、</w:t>
            </w:r>
            <w:r>
              <w:rPr>
                <w:lang w:val="en-US"/>
              </w:rPr>
              <w:t>本单位使用的专项经费不存在招投标和项目验收等情况</w:t>
            </w:r>
          </w:p>
          <w:p>
            <w:pPr>
              <w:keepNext w:val="0"/>
              <w:keepLines w:val="0"/>
              <w:widowControl/>
              <w:suppressLineNumbers w:val="0"/>
            </w:pPr>
            <w:r>
              <w:t>2、</w:t>
            </w:r>
            <w:r>
              <w:rPr>
                <w:lang w:val="en-US"/>
              </w:rPr>
              <w:t>《长沙市哲学社会科学规划项目管理办法》、《关于加快推进学会创新发展的若干意见》、《湖南省中国特色社会主义理论体系研究中心长沙市基地工作制度》、《长沙市社会科学普及（示范）基地管理办法（修订）》、《长沙市社科类社会组织举办研讨会、论坛及重要活动管理办法（试行）》、《长沙市社会科学界联合会（长沙社会科学院）党组工作规则》、《长沙市社会科学界联合会“三重一大”决策制度》、《长沙市社会科学界联合会机关财务管理制度》、《长沙市社会科学界联合会内控制度》《长沙市社会科学界联合会机关物资管理若干规定》、《长沙市社科联子女统筹医疗报销管理制度》、《长沙市社会科学界联合会机关接待工作若干规定》、《长沙市社会科学界联合会机关车辆管理与驾驶员管理办法》等。 在哲学社会科学课题评审邀请纪检组监督，三重一大事项均通过单位党组会，同时邀请纪检组成员到会监督。我单位从制度建设着手，不断加强制度建设，在2018年底对现有制度进行完善修改，编制新的《制度汇编》，组织人员学习，并严格按照制度落实相关要求，推动工作稳步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rFonts w:hint="eastAsia" w:ascii="仿宋_GB2312" w:eastAsia="仿宋_GB2312" w:cs="仿宋_GB2312"/>
                <w:b/>
                <w:bCs/>
                <w:sz w:val="24"/>
                <w:szCs w:val="24"/>
              </w:rPr>
              <w:t xml:space="preserve">资产管理情况 反映部门资产的配置、管理、处置等综合情况。包括制 度建设、管理措施、配置处置的程序等 </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Pr>
            <w:r>
              <w:rPr>
                <w:lang w:val="en-US"/>
              </w:rPr>
              <w:t>在配置方面，根据市财政局有关规定，办公家具和办公设备等固定资产添置和更新实行年度计划申报制度。我单位以“厉行节约，反对浪费”为原则，在每年5月，各处室根据实际工作需要申报下年度固定资产购置计划，由综合处汇总经分管财务负责人和主要负责人审批后报市财政局。 在采购方面，行政处根据年度配置计划和实际工作需要，会同有关处室分批次填报《政府采购项目申报审批表》，经分管财务负责人审批后，报市财政局的政府采购信息化网上平台进行申报，经批准后进入政府采购程序，以“公开、公平、公正”原则进行采购。 在管理方面，本着“简朴、实用、必需”；“以旧换新”为原则。实行固定资产实行谁使用、谁保管、谁负责的原则。完成采购程序后，固定资产由验收小组验收，使用者办理领用手续。资产由使用人负责保管，行政处做好登记、建立资产卡片，并将原始凭证交财会室归档。 在处置方面，办公家具和办公设备等固定资产达到报废年限后，本着厉行节约的原则，经修理修缮后能重新使用的尽可能使用，确实需要报废处置的，由使用处室提出意见，经综合处核实并报分管财务负责人审批后，按程序报市财政局办理报废、处置和销账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rFonts w:hint="eastAsia" w:ascii="仿宋_GB2312" w:eastAsia="仿宋_GB2312" w:cs="仿宋_GB2312"/>
                <w:b/>
                <w:bCs/>
                <w:sz w:val="24"/>
                <w:szCs w:val="24"/>
              </w:rPr>
              <w:t>部门整体支出绩效情况 反映部门履职及履职效益情况</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Pr>
            <w:r>
              <w:rPr>
                <w:lang w:val="en-US"/>
              </w:rPr>
              <w:t>根据2019年决算数据，人员编制10人，在职人员11人，由于军转和调入的人员编制并未及时增加，导致人员控制率超出100%，三公经费决算数并未超过预算数和上年决算数，得到了很好的控制。 围绕习近平新时代中国特色社会主义思想、新中国成立70周年、弘扬爱国奋斗精神、营商环境优化年等内容，立项1批次课题26个，纳入到社科规划课题管理；组织省会社科界专家召开“培根铸魂，新时代哲学社会科学的新使命”和学习贯彻党的十九届四中全会精神理论研讨会，并在省市主要媒体宣传；组织专家在市级以上报刊发表基地署名理论文章106篇，其中中央“三报一刊”5篇，比2018年4篇多推出1篇，省“一报一刊”42篇，市“一报一网”59篇。 已完成对社科类社会组织9项重大活动报备审批；举办了1期社会组织党建工作培训班；与43个社会组织负责人签订了意识形态责任书，社会组织意识形态重大舆情事件“零发生”。 经专家严格评审，2018年（下半年）和2019年度社科规划项目共结项105个（包括3个重点、79个一般和23个自筹项目）；编辑《成果要报》11期；汇编了《长沙市哲学社会科学优秀成果文库精选（2018）》；完成第二十届社会科学优秀成果评定工作，下发《长沙市第二十届社会科学优秀成果评定结果的通报》（长社字〔2019〕44号），评定结果在长沙晚报等网站上进行公示；项目成果已在各类公开刊物发表论文108篇。 4月哲学社科专家信息管理系统通过验收，新增智库专家28人，从专家库中挑选专家参加2次理论研讨会、1次人才推荐和4次课题评审会；结合2019年2个重大项目，组织智库专家开展课题研究，已初步形成了前期阶段性研究成果；11月20-21日协同省社科联专家去往浏阳开展《创意烟花转型升级的社会根基与前景研究》专题调研，推进社科研究深入基层；市级专家基层行正在探索试行，由岳麓区橘子洲街道承办，就新民学会价值发掘与新民学会旧址提质改造进行调研咨询，8月以来组织多次调研，开展了专家集中研讨，预计2020年春节前后形成咨询报告。 经市委市政府主要领导审定，确定2019年重大项目开展方案，完成2个重大项目《长沙园区转型发展升级研究》、《长沙创新生态建设研究》的立项工作；经初评会议、市直相关部门意见征集、市委市政府主要领导审定、召开结项评审等程序，完成对2018年2个重大项目《长沙对接粤港澳大湾区发展研究》、《城市精细化管理目标体系建设研究》的结项工作；指导督促2018年重大课题项目组在省级以上权威刊物发表4篇文章；（4）召开2018年重大项目成果推介发布会，向有关部门进行了宣传推广，得到了热烈的反响。 加大理论宣传造势，针对“优化营商环境”开展专项研究，在报刊媒体上发表相关理论文章，在《长沙社科》上开设理论专栏；配合做好全市优化营商环境的安排部署，高标准完成相关工作任务；积极推进“互联网+电子政务”，加快推进政务信息系统互联和公共数据共享，实现行政效能提质升级。 制定下发《关于做好2019年度哲学社会科学规划项目申报工作的通知》（长社字〔2019〕8号），明确2019年度哲学社会科学项目选题参考；按规定开展2019年度社科规划项目立项评审工作，共收到153个项目申请，立项2019年市级重点项目5个、一般项目74个，所有立项项目均在市政府网站进行公示；强化2019年重大项目跟踪调度，协助《长沙园区转型发展升级研究》课题组与相关部门开展专题座谈以及赴长沙经开区、高新区和长沙金霞物流产业园调研考察，协调《长沙创新生态建设研究》课题组赴各单位的调研事宜，确保项目研究进度和质量。 已确立研究基地以湘菜产业、现代服务业和会展业等作为主攻方向，联合优势资源，正有序开展项目研究；2018年新建的社科研究基地推出了《长沙园区（基地）高质量发展研究》、《长沙市创新型经济高端人才吸引与集聚策略研究》和《新时代长沙文化创意产业高质量发展策略研究》3项研究成果；对中特基地各分基地、特聘专家开展了1次集中培训；对2017年设立的分基地和特聘专家进行了评估考核并发文通报，重新确定了分基地和特聘研究员队伍。 5月6日在长沙县田汉文化园开展长沙市社科普及活动周启动式；指导历史学会、健康管理学会、时务学堂研究会、尚上心理等开展社科普及活动；开展了市级社科普及基地创建工作，2019年新创建社科普及基地7个；开展了市级社科普及基地评估工作，对29家社科普及基地进行评估，评定优秀社科普及基地11个、合格社科普及基地18个。 参加了第七届长沙中游城市群建设论坛、全国城市社科院第二十九次院长联席会议，提交2篇论文入选参会论文集，武汉、郑州、广州、太原、哈尔滨、郑州等社科院来长开展调研交流；指导商业经济学会开展学术研讨，指导社科类社会组织参加全国大中城市社科联工作会议，推介3篇论文入选论文集；参与2019年全国社科院系统行政管理工作研讨会，积极策划和协办2019年中国伦理学大会。 成立社科类社会组织行业党委，指导11家条件成熟的社科类社会组织成立党支部；指导尚上心理、甲骨文学会党支部挂牌仪式；指导11家党支部开展“不忘初心、牢记使命”主题教育。 《长沙社科》已出版4期；围绕时政热点，在第一期开设“纪念改革开放40周年”专栏，第二期开设“培根铸魂理论研讨”专栏，第三期开设“学习贯彻习近平新时代中国特色社会主义思想”、“优化营商环境”等专栏，第四期开设“</w:t>
            </w:r>
            <w:r>
              <w:rPr>
                <w:rFonts w:hint="eastAsia"/>
                <w:lang w:val="en-US" w:eastAsia="zh-CN"/>
              </w:rPr>
              <w:t>庆祝中华人民共和国成立</w:t>
            </w:r>
            <w:r>
              <w:rPr>
                <w:lang w:val="en-US"/>
              </w:rPr>
              <w:t>成立七十周年”“不忘初心，牢记使命”主题教育专栏，专栏设置紧跟时政，反映热点；就“培根铸魂，新时代哲学社会科学的新使命”理论研讨会于5月24日在省、市党报推出了2个理论专版，组织专家对《习近平总书记在庆祝中华人民共和国成立70周年大会上的讲话》进行阐释，于10月3日在《长沙晚报》推出《汇聚磅礴伟力 阔步伟大征程》的理论专版。 严格按照财政局和市社科联财务制度要求规范财政资金使用，修订《长沙市哲学社会科学规划项目管理办法》等相关制度；财政专项资金使用效率达到财政的相关要求；2019年度财政重点绩效评价评价结果为“良”。 特色工作：紧扣中央精神，在党的十九届四中全会召开之后，立即组织社科专家开展理论研究阐释工作，并于11月29日召开“长沙市社科理论界学习贯彻党的十九届四中全会精神理论研讨会”，在《长沙晚报》推出了《把制度优势化为实践力量》的理论专版，并在省市媒体推出专题理论阐释文章20余篇。 所获奖励：长沙市社科联副主席赵景利同志的宣讲报告《正家风 清政风—学习习近平总书记关于家风家教重要论述》获评中宣部优秀理论宣讲报告、湖南省优秀理论宣讲报告，是长沙唯一获奖报告，湖南省委宣传部专门以表扬信的形式在全省进行点名表扬。</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rFonts w:hint="eastAsia" w:ascii="仿宋_GB2312" w:eastAsia="仿宋_GB2312" w:cs="仿宋_GB2312"/>
                <w:b/>
                <w:bCs/>
                <w:sz w:val="24"/>
                <w:szCs w:val="24"/>
              </w:rPr>
              <w:t>存在的主要问题 主要阐述资金安排、使用，资产管理过程中存在的问题</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Pr>
            <w:r>
              <w:rPr>
                <w:lang w:val="en-US"/>
              </w:rPr>
              <w:t>存在预算执行问题。年初编制的预算与实际需求有所差距，导致年内预算追加较大，预算完成率和预算控制率偏低，影响单位评分及评价等次。 由于近两年人员进入。编制并为跟随人员进入增加，故在人员控制方面存在超编现象。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rPr>
                <w:b/>
                <w:bCs/>
              </w:rPr>
            </w:pPr>
            <w:r>
              <w:rPr>
                <w:rFonts w:hint="eastAsia" w:ascii="仿宋_GB2312" w:eastAsia="仿宋_GB2312" w:cs="仿宋_GB2312"/>
                <w:b/>
                <w:bCs/>
                <w:sz w:val="24"/>
                <w:szCs w:val="24"/>
              </w:rPr>
              <w:t>改进措施和有关建议  对存在的问题提出切实可行的改进措施和有关建议等</w:t>
            </w:r>
          </w:p>
        </w:tc>
        <w:tc>
          <w:tcPr>
            <w:tcW w:w="2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Pr>
            <w:r>
              <w:rPr>
                <w:lang w:val="en-US"/>
              </w:rPr>
              <w:t>（1）认真贯彻《预算法》，不断提高思想认识。根据年度工作任务和事业发展计划，客观，合理的提出项目资金计划，分类申报年度单位项目资金预算。坚持先有预算、后有支出，没有预算不得支出理念。  （２）严格执行《预算法》，科学编制部门预算。细化预算指标，提高预算科学性，预算编制前根据年度内单位可预见的工作任务，确定单位年度预算目标，细化预算指标，科学合理编制部门预算，推进预算编制科学化、准确化。 （3）建议优化支出结构。在科学测算的基础上适当提高人员经费、公用经费标准。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一级指标</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权重</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二级指标</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权重</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三级指标</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权重</w:t>
            </w:r>
          </w:p>
        </w:tc>
        <w:tc>
          <w:tcPr>
            <w:tcW w:w="3420"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评价标准</w:t>
            </w:r>
          </w:p>
        </w:tc>
        <w:tc>
          <w:tcPr>
            <w:tcW w:w="4280" w:type="dxa"/>
            <w:gridSpan w:val="4"/>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指标说明</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得分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420"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4280" w:type="dxa"/>
            <w:gridSpan w:val="4"/>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textAlignment w:val="center"/>
            </w:pPr>
            <w:r>
              <w:rPr>
                <w:rFonts w:hint="eastAsia" w:ascii="仿宋_GB2312" w:eastAsia="仿宋_GB2312" w:cs="仿宋_GB2312"/>
                <w:sz w:val="18"/>
                <w:szCs w:val="18"/>
              </w:rPr>
              <w:t>投入</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18</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目标设定</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绩效目标合理性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①有目标，计1分； ②目标明确，细化量化良好，个性指标中量化指标超过3个，计1分，量化指标为2个，计0.5分，2个以下不计分； ③与年度任务数或计划数相对应，计1分，未与年度任务数或计划数相对应，计0分； ④目标与资金匹配良好，逻辑关系明确，计2分，存在明显错误和资金匹配性较差的计0分。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依据绩效目标设定的绩效指标是否清晰、细化、可衡量等，用以反映和考核项目绩效目标的明细化情况。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预算配置</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13</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在职人员控制率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3</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以100%为标准。在职人员控制率≦100%，计5分；每超过一个百分点扣0.5分，扣完为止。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在职人员控制率=（在职人员数/编制数）×100%，在职人员数：部门（单位）实际在职人数，以财政部门确定的部门决算编制口径为准。 编制数：机构编制部门核定批复的部门（单位）的人员编制数。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“三公经费”变动率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“三公经费”变动率≦0，计5分；“三公经费”＞0，每超过一个百分点扣0.5分，扣完为止。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“在公经费”变动率=[（本年度“三公经费”预算数-上年度“三公经费”预算数）/上年度“三公经费”预算数]×100%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重点支出安排率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重点支出安排率100%，计5分；每下降5%，扣2分，扣完为止。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重点安排控制率=（重点项目支出/项目总支出）x100%重点项目支出；根据单位的职能职责，结合当年的重点工作和计划安排情况，部门年度预算优先保障的重要项目支出，项目总支出：单位年度预算安排的项目支出总额。。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textAlignment w:val="center"/>
            </w:pPr>
            <w:r>
              <w:rPr>
                <w:rFonts w:hint="eastAsia" w:ascii="仿宋_GB2312" w:eastAsia="仿宋_GB2312" w:cs="仿宋_GB2312"/>
                <w:sz w:val="18"/>
                <w:szCs w:val="18"/>
              </w:rPr>
              <w:t>过程</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56</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预算执行</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31</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预算执行率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6</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①预算完成率95%以上计3分，95-90%（含），计1.5分，90-80%（含），计1分，小于80%不得分； ②支付进度率95%以上计3分，95-90%（含），计1.5分，90-80%（含），计1分，小于80%不得分。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①单位本年度预算完成数与预算数的比率，用以反映和考核单位预算完成程度； ②单位实际支付进度与既定支付进度的比率，用以反映和考核部门预算执行的及时性和均衡性程度。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预算调整率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预算调整率=0，计5分；0-10%（含），计3分；超过10%不得分。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预算调整率=（预算调整数/预算数）×100%。 预算调整数：单位在本年度内涉及预算的追加、追减或结构调整的资金总和（因落实国家政策、发生不可抗力、上级部门或本级党委政府临时交办而产生的调整除外）。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结转结余率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无结转结余数（含本年度只结转了一次当年上级转移支付资金）得满分，其余情况不得分。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结转结余率=结转结余总额/支出预算数×100% 结转结余总额：单位本年度的结转资金与结余资金之和（以决算为准）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公用经费控制率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100%以下（含）计满分，每超出1%扣1分，扣完为止。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公用经费控制率=（实际支出公用经费总额/预算安排公用经费总额）×100%。 公用经费支出是指部门基本支出中的一般商品和服务支出。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“三公经费”控制率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100%以下（含）计满分，每超出1%扣1分，扣完为止。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“三公经费”控制率=（“三公经费”实际支出数/“三公经费”预算安排数）×100%。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政府采购执行率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100%计满分，每超过（降低）5%扣2分。扣完为止。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政府采购执行率=（实际政府采购金额/政府采购预算数）×100%。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预算管理</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16</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资金使用合规性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8</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①支出符合国家财经法规和财务管理制度规定以及有关专项资金管理办法的规定，2分； ②资金拨付有完整的审批程序和手续，1分； ③项目支出是否专款专用，无随意调整现象，1分； ④支出符合部门预算批复或合同规定使用的用途，1分； ⑤资金使用无截留、挤占、挪用、虚列支出等情况，1分。⑥大额资金使用经单位党组集体讨论决策，1分； ⑦按政府会计准则制度进行账务处理，1分。 以上情况每出现一例不符合要求的扣1分以上，扣完为止。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预决算信息公开性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4</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①规定内容公开预决算信息，1分； ②按规定时限公开预决算信息，1分； ③基础数据信息和会计信息资料真实，1分； ④基础数据信息和会计信息资料完整，1分。 每出现一例不符合要求的扣1分，扣完为止。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管理制度健全性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4</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①财务管理内控制度、会计核算制度等管理制度、有关反馈问题整改落实情况，1分； ②有本部门厉行节约制度，1分； ③相关管理制度合法、合规、完整，1分； ④相关管理制度得到有效执行，1分。 以上各项制度缺少一项扣1分，扣完为止。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资产管理</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9</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资产管理制度健全性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3</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①资产购置编制年度预算，1分； ②资产购置和处置手续齐全，1分； ③资产处置和有偿使用资金足额上缴，1分。 以上每一项不符合规定扣1分，扣完即止。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单位为加强预算管理、规范财务行为而制定的管理制度是否健全完整，用以反映和考核单位预算管理制度对完成主要职责或促进事业发展的保障情况。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资产管理安全性</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①资产配置合理、保管完整，账实相符的，计1分，发现一例不符，扣0.5分，扣完为止； ②不超资产配置标准，计1分，发现一例超过标准的，本项不得分； ③资产处置规范，计1分，发现一例不符，扣0.5分，扣完为止； ④资产购置履行政府采购手续，手续完整，计1分，发现一例不符，扣0.5分，扣完为止； ⑤资产审批手续规范、齐全，计1分，发现一例不符，扣0.5分，扣完为止。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单位的资产是否保存完整、使用合规、配置合理、处置规范、收入及时足额上缴，用以反映和考核单位资产安全运行情况。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固定资产利用率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1</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固定资产利用率100%计1分，每下降1%扣0.2分，扣完为止。</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单位实际在用固定资产总额与所有固定资产总额的比率，用以反映和考核单位固定资产使用效率程度。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textAlignment w:val="center"/>
            </w:pPr>
            <w:r>
              <w:rPr>
                <w:rFonts w:hint="eastAsia" w:ascii="仿宋_GB2312" w:eastAsia="仿宋_GB2312" w:cs="仿宋_GB2312"/>
                <w:sz w:val="18"/>
                <w:szCs w:val="18"/>
              </w:rPr>
              <w:t>产出及效率</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26</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履职产出</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8</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产出指标</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8</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各单位根据其履职主要工作，结合绩效目标和项目性质，对重点工作计划完成数、产出的质量、产出的时效性和有关成本控制情况，各部门根据实际情况有选择的进行设置，并将其细化为相应的个性化指标。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履职效益</w:t>
            </w:r>
          </w:p>
        </w:tc>
        <w:tc>
          <w:tcPr>
            <w:tcW w:w="84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18</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经济效益</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3</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此项指标为设置部门整体支出绩效评价指标时必须考虑的共性要素，可根据部门实际情况有选择的进行设置，并将其细化为相应的个性化指标。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社会效益</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3</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此项指标为设置部门整体支出绩效评价指标时必须考虑的共性要素，可根据部门实际情况有选择的进行设置，并将其细化为相应的个性化指标。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行政效能</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6</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促进部门改进文风会风，加强经费及资产管理，推动网上办事，提高行政效率，降低行政成本效果较好的计6分；一般3分；无效果或者效果不明显0分。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根据部门实际情况评定。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社会公众或服务对象满意度</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6</w:t>
            </w:r>
          </w:p>
        </w:tc>
        <w:tc>
          <w:tcPr>
            <w:tcW w:w="3420" w:type="dxa"/>
            <w:gridSpan w:val="3"/>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90%（含）以上计6分； 80%（含）-90%，计4分； 70%（含）-80%，计2分； 低于70%计0分。</w:t>
            </w:r>
          </w:p>
        </w:tc>
        <w:tc>
          <w:tcPr>
            <w:tcW w:w="42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 xml:space="preserve">社会公众或服务对象是指部门（单位）履行职责而影响到的部门、群体或个人，一般采取社会调查的方式。 </w:t>
            </w:r>
          </w:p>
        </w:tc>
        <w:tc>
          <w:tcPr>
            <w:tcW w:w="8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jc w:val="center"/>
            </w:pPr>
            <w:r>
              <w:rPr>
                <w:rFonts w:hint="eastAsia" w:ascii="仿宋_GB2312" w:eastAsia="仿宋_GB2312" w:cs="仿宋_GB2312"/>
                <w:sz w:val="18"/>
                <w:szCs w:val="18"/>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Pr>
            <w:r>
              <w:rPr>
                <w:rFonts w:hint="eastAsia" w:ascii="仿宋_GB2312" w:eastAsia="仿宋_GB2312" w:cs="仿宋_GB2312"/>
                <w:sz w:val="20"/>
                <w:szCs w:val="20"/>
                <w:lang w:val="en-US"/>
              </w:rPr>
              <w:t> </w:t>
            </w:r>
          </w:p>
          <w:p>
            <w:pPr>
              <w:keepNext w:val="0"/>
              <w:keepLines w:val="0"/>
              <w:widowControl/>
              <w:suppressLineNumbers w:val="0"/>
            </w:pPr>
            <w:r>
              <w:rPr>
                <w:rFonts w:hint="eastAsia" w:ascii="仿宋_GB2312" w:eastAsia="仿宋_GB2312" w:cs="仿宋_GB2312"/>
                <w:sz w:val="20"/>
                <w:szCs w:val="20"/>
                <w:lang w:val="en-US"/>
              </w:rPr>
              <w:t> </w:t>
            </w:r>
          </w:p>
          <w:p>
            <w:pPr>
              <w:keepNext w:val="0"/>
              <w:keepLines w:val="0"/>
              <w:widowControl/>
              <w:suppressLineNumbers w:val="0"/>
            </w:pPr>
            <w:r>
              <w:rPr>
                <w:rFonts w:hint="eastAsia" w:ascii="仿宋_GB2312" w:eastAsia="仿宋_GB2312" w:cs="仿宋_GB2312"/>
                <w:sz w:val="20"/>
                <w:szCs w:val="20"/>
                <w:lang w:val="en-US"/>
              </w:rPr>
              <w:t> </w:t>
            </w:r>
          </w:p>
          <w:p>
            <w:pPr>
              <w:keepNext w:val="0"/>
              <w:keepLines w:val="0"/>
              <w:widowControl/>
              <w:suppressLineNumbers w:val="0"/>
            </w:pPr>
            <w:r>
              <w:rPr>
                <w:rFonts w:hint="eastAsia" w:ascii="仿宋_GB2312" w:eastAsia="仿宋_GB2312" w:cs="仿宋_GB2312"/>
                <w:sz w:val="20"/>
                <w:szCs w:val="20"/>
                <w:lang w:val="en-US"/>
              </w:rPr>
              <w:t> </w:t>
            </w:r>
          </w:p>
          <w:p>
            <w:pPr>
              <w:keepNext w:val="0"/>
              <w:keepLines w:val="0"/>
              <w:widowControl/>
              <w:suppressLineNumbers w:val="0"/>
              <w:jc w:val="left"/>
            </w:pPr>
            <w:r>
              <w:rPr>
                <w:rFonts w:hint="eastAsia" w:ascii="仿宋_GB2312" w:eastAsia="仿宋_GB2312" w:cs="仿宋_GB2312"/>
                <w:sz w:val="28"/>
                <w:szCs w:val="28"/>
              </w:rPr>
              <w:t>审核意见：</w:t>
            </w:r>
          </w:p>
        </w:tc>
        <w:tc>
          <w:tcPr>
            <w:tcW w:w="8560" w:type="dxa"/>
            <w:gridSpan w:val="8"/>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Pr>
            <w:r>
              <w:rPr>
                <w:rFonts w:hint="eastAsia" w:ascii="仿宋_GB2312" w:eastAsia="仿宋_GB2312" w:cs="仿宋_GB2312"/>
                <w:sz w:val="20"/>
                <w:szCs w:val="20"/>
                <w:lang w:val="en-US"/>
              </w:rPr>
              <w:t> </w:t>
            </w:r>
          </w:p>
          <w:p>
            <w:pPr>
              <w:keepNext w:val="0"/>
              <w:keepLines w:val="0"/>
              <w:widowControl/>
              <w:suppressLineNumbers w:val="0"/>
            </w:pPr>
            <w:r>
              <w:rPr>
                <w:rFonts w:hint="eastAsia" w:ascii="仿宋_GB2312" w:eastAsia="仿宋_GB2312" w:cs="仿宋_GB2312"/>
                <w:sz w:val="20"/>
                <w:szCs w:val="20"/>
                <w:lang w:val="en-US"/>
              </w:rPr>
              <w:t> </w:t>
            </w:r>
          </w:p>
          <w:p>
            <w:pPr>
              <w:keepNext w:val="0"/>
              <w:keepLines w:val="0"/>
              <w:widowControl/>
              <w:suppressLineNumbers w:val="0"/>
            </w:pPr>
            <w:r>
              <w:rPr>
                <w:rFonts w:hint="eastAsia" w:ascii="仿宋_GB2312" w:eastAsia="仿宋_GB2312" w:cs="仿宋_GB2312"/>
                <w:sz w:val="20"/>
                <w:szCs w:val="20"/>
                <w:lang w:val="en-US"/>
              </w:rPr>
              <w:t> </w:t>
            </w:r>
          </w:p>
          <w:p>
            <w:pPr>
              <w:keepNext w:val="0"/>
              <w:keepLines w:val="0"/>
              <w:widowControl/>
              <w:suppressLineNumbers w:val="0"/>
            </w:pPr>
            <w:r>
              <w:rPr>
                <w:rFonts w:hint="eastAsia" w:ascii="仿宋_GB2312" w:eastAsia="仿宋_GB2312" w:cs="仿宋_GB2312"/>
                <w:sz w:val="20"/>
                <w:szCs w:val="20"/>
                <w:lang w:val="en-US"/>
              </w:rPr>
              <w:t> </w:t>
            </w:r>
          </w:p>
          <w:p>
            <w:pPr>
              <w:keepNext w:val="0"/>
              <w:keepLines w:val="0"/>
              <w:widowControl/>
              <w:suppressLineNumbers w:val="0"/>
              <w:jc w:val="center"/>
            </w:pPr>
            <w:r>
              <w:rPr>
                <w:rFonts w:hint="eastAsia" w:ascii="仿宋_GB2312" w:eastAsia="仿宋_GB2312" w:cs="仿宋_GB2312"/>
                <w:sz w:val="28"/>
                <w:szCs w:val="28"/>
              </w:rPr>
              <w:t>                单位（盖章）：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0" w:hRule="atLeast"/>
        </w:trPr>
        <w:tc>
          <w:tcPr>
            <w:tcW w:w="5120" w:type="dxa"/>
            <w:gridSpan w:val="6"/>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60" w:type="dxa"/>
            <w:gridSpan w:val="8"/>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bl>
    <w:p>
      <w:pPr>
        <w:rPr>
          <w:sz w:val="24"/>
          <w:szCs w:val="24"/>
        </w:rPr>
      </w:pPr>
    </w:p>
    <w:p/>
    <w:sectPr>
      <w:pgSz w:w="11906" w:h="16838"/>
      <w:pgMar w:top="1440" w:right="1135" w:bottom="1440" w:left="1135"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OWNlMzUwNWYxYTVmYWM3ZmM5MWFhNTU3ZWY3N2UifQ=="/>
  </w:docVars>
  <w:rsids>
    <w:rsidRoot w:val="02B01665"/>
    <w:rsid w:val="02B01665"/>
    <w:rsid w:val="12CC2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Autospacing="0" w:after="0" w:afterAutospacing="0"/>
      <w:ind w:left="0" w:right="0"/>
      <w:jc w:val="both"/>
    </w:pPr>
    <w:rPr>
      <w:rFonts w:hint="default" w:ascii="Times New Roman" w:hAnsi="Times New Roman" w:cs="Times New Roman" w:eastAsiaTheme="minorEastAsia"/>
      <w:kern w:val="0"/>
      <w:sz w:val="21"/>
      <w:szCs w:val="21"/>
      <w:lang w:val="en-US" w:eastAsia="zh-CN" w:bidi="ar"/>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2021-05-24T23:16:00Z</dcterms:created>
  <dc:creator>小敏</dc:creator>
  <cp:lastModifiedBy>周艳</cp:lastModifiedBy>
  <dcterms:modified xsi:type="dcterms:W3CDTF">2024-01-24T08:07:55Z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85D80DF887204662B0C3465A52FDB98D_13</vt:lpwstr>
  </property>
</Properties>
</file>