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600" w:lineRule="exact"/>
        <w:jc w:val="center"/>
        <w:rPr>
          <w:rFonts w:cs="Times New Roman" w:asciiTheme="majorEastAsia" w:hAnsiTheme="majorEastAsia" w:eastAsiaTheme="majorEastAsia"/>
          <w:sz w:val="44"/>
          <w:szCs w:val="44"/>
        </w:rPr>
      </w:pPr>
      <w:bookmarkStart w:id="0" w:name="_GoBack"/>
      <w:bookmarkEnd w:id="0"/>
    </w:p>
    <w:p>
      <w:pPr>
        <w:widowControl w:val="0"/>
        <w:adjustRightInd/>
        <w:snapToGrid/>
        <w:spacing w:line="600" w:lineRule="exact"/>
        <w:jc w:val="center"/>
        <w:rPr>
          <w:rFonts w:cs="Times New Roman" w:asciiTheme="majorEastAsia" w:hAnsiTheme="majorEastAsia" w:eastAsiaTheme="majorEastAsia"/>
          <w:sz w:val="44"/>
          <w:szCs w:val="44"/>
        </w:rPr>
      </w:pPr>
    </w:p>
    <w:p>
      <w:pPr>
        <w:widowControl w:val="0"/>
        <w:adjustRightInd/>
        <w:snapToGrid/>
        <w:spacing w:line="600" w:lineRule="exact"/>
        <w:jc w:val="center"/>
        <w:rPr>
          <w:rFonts w:cs="Times New Roman" w:asciiTheme="majorEastAsia" w:hAnsiTheme="majorEastAsia" w:eastAsiaTheme="majorEastAsia"/>
          <w:sz w:val="44"/>
          <w:szCs w:val="44"/>
        </w:rPr>
      </w:pPr>
      <w:r>
        <w:rPr>
          <w:rFonts w:hint="eastAsia" w:cs="Times New Roman" w:asciiTheme="majorEastAsia" w:hAnsiTheme="majorEastAsia" w:eastAsiaTheme="majorEastAsia"/>
          <w:sz w:val="44"/>
          <w:szCs w:val="44"/>
        </w:rPr>
        <w:t>2021</w:t>
      </w:r>
      <w:r>
        <w:rPr>
          <w:rFonts w:cs="Times New Roman" w:asciiTheme="majorEastAsia" w:hAnsiTheme="majorEastAsia" w:eastAsiaTheme="majorEastAsia"/>
          <w:sz w:val="44"/>
          <w:szCs w:val="44"/>
        </w:rPr>
        <w:t>年度</w:t>
      </w:r>
      <w:r>
        <w:rPr>
          <w:rFonts w:hint="eastAsia" w:cs="Times New Roman" w:asciiTheme="majorEastAsia" w:hAnsiTheme="majorEastAsia" w:eastAsiaTheme="majorEastAsia"/>
          <w:sz w:val="44"/>
          <w:szCs w:val="44"/>
        </w:rPr>
        <w:t>长沙市职业技能鉴定中心</w:t>
      </w:r>
    </w:p>
    <w:p>
      <w:pPr>
        <w:widowControl w:val="0"/>
        <w:adjustRightInd/>
        <w:snapToGrid/>
        <w:spacing w:line="600" w:lineRule="exact"/>
        <w:jc w:val="center"/>
        <w:rPr>
          <w:rFonts w:cs="Times New Roman" w:asciiTheme="majorEastAsia" w:hAnsiTheme="majorEastAsia" w:eastAsiaTheme="majorEastAsia"/>
          <w:sz w:val="44"/>
          <w:szCs w:val="44"/>
        </w:rPr>
      </w:pPr>
      <w:r>
        <w:rPr>
          <w:rFonts w:cs="Times New Roman" w:asciiTheme="majorEastAsia" w:hAnsiTheme="majorEastAsia" w:eastAsiaTheme="majorEastAsia"/>
          <w:sz w:val="44"/>
          <w:szCs w:val="44"/>
        </w:rPr>
        <w:t>整体支出绩效自评报告</w:t>
      </w: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both"/>
        <w:rPr>
          <w:rFonts w:ascii="Times New Roman" w:hAnsi="Times New Roman" w:eastAsia="黑体" w:cs="Times New Roman"/>
          <w:sz w:val="44"/>
          <w:szCs w:val="44"/>
        </w:rPr>
      </w:pPr>
    </w:p>
    <w:p>
      <w:pPr>
        <w:ind w:firstLine="880" w:firstLineChars="200"/>
        <w:jc w:val="center"/>
        <w:rPr>
          <w:rFonts w:ascii="Times New Roman" w:hAnsi="Times New Roman" w:eastAsia="黑体" w:cs="Times New Roman"/>
          <w:sz w:val="44"/>
          <w:szCs w:val="44"/>
        </w:rPr>
      </w:pPr>
    </w:p>
    <w:p>
      <w:pPr>
        <w:ind w:firstLine="880" w:firstLineChars="200"/>
        <w:jc w:val="center"/>
        <w:rPr>
          <w:rFonts w:ascii="Times New Roman" w:hAnsi="Times New Roman" w:eastAsia="黑体" w:cs="Times New Roman"/>
          <w:sz w:val="44"/>
          <w:szCs w:val="44"/>
        </w:rPr>
      </w:pPr>
    </w:p>
    <w:p>
      <w:pPr>
        <w:ind w:firstLine="880" w:firstLineChars="200"/>
        <w:jc w:val="center"/>
        <w:rPr>
          <w:rFonts w:ascii="Times New Roman" w:hAnsi="Times New Roman" w:eastAsia="黑体" w:cs="Times New Roman"/>
          <w:sz w:val="44"/>
          <w:szCs w:val="44"/>
        </w:rPr>
      </w:pPr>
    </w:p>
    <w:p>
      <w:pPr>
        <w:ind w:firstLine="880" w:firstLineChars="200"/>
        <w:jc w:val="cente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单位名称（盖章）：</w:t>
      </w:r>
    </w:p>
    <w:p>
      <w:pPr>
        <w:jc w:val="center"/>
        <w:rPr>
          <w:rFonts w:ascii="Times New Roman" w:hAnsi="Times New Roman" w:eastAsia="黑体" w:cs="Times New Roman"/>
          <w:sz w:val="36"/>
          <w:szCs w:val="36"/>
        </w:rPr>
      </w:pPr>
    </w:p>
    <w:p>
      <w:pPr>
        <w:jc w:val="center"/>
        <w:rPr>
          <w:rFonts w:ascii="Times New Roman" w:hAnsi="Times New Roman" w:eastAsia="黑体" w:cs="Times New Roman"/>
          <w:sz w:val="32"/>
          <w:szCs w:val="32"/>
        </w:rPr>
      </w:pPr>
    </w:p>
    <w:p>
      <w:pPr>
        <w:jc w:val="both"/>
        <w:rPr>
          <w:rFonts w:ascii="Times New Roman" w:hAnsi="Times New Roman" w:eastAsia="黑体" w:cs="Times New Roman"/>
          <w:sz w:val="32"/>
          <w:szCs w:val="32"/>
        </w:rPr>
      </w:pPr>
    </w:p>
    <w:p>
      <w:pPr>
        <w:widowControl w:val="0"/>
        <w:adjustRightInd/>
        <w:snapToGrid/>
        <w:spacing w:line="600" w:lineRule="exac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一、部门概况</w:t>
      </w:r>
    </w:p>
    <w:p>
      <w:pPr>
        <w:widowControl w:val="0"/>
        <w:adjustRightInd/>
        <w:snapToGrid/>
        <w:spacing w:line="600" w:lineRule="exact"/>
        <w:rPr>
          <w:rFonts w:ascii="Times New Roman" w:hAnsi="Times New Roman" w:eastAsia="黑体" w:cs="Times New Roman"/>
          <w:sz w:val="32"/>
          <w:szCs w:val="32"/>
        </w:rPr>
      </w:pPr>
      <w:r>
        <w:rPr>
          <w:rFonts w:ascii="Times New Roman" w:hAnsi="Times New Roman" w:eastAsia="楷体_GB2312" w:cs="Times New Roman"/>
          <w:b/>
          <w:sz w:val="32"/>
          <w:szCs w:val="32"/>
        </w:rPr>
        <w:t>（一）基本情况。</w:t>
      </w:r>
    </w:p>
    <w:p>
      <w:pPr>
        <w:pStyle w:val="4"/>
        <w:shd w:val="clear" w:color="auto" w:fill="FFFFFF"/>
        <w:rPr>
          <w:rFonts w:asciiTheme="minorEastAsia" w:hAnsiTheme="minorEastAsia" w:eastAsiaTheme="minorEastAsia"/>
          <w:sz w:val="28"/>
          <w:szCs w:val="28"/>
        </w:rPr>
      </w:pPr>
      <w:r>
        <w:rPr>
          <w:rFonts w:hint="eastAsia" w:asciiTheme="minorEastAsia" w:hAnsiTheme="minorEastAsia" w:eastAsiaTheme="minorEastAsia"/>
          <w:sz w:val="28"/>
          <w:szCs w:val="28"/>
        </w:rPr>
        <w:t>1．主要职能。</w:t>
      </w:r>
    </w:p>
    <w:p>
      <w:pPr>
        <w:pStyle w:val="4"/>
        <w:shd w:val="clear" w:color="auto" w:fill="FFFFFF"/>
        <w:ind w:firstLine="560" w:firstLineChars="200"/>
        <w:rPr>
          <w:rFonts w:asciiTheme="minorEastAsia" w:hAnsiTheme="minorEastAsia" w:eastAsiaTheme="minorEastAsia"/>
          <w:sz w:val="28"/>
          <w:szCs w:val="28"/>
        </w:rPr>
      </w:pPr>
      <w:r>
        <w:rPr>
          <w:rFonts w:hint="eastAsia" w:cs="Arial" w:asciiTheme="minorEastAsia" w:hAnsiTheme="minorEastAsia" w:eastAsiaTheme="minorEastAsia"/>
          <w:color w:val="000000"/>
          <w:sz w:val="28"/>
          <w:szCs w:val="28"/>
        </w:rPr>
        <w:t>主要负责组织、协调、指导全市职业技能鉴定工作，推动长沙市范围内的职业技能竞赛活动；完成长沙市人力资源和社会保障局交办的其它公益性任务。</w:t>
      </w:r>
    </w:p>
    <w:p>
      <w:pPr>
        <w:pStyle w:val="4"/>
        <w:shd w:val="clear" w:color="auto" w:fill="FFFFFF"/>
        <w:rPr>
          <w:rFonts w:asciiTheme="minorEastAsia" w:hAnsiTheme="minorEastAsia" w:eastAsiaTheme="minorEastAsia"/>
          <w:sz w:val="28"/>
          <w:szCs w:val="28"/>
        </w:rPr>
      </w:pPr>
      <w:r>
        <w:rPr>
          <w:rFonts w:hint="eastAsia" w:asciiTheme="minorEastAsia" w:hAnsiTheme="minorEastAsia" w:eastAsiaTheme="minorEastAsia"/>
          <w:sz w:val="28"/>
          <w:szCs w:val="28"/>
        </w:rPr>
        <w:t>2．机构情况。</w:t>
      </w:r>
    </w:p>
    <w:p>
      <w:pPr>
        <w:shd w:val="clear" w:color="auto" w:fill="FFFFFF"/>
        <w:ind w:firstLine="420" w:firstLineChars="15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长沙市职业技能鉴定中心为长沙市人力资源和社会保障局下属二级机构，财政全额拨款事业单位。</w:t>
      </w:r>
    </w:p>
    <w:p>
      <w:pPr>
        <w:pStyle w:val="4"/>
        <w:shd w:val="clear" w:color="auto" w:fill="FFFFFF"/>
        <w:rPr>
          <w:rFonts w:asciiTheme="minorEastAsia" w:hAnsiTheme="minorEastAsia" w:eastAsiaTheme="minorEastAsia"/>
          <w:sz w:val="28"/>
          <w:szCs w:val="28"/>
        </w:rPr>
      </w:pPr>
      <w:r>
        <w:rPr>
          <w:rFonts w:hint="eastAsia" w:asciiTheme="minorEastAsia" w:hAnsiTheme="minorEastAsia" w:eastAsiaTheme="minorEastAsia"/>
          <w:sz w:val="28"/>
          <w:szCs w:val="28"/>
        </w:rPr>
        <w:t>3．人员情况。</w:t>
      </w:r>
    </w:p>
    <w:p>
      <w:pPr>
        <w:pStyle w:val="4"/>
        <w:shd w:val="clear" w:color="auto" w:fill="FFFFFF"/>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现有编制数为5人，年初实有在编人员4人（其中女职工人数1人），2021年度退休1人，年末实有在编人员3人。另在编在岗聘用人员1名。</w:t>
      </w:r>
    </w:p>
    <w:p>
      <w:pPr>
        <w:widowControl w:val="0"/>
        <w:adjustRightInd/>
        <w:snapToGrid/>
        <w:spacing w:line="600" w:lineRule="exact"/>
        <w:rPr>
          <w:rFonts w:ascii="Times New Roman" w:hAnsi="Times New Roman" w:cs="Times New Roman" w:eastAsiaTheme="minorEastAsia"/>
          <w:b/>
          <w:sz w:val="32"/>
          <w:szCs w:val="32"/>
        </w:rPr>
      </w:pPr>
      <w:r>
        <w:rPr>
          <w:rFonts w:ascii="Times New Roman" w:hAnsi="Times New Roman" w:eastAsia="楷体_GB2312" w:cs="Times New Roman"/>
          <w:b/>
          <w:sz w:val="32"/>
          <w:szCs w:val="32"/>
        </w:rPr>
        <w:t>（二）整体支出规模、使用方向和主要内容、涉及范围等。</w:t>
      </w:r>
    </w:p>
    <w:p>
      <w:pPr>
        <w:shd w:val="clear" w:color="auto" w:fill="FFFFFF"/>
        <w:ind w:firstLine="560" w:firstLineChars="200"/>
        <w:rPr>
          <w:rFonts w:cs="Arial" w:asciiTheme="minorEastAsia" w:hAnsiTheme="minorEastAsia" w:eastAsiaTheme="minorEastAsia"/>
          <w:color w:val="000000"/>
          <w:sz w:val="28"/>
          <w:szCs w:val="28"/>
        </w:rPr>
      </w:pPr>
      <w:r>
        <w:rPr>
          <w:rFonts w:hint="eastAsia" w:asciiTheme="minorEastAsia" w:hAnsiTheme="minorEastAsia" w:eastAsiaTheme="minorEastAsia"/>
          <w:sz w:val="28"/>
          <w:szCs w:val="28"/>
        </w:rPr>
        <w:t>2021年中心财政拨款收入共计634.89万元，全年支出共计634.89万元，收支平衡。全年支出中“基本支出”</w:t>
      </w:r>
      <w:r>
        <w:rPr>
          <w:rFonts w:hint="eastAsia" w:cs="Arial" w:asciiTheme="minorEastAsia" w:hAnsiTheme="minorEastAsia" w:eastAsiaTheme="minorEastAsia"/>
          <w:color w:val="000000"/>
          <w:sz w:val="28"/>
          <w:szCs w:val="28"/>
        </w:rPr>
        <w:t>115.06万元，占总支出18.12%；“项目支出”519.83万元，占总支出的81.88%。</w:t>
      </w:r>
    </w:p>
    <w:p>
      <w:pPr>
        <w:spacing w:line="600" w:lineRule="exact"/>
        <w:rPr>
          <w:rFonts w:ascii="Times New Roman" w:hAnsi="Times New Roman" w:eastAsia="黑体"/>
          <w:sz w:val="32"/>
          <w:szCs w:val="32"/>
        </w:rPr>
      </w:pPr>
      <w:r>
        <w:rPr>
          <w:rFonts w:ascii="Times New Roman" w:hAnsi="Times New Roman" w:eastAsia="黑体"/>
          <w:sz w:val="32"/>
          <w:szCs w:val="32"/>
        </w:rPr>
        <w:t>二、一般公共预算支出情况</w:t>
      </w:r>
    </w:p>
    <w:p>
      <w:pPr>
        <w:widowControl w:val="0"/>
        <w:adjustRightInd/>
        <w:snapToGrid/>
        <w:spacing w:line="600" w:lineRule="exac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（一）基本支出</w:t>
      </w:r>
    </w:p>
    <w:p>
      <w:pPr>
        <w:shd w:val="clear" w:color="auto" w:fill="FFFFFF"/>
        <w:ind w:firstLine="560" w:firstLineChars="200"/>
        <w:rPr>
          <w:rFonts w:cs="Arial" w:asciiTheme="minorEastAsia" w:hAnsiTheme="minorEastAsia" w:eastAsiaTheme="minorEastAsia"/>
          <w:color w:val="000000"/>
          <w:sz w:val="28"/>
          <w:szCs w:val="28"/>
        </w:rPr>
      </w:pPr>
      <w:r>
        <w:rPr>
          <w:rFonts w:cs="Arial" w:asciiTheme="minorEastAsia" w:hAnsiTheme="minorEastAsia" w:eastAsiaTheme="minorEastAsia"/>
          <w:color w:val="000000"/>
          <w:sz w:val="28"/>
          <w:szCs w:val="28"/>
        </w:rPr>
        <w:t>202</w:t>
      </w:r>
      <w:r>
        <w:rPr>
          <w:rFonts w:hint="eastAsia" w:cs="Arial" w:asciiTheme="minorEastAsia" w:hAnsiTheme="minorEastAsia" w:eastAsiaTheme="minorEastAsia"/>
          <w:color w:val="000000"/>
          <w:sz w:val="28"/>
          <w:szCs w:val="28"/>
        </w:rPr>
        <w:t>1</w:t>
      </w:r>
      <w:r>
        <w:rPr>
          <w:rFonts w:cs="Arial" w:asciiTheme="minorEastAsia" w:hAnsiTheme="minorEastAsia" w:eastAsiaTheme="minorEastAsia"/>
          <w:color w:val="000000"/>
          <w:sz w:val="28"/>
          <w:szCs w:val="28"/>
        </w:rPr>
        <w:t>年度一般公共预算财政拨款基本支出</w:t>
      </w:r>
      <w:r>
        <w:rPr>
          <w:rFonts w:hint="eastAsia" w:cs="Arial" w:asciiTheme="minorEastAsia" w:hAnsiTheme="minorEastAsia" w:eastAsiaTheme="minorEastAsia"/>
          <w:color w:val="000000"/>
          <w:sz w:val="28"/>
          <w:szCs w:val="28"/>
        </w:rPr>
        <w:t>115.05</w:t>
      </w:r>
      <w:r>
        <w:rPr>
          <w:rFonts w:cs="Arial" w:asciiTheme="minorEastAsia" w:hAnsiTheme="minorEastAsia" w:eastAsiaTheme="minorEastAsia"/>
          <w:color w:val="000000"/>
          <w:sz w:val="28"/>
          <w:szCs w:val="28"/>
        </w:rPr>
        <w:t>万元。其中：人员经费</w:t>
      </w:r>
      <w:r>
        <w:rPr>
          <w:rFonts w:hint="eastAsia" w:cs="Arial" w:asciiTheme="minorEastAsia" w:hAnsiTheme="minorEastAsia" w:eastAsiaTheme="minorEastAsia"/>
          <w:color w:val="000000"/>
          <w:sz w:val="28"/>
          <w:szCs w:val="28"/>
        </w:rPr>
        <w:t>103.98</w:t>
      </w:r>
      <w:r>
        <w:rPr>
          <w:rFonts w:cs="Arial" w:asciiTheme="minorEastAsia" w:hAnsiTheme="minorEastAsia" w:eastAsiaTheme="minorEastAsia"/>
          <w:color w:val="000000"/>
          <w:sz w:val="28"/>
          <w:szCs w:val="28"/>
        </w:rPr>
        <w:t>万元，主要包括：基本工资、津贴补贴、伙食补助费、绩效工资、机关事业单位基本养老保险缴费、职业年金缴费、其他社会保障缴费、其他工资福利支出、生活补助、住房公积金、其他对个人和家庭的补助支出……；公用经费</w:t>
      </w:r>
      <w:r>
        <w:rPr>
          <w:rFonts w:hint="eastAsia" w:cs="Arial" w:asciiTheme="minorEastAsia" w:hAnsiTheme="minorEastAsia" w:eastAsiaTheme="minorEastAsia"/>
          <w:color w:val="000000"/>
          <w:sz w:val="28"/>
          <w:szCs w:val="28"/>
        </w:rPr>
        <w:t>11.07</w:t>
      </w:r>
      <w:r>
        <w:rPr>
          <w:rFonts w:cs="Arial" w:asciiTheme="minorEastAsia" w:hAnsiTheme="minorEastAsia" w:eastAsiaTheme="minorEastAsia"/>
          <w:color w:val="000000"/>
          <w:sz w:val="28"/>
          <w:szCs w:val="28"/>
        </w:rPr>
        <w:t>万元，主要包括：办公费、印刷费、水费、电费、差旅费维修（护）费、培训费、工会经费、福利费、其他商品和服务支出。</w:t>
      </w:r>
    </w:p>
    <w:p>
      <w:pPr>
        <w:shd w:val="clear" w:color="auto" w:fill="FFFFFF"/>
        <w:ind w:firstLine="560" w:firstLineChars="200"/>
        <w:rPr>
          <w:rFonts w:cs="Arial" w:asciiTheme="minorEastAsia" w:hAnsiTheme="minorEastAsia" w:eastAsiaTheme="minorEastAsia"/>
          <w:color w:val="000000"/>
          <w:sz w:val="28"/>
          <w:szCs w:val="28"/>
        </w:rPr>
      </w:pPr>
      <w:r>
        <w:rPr>
          <w:rFonts w:hint="eastAsia" w:cs="Arial" w:asciiTheme="minorEastAsia" w:hAnsiTheme="minorEastAsia" w:eastAsiaTheme="minorEastAsia"/>
          <w:color w:val="000000"/>
          <w:sz w:val="28"/>
          <w:szCs w:val="28"/>
        </w:rPr>
        <w:t>2021年无“三公”经费支出。</w:t>
      </w:r>
    </w:p>
    <w:p>
      <w:pPr>
        <w:widowControl w:val="0"/>
        <w:adjustRightInd/>
        <w:snapToGrid/>
        <w:spacing w:line="600" w:lineRule="exact"/>
        <w:rPr>
          <w:rFonts w:ascii="Times New Roman" w:hAnsi="Times New Roman" w:cs="Times New Roman" w:eastAsiaTheme="minorEastAsia"/>
          <w:b/>
          <w:bCs/>
          <w:sz w:val="32"/>
          <w:szCs w:val="32"/>
        </w:rPr>
      </w:pPr>
      <w:r>
        <w:rPr>
          <w:rFonts w:ascii="Times New Roman" w:hAnsi="Times New Roman" w:eastAsia="楷体_GB2312" w:cs="Times New Roman"/>
          <w:b/>
          <w:bCs/>
          <w:sz w:val="32"/>
          <w:szCs w:val="32"/>
        </w:rPr>
        <w:t>（二）项目支出</w:t>
      </w:r>
    </w:p>
    <w:p>
      <w:pPr>
        <w:ind w:firstLine="560" w:firstLineChars="200"/>
        <w:rPr>
          <w:rFonts w:asciiTheme="minorEastAsia" w:hAnsiTheme="minorEastAsia" w:eastAsiaTheme="minorEastAsia"/>
          <w:sz w:val="28"/>
          <w:szCs w:val="28"/>
        </w:rPr>
      </w:pPr>
      <w:r>
        <w:rPr>
          <w:rFonts w:hint="eastAsia" w:cs="Arial" w:asciiTheme="minorEastAsia" w:hAnsiTheme="minorEastAsia" w:eastAsiaTheme="minorEastAsia"/>
          <w:color w:val="000000"/>
          <w:sz w:val="28"/>
          <w:szCs w:val="28"/>
        </w:rPr>
        <w:t>2021年项目名称为“</w:t>
      </w:r>
      <w:r>
        <w:rPr>
          <w:rFonts w:hint="eastAsia" w:asciiTheme="minorEastAsia" w:hAnsiTheme="minorEastAsia" w:eastAsiaTheme="minorEastAsia"/>
          <w:sz w:val="28"/>
          <w:szCs w:val="28"/>
        </w:rPr>
        <w:t>第一届职业技能大赛</w:t>
      </w:r>
      <w:r>
        <w:rPr>
          <w:rFonts w:hint="eastAsia" w:cs="Arial" w:asciiTheme="minorEastAsia" w:hAnsiTheme="minorEastAsia" w:eastAsiaTheme="minorEastAsia"/>
          <w:color w:val="000000"/>
          <w:sz w:val="28"/>
          <w:szCs w:val="28"/>
        </w:rPr>
        <w:t>”，项目支出519.83万元，由财政全额拨款。</w:t>
      </w:r>
      <w:r>
        <w:rPr>
          <w:rFonts w:hint="eastAsia" w:asciiTheme="minorEastAsia" w:hAnsiTheme="minorEastAsia" w:eastAsiaTheme="minorEastAsia"/>
          <w:sz w:val="28"/>
          <w:szCs w:val="28"/>
        </w:rPr>
        <w:t>各项费用委托人才集团全权代理，所有款项都已</w:t>
      </w:r>
      <w:r>
        <w:rPr>
          <w:rFonts w:hint="eastAsia" w:asciiTheme="minorEastAsia" w:hAnsiTheme="minorEastAsia" w:eastAsiaTheme="minorEastAsia"/>
          <w:sz w:val="28"/>
          <w:szCs w:val="28"/>
          <w:lang w:eastAsia="zh-CN"/>
        </w:rPr>
        <w:t>转账</w:t>
      </w:r>
      <w:r>
        <w:rPr>
          <w:rFonts w:hint="eastAsia" w:asciiTheme="minorEastAsia" w:hAnsiTheme="minorEastAsia" w:eastAsiaTheme="minorEastAsia"/>
          <w:sz w:val="28"/>
          <w:szCs w:val="28"/>
        </w:rPr>
        <w:t>人才集团专用账户，本单位只列支大赛奖金明细</w:t>
      </w:r>
      <w:r>
        <w:rPr>
          <w:rFonts w:hint="eastAsia"/>
          <w:sz w:val="21"/>
          <w:szCs w:val="21"/>
        </w:rPr>
        <w:t>，</w:t>
      </w:r>
      <w:r>
        <w:rPr>
          <w:rFonts w:hint="eastAsia" w:asciiTheme="minorEastAsia" w:hAnsiTheme="minorEastAsia" w:eastAsiaTheme="minorEastAsia"/>
          <w:sz w:val="28"/>
          <w:szCs w:val="28"/>
        </w:rPr>
        <w:t>奖金金额为360万元。</w:t>
      </w:r>
    </w:p>
    <w:p>
      <w:pPr>
        <w:widowControl w:val="0"/>
        <w:adjustRightInd/>
        <w:snapToGrid/>
        <w:spacing w:line="600" w:lineRule="exact"/>
        <w:rPr>
          <w:rFonts w:ascii="Times New Roman" w:hAnsi="Times New Roman" w:eastAsia="黑体" w:cs="Times New Roman"/>
          <w:bCs/>
          <w:sz w:val="32"/>
          <w:szCs w:val="32"/>
        </w:rPr>
      </w:pPr>
      <w:r>
        <w:rPr>
          <w:rFonts w:ascii="Times New Roman" w:hAnsi="Times New Roman" w:eastAsia="黑体" w:cs="Times New Roman"/>
          <w:bCs/>
          <w:sz w:val="32"/>
          <w:szCs w:val="32"/>
        </w:rPr>
        <w:t>三、部门项目组织实施情况</w:t>
      </w:r>
    </w:p>
    <w:p>
      <w:pPr>
        <w:widowControl w:val="0"/>
        <w:adjustRightInd/>
        <w:snapToGrid/>
        <w:spacing w:line="600" w:lineRule="exact"/>
        <w:ind w:firstLine="640" w:firstLineChars="200"/>
        <w:jc w:val="both"/>
        <w:rPr>
          <w:rFonts w:ascii="Times New Roman" w:hAnsi="Times New Roman" w:cs="Times New Roman" w:eastAsiaTheme="minorEastAsia"/>
          <w:sz w:val="32"/>
          <w:szCs w:val="32"/>
        </w:rPr>
      </w:pPr>
      <w:r>
        <w:rPr>
          <w:rFonts w:hint="eastAsia" w:ascii="Times New Roman" w:hAnsi="Times New Roman" w:cs="Times New Roman" w:eastAsiaTheme="minorEastAsia"/>
          <w:sz w:val="32"/>
          <w:szCs w:val="32"/>
        </w:rPr>
        <w:t>无</w:t>
      </w:r>
    </w:p>
    <w:p>
      <w:pPr>
        <w:widowControl w:val="0"/>
        <w:adjustRightInd/>
        <w:snapToGrid/>
        <w:spacing w:line="600" w:lineRule="exact"/>
        <w:rPr>
          <w:rFonts w:ascii="Times New Roman" w:hAnsi="Times New Roman" w:eastAsia="黑体" w:cs="Times New Roman"/>
          <w:bCs/>
          <w:sz w:val="32"/>
          <w:szCs w:val="32"/>
        </w:rPr>
      </w:pPr>
      <w:r>
        <w:rPr>
          <w:rFonts w:ascii="Times New Roman" w:hAnsi="Times New Roman" w:eastAsia="黑体" w:cs="Times New Roman"/>
          <w:bCs/>
          <w:sz w:val="32"/>
          <w:szCs w:val="32"/>
        </w:rPr>
        <w:t>四、资产管理情况</w:t>
      </w:r>
    </w:p>
    <w:p>
      <w:pPr>
        <w:widowControl w:val="0"/>
        <w:adjustRightInd/>
        <w:snapToGrid/>
        <w:spacing w:line="600" w:lineRule="exact"/>
        <w:ind w:firstLine="560" w:firstLineChars="200"/>
        <w:rPr>
          <w:rFonts w:cs="Times New Roman" w:asciiTheme="minorEastAsia" w:hAnsiTheme="minorEastAsia" w:eastAsiaTheme="minorEastAsia"/>
          <w:sz w:val="28"/>
          <w:szCs w:val="28"/>
        </w:rPr>
      </w:pPr>
      <w:r>
        <w:rPr>
          <w:rFonts w:hint="eastAsia" w:asciiTheme="minorEastAsia" w:hAnsiTheme="minorEastAsia" w:eastAsiaTheme="minorEastAsia"/>
          <w:sz w:val="28"/>
          <w:szCs w:val="28"/>
        </w:rPr>
        <w:t>2021年只批复人员经费，由于资金不充足，未购置固定资产，暂无资产配置数据。已初步制定资产管理制度。</w:t>
      </w:r>
    </w:p>
    <w:p>
      <w:pPr>
        <w:spacing w:line="600" w:lineRule="exact"/>
        <w:rPr>
          <w:rFonts w:ascii="Times New Roman" w:hAnsi="Times New Roman" w:eastAsia="黑体"/>
          <w:sz w:val="32"/>
          <w:szCs w:val="32"/>
        </w:rPr>
      </w:pPr>
      <w:r>
        <w:rPr>
          <w:rFonts w:ascii="Times New Roman" w:hAnsi="Times New Roman" w:eastAsia="黑体"/>
          <w:sz w:val="32"/>
          <w:szCs w:val="32"/>
        </w:rPr>
        <w:t>五、政府性基金预算支出情况</w:t>
      </w:r>
    </w:p>
    <w:p>
      <w:pPr>
        <w:pStyle w:val="9"/>
        <w:spacing w:line="600" w:lineRule="exact"/>
        <w:ind w:firstLine="560"/>
        <w:rPr>
          <w:rFonts w:ascii="Times New Roman" w:hAnsi="Times New Roman" w:eastAsia="黑体"/>
          <w:sz w:val="28"/>
          <w:szCs w:val="28"/>
        </w:rPr>
      </w:pPr>
      <w:r>
        <w:rPr>
          <w:rFonts w:hint="eastAsia" w:ascii="Times New Roman" w:hAnsi="Times New Roman" w:eastAsia="黑体"/>
          <w:sz w:val="28"/>
          <w:szCs w:val="28"/>
        </w:rPr>
        <w:t xml:space="preserve"> 无</w:t>
      </w:r>
    </w:p>
    <w:p>
      <w:pPr>
        <w:spacing w:line="600" w:lineRule="exact"/>
        <w:rPr>
          <w:rFonts w:ascii="Times New Roman" w:hAnsi="Times New Roman" w:eastAsia="黑体"/>
          <w:sz w:val="32"/>
          <w:szCs w:val="32"/>
        </w:rPr>
      </w:pPr>
      <w:r>
        <w:rPr>
          <w:rFonts w:ascii="Times New Roman" w:hAnsi="Times New Roman" w:eastAsia="黑体"/>
          <w:sz w:val="32"/>
          <w:szCs w:val="32"/>
        </w:rPr>
        <w:t>六、国有资本经营预算支出情况</w:t>
      </w:r>
    </w:p>
    <w:p>
      <w:pPr>
        <w:pStyle w:val="9"/>
        <w:spacing w:line="600" w:lineRule="exact"/>
        <w:ind w:firstLine="640"/>
        <w:rPr>
          <w:rFonts w:ascii="Times New Roman" w:hAnsi="Times New Roman" w:eastAsia="黑体"/>
          <w:sz w:val="28"/>
          <w:szCs w:val="28"/>
        </w:rPr>
      </w:pPr>
      <w:r>
        <w:rPr>
          <w:rFonts w:hint="eastAsia" w:ascii="Times New Roman" w:hAnsi="Times New Roman" w:eastAsia="黑体"/>
          <w:sz w:val="32"/>
          <w:szCs w:val="32"/>
        </w:rPr>
        <w:t xml:space="preserve"> </w:t>
      </w:r>
      <w:r>
        <w:rPr>
          <w:rFonts w:hint="eastAsia" w:ascii="Times New Roman" w:hAnsi="Times New Roman" w:eastAsia="黑体"/>
          <w:sz w:val="28"/>
          <w:szCs w:val="28"/>
        </w:rPr>
        <w:t>无</w:t>
      </w:r>
    </w:p>
    <w:p>
      <w:pPr>
        <w:spacing w:line="600" w:lineRule="exact"/>
        <w:rPr>
          <w:rFonts w:ascii="Times New Roman" w:hAnsi="Times New Roman" w:eastAsia="黑体"/>
          <w:sz w:val="32"/>
          <w:szCs w:val="32"/>
        </w:rPr>
      </w:pPr>
      <w:r>
        <w:rPr>
          <w:rFonts w:ascii="Times New Roman" w:hAnsi="Times New Roman" w:eastAsia="黑体"/>
          <w:sz w:val="32"/>
          <w:szCs w:val="32"/>
        </w:rPr>
        <w:t>七、社会保险基金预算支出情况</w:t>
      </w:r>
    </w:p>
    <w:p>
      <w:pPr>
        <w:pStyle w:val="9"/>
        <w:spacing w:line="600" w:lineRule="exact"/>
        <w:ind w:firstLine="560"/>
        <w:rPr>
          <w:rFonts w:ascii="Times New Roman" w:hAnsi="Times New Roman" w:eastAsia="黑体"/>
          <w:sz w:val="28"/>
          <w:szCs w:val="28"/>
        </w:rPr>
      </w:pPr>
      <w:r>
        <w:rPr>
          <w:rFonts w:hint="eastAsia" w:ascii="Times New Roman" w:hAnsi="Times New Roman" w:eastAsia="黑体"/>
          <w:sz w:val="28"/>
          <w:szCs w:val="28"/>
        </w:rPr>
        <w:t xml:space="preserve"> 无</w:t>
      </w:r>
    </w:p>
    <w:p>
      <w:pPr>
        <w:widowControl w:val="0"/>
        <w:adjustRightInd/>
        <w:snapToGrid/>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八、部门整体支出绩效情况</w:t>
      </w:r>
    </w:p>
    <w:p>
      <w:pPr>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一）紧扣改革主题，技能人才评价社会力量不断加强。在省人社厅的指导下，我市三次公开征集遴选技能人才评价社会组织。经过专业的评估，先后有48家机构获得开展职业技能等级认定的评价资质，全市范围内75个职业工种可以开展职业技能等级认定。进一步扩大的职业技能等级认定覆盖范围，充实了全市技能人才评价力量。</w:t>
      </w:r>
    </w:p>
    <w:p>
      <w:pPr>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二）推动创新发展，专项职业能力工作迈出关键一步。今年，在推进跨境电商技能人才评价创新工作的基础上，鼓励10多家有科技和专业实力的机构，开发并申报了美甲、艾灸等10多个专项职业能力项目，申报到省人社厅。同时，为保证专项职业能力工作发展有力，向财政申请专项经费19万元。</w:t>
      </w:r>
    </w:p>
    <w:p>
      <w:pPr>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三）鼓励百花齐放，各类职业技能竞赛蔚然成风。中心成立以来，积极鼓励支持各行业企业、各系统及区县人社部门，大力开展各类职业技能竞赛，积极倡导技能宝贵，劳动光荣社会风尚，取得良好效果。今年，全市共开展各类职业技能竞赛10场次，涉及数十个行业、系统及企业。通过各类赛事遴选出的选手参加省赛、国赛，取得优异成绩。共获得省赛第一名8人、第二名8人、第三名3人，国赛金牌2人、银牌1人、一等奖6人、二等奖4人 。</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月中旬，我市成功举办全市首届职业技能大赛。大赛共设置增材料制造、数控车铣、无人机等30个项目，全市10个区县市共558名选手参赛。大赛产生37名金、银、铜牌得主，其他奖项若干。大赛进一步浓厚了全市职业技能竞赛氛围，为全市乃至全省综合性职业技能竞赛树立了示范。市委市政府对大赛给予了极大支持和肯定，得到了省人社厅和业内人士的高度肯定，受到了中国政府网、新华社、人民网、中国日报、湖南日报、湖南卫视等各级主流媒体的关注报道。</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根据预算绩效管理要求，我中心整体支出绩效开展了自评，涉及资金634.89万元，自主覆盖率达到100%，2021年度绩效目标完成较好，在预算配置、预算执行、预算管理等方面较好的支持了财政中心工作发展。</w:t>
      </w:r>
    </w:p>
    <w:p>
      <w:pPr>
        <w:spacing w:line="600" w:lineRule="exact"/>
        <w:rPr>
          <w:rFonts w:ascii="Times New Roman" w:hAnsi="Times New Roman" w:eastAsia="黑体"/>
          <w:sz w:val="32"/>
          <w:szCs w:val="32"/>
        </w:rPr>
      </w:pPr>
      <w:r>
        <w:rPr>
          <w:rFonts w:ascii="Times New Roman" w:hAnsi="Times New Roman" w:eastAsia="黑体"/>
          <w:sz w:val="32"/>
          <w:szCs w:val="32"/>
        </w:rPr>
        <w:t>九、存在的问题及原因分析</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eastAsia="zh-CN"/>
        </w:rPr>
        <w:t>财务账</w:t>
      </w:r>
      <w:r>
        <w:rPr>
          <w:rFonts w:hint="eastAsia" w:asciiTheme="minorEastAsia" w:hAnsiTheme="minorEastAsia" w:eastAsiaTheme="minorEastAsia"/>
          <w:sz w:val="28"/>
          <w:szCs w:val="28"/>
        </w:rPr>
        <w:t>务凭证需要进一步改进，如：报销签字人员更改；公积金调整需后附计算依据；差旅费补贴按文件标准支付。</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2、资产管理制度有待进一步完善。</w:t>
      </w:r>
    </w:p>
    <w:p>
      <w:pPr>
        <w:widowControl w:val="0"/>
        <w:adjustRightInd/>
        <w:snapToGrid/>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十、下一步改进措施</w:t>
      </w:r>
    </w:p>
    <w:p>
      <w:pPr>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、加强财务队伍建设，加强教育培训，提高财务部门服务水平和效能水平。</w:t>
      </w:r>
    </w:p>
    <w:p>
      <w:pPr>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、进一步完善资产管理制度、财务管理制度。</w:t>
      </w:r>
    </w:p>
    <w:p>
      <w:pPr>
        <w:rPr>
          <w:rFonts w:ascii="Times New Roman" w:hAnsi="Times New Roman" w:eastAsia="黑体" w:cs="Times New Roman"/>
          <w:sz w:val="32"/>
          <w:szCs w:val="32"/>
        </w:rPr>
      </w:pPr>
      <w:r>
        <w:rPr>
          <w:rFonts w:ascii="Times New Roman" w:hAnsi="Times New Roman" w:eastAsia="黑体" w:cs="Times New Roman"/>
          <w:sz w:val="32"/>
          <w:szCs w:val="32"/>
        </w:rPr>
        <w:t>十一、绩效自评结果拟应用和公开情况</w:t>
      </w:r>
    </w:p>
    <w:p>
      <w:pPr>
        <w:pStyle w:val="4"/>
        <w:shd w:val="clear" w:color="auto" w:fill="FFFFFF"/>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我中心于规定时间内在长沙市政务网和长沙市人力资源和社会保障局门户网站及时公开，接受社会监督。</w:t>
      </w:r>
    </w:p>
    <w:p>
      <w:pPr>
        <w:widowControl w:val="0"/>
        <w:adjustRightInd/>
        <w:snapToGrid/>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其他需要说明的情况</w:t>
      </w:r>
    </w:p>
    <w:p>
      <w:pPr>
        <w:adjustRightInd/>
        <w:snapToGrid/>
        <w:spacing w:line="600" w:lineRule="exact"/>
        <w:ind w:firstLine="420" w:firstLineChars="150"/>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无</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jlkYWRiYjFkMTk1YzBjYzRjZjBiNTE3ZmIxZGRiYmEifQ=="/>
  </w:docVars>
  <w:rsids>
    <w:rsidRoot w:val="00D31D50"/>
    <w:rsid w:val="000379FF"/>
    <w:rsid w:val="000A41CC"/>
    <w:rsid w:val="001115C3"/>
    <w:rsid w:val="00211384"/>
    <w:rsid w:val="00323B43"/>
    <w:rsid w:val="003D37D8"/>
    <w:rsid w:val="00426133"/>
    <w:rsid w:val="004358AB"/>
    <w:rsid w:val="005A11E4"/>
    <w:rsid w:val="00601742"/>
    <w:rsid w:val="00642589"/>
    <w:rsid w:val="008165D0"/>
    <w:rsid w:val="00844595"/>
    <w:rsid w:val="008B7726"/>
    <w:rsid w:val="00B23A9E"/>
    <w:rsid w:val="00BB08F6"/>
    <w:rsid w:val="00D31D50"/>
    <w:rsid w:val="00DF35D3"/>
    <w:rsid w:val="00FC224D"/>
    <w:rsid w:val="0124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 w:type="paragraph" w:styleId="9">
    <w:name w:val="List Paragraph"/>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1759</Words>
  <Characters>1854</Characters>
  <Lines>13</Lines>
  <Paragraphs>3</Paragraphs>
  <TotalTime>45</TotalTime>
  <ScaleCrop>false</ScaleCrop>
  <LinksUpToDate>false</LinksUpToDate>
  <CharactersWithSpaces>1858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Ha！</cp:lastModifiedBy>
  <dcterms:modified xsi:type="dcterms:W3CDTF">2022-10-12T07:53:32Z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6EE4D4E82B534B4BB93834A64E76CE9B</vt:lpwstr>
  </property>
</Properties>
</file>