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page" w:horzAnchor="page" w:tblpX="1797" w:tblpY="143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textAlignment w:val="auto"/>
              <w:rPr>
                <w:rFonts w:hint="eastAsia" w:ascii="仿宋" w:eastAsia="仿宋" w:cs="仿宋"/>
                <w:b/>
                <w:bCs/>
                <w:color w:val="FF0000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pStyle w:val="14"/>
              <w:jc w:val="center"/>
              <w:rPr>
                <w:rFonts w:ascii="宋体" w:eastAsia="宋体" w:cs="宋体"/>
                <w:b/>
                <w:bCs/>
                <w:sz w:val="52"/>
                <w:szCs w:val="52"/>
                <w:lang w:val="en-US" w:eastAsia="zh-CN"/>
              </w:rPr>
            </w:pPr>
            <w:r>
              <w:rPr>
                <w:rFonts w:ascii="宋体" w:eastAsia="宋体" w:cs="宋体"/>
                <w:b/>
                <w:bCs/>
                <w:sz w:val="52"/>
                <w:szCs w:val="52"/>
                <w:lang w:val="en-US" w:eastAsia="zh-CN"/>
              </w:rPr>
              <w:t>长沙市市场监督管理局信息中心</w:t>
            </w:r>
          </w:p>
          <w:p>
            <w:pPr>
              <w:pStyle w:val="14"/>
              <w:jc w:val="center"/>
              <w:rPr>
                <w:rFonts w:ascii="宋体" w:eastAsia="宋体" w:cs="宋体"/>
                <w:b/>
                <w:bCs/>
                <w:sz w:val="52"/>
                <w:szCs w:val="52"/>
                <w:lang w:val="en-US" w:eastAsia="zh-CN"/>
              </w:rPr>
            </w:pPr>
            <w:r>
              <w:rPr>
                <w:rFonts w:ascii="宋体" w:eastAsia="宋体" w:cs="宋体"/>
                <w:b/>
                <w:bCs/>
                <w:sz w:val="52"/>
                <w:szCs w:val="52"/>
                <w:lang w:val="en-US" w:eastAsia="zh-CN"/>
              </w:rPr>
              <w:t>2022</w:t>
            </w:r>
            <w:r>
              <w:rPr>
                <w:rFonts w:ascii="宋体" w:eastAsia="宋体" w:cs="宋体"/>
                <w:b/>
                <w:sz w:val="52"/>
              </w:rPr>
              <w:t>年部门预算公开</w:t>
            </w:r>
          </w:p>
          <w:p>
            <w:pPr>
              <w:pStyle w:val="14"/>
              <w:jc w:val="center"/>
              <w:rPr>
                <w:rFonts w:ascii="宋体" w:eastAsia="宋体" w:cs="宋体"/>
                <w:b/>
                <w:bCs/>
                <w:sz w:val="52"/>
                <w:szCs w:val="5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pStyle w:val="14"/>
              <w:jc w:val="both"/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pStyle w:val="10"/>
        <w:widowControl/>
        <w:spacing w:line="640" w:lineRule="exact"/>
        <w:ind w:firstLine="482"/>
        <w:jc w:val="center"/>
        <w:rPr>
          <w:rFonts w:asci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p>
      <w:pPr>
        <w:pStyle w:val="10"/>
        <w:widowControl/>
        <w:spacing w:line="640" w:lineRule="exact"/>
        <w:ind w:firstLine="482"/>
        <w:jc w:val="center"/>
        <w:rPr>
          <w:rFonts w:asci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p>
      <w:pPr>
        <w:pStyle w:val="10"/>
        <w:widowControl/>
        <w:spacing w:line="640" w:lineRule="exact"/>
        <w:ind w:firstLine="482"/>
        <w:jc w:val="center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10"/>
        <w:widowControl/>
        <w:spacing w:line="640" w:lineRule="exact"/>
        <w:ind w:firstLine="482"/>
        <w:jc w:val="center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pgSz w:w="11906" w:h="16838"/>
          <w:pgMar w:top="1440" w:right="1803" w:bottom="1440" w:left="1803" w:header="851" w:footer="992" w:gutter="0"/>
          <w:pgNumType w:fmt="numberInDash"/>
          <w:cols w:space="720" w:num="1"/>
          <w:rtlGutter w:val="1"/>
          <w:docGrid w:type="lines" w:linePitch="319" w:charSpace="0"/>
        </w:sectPr>
      </w:pPr>
    </w:p>
    <w:p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目 录</w:t>
      </w:r>
    </w:p>
    <w:p>
      <w:pPr>
        <w:keepNext w:val="0"/>
        <w:keepLines w:val="0"/>
        <w:pageBreakBefore w:val="0"/>
        <w:widowControl/>
        <w:tabs>
          <w:tab w:val="left" w:pos="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eastAsia="方正小标宋_GBK"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第一部分 </w:t>
      </w:r>
      <w:r>
        <w:rPr>
          <w:rFonts w:hint="eastAsia" w:ascii="仿宋" w:eastAsia="仿宋" w:cs="仿宋"/>
          <w:b/>
          <w:bCs/>
          <w:kern w:val="0"/>
          <w:sz w:val="32"/>
          <w:szCs w:val="32"/>
          <w:lang w:val="en-US" w:eastAsia="zh-CN"/>
        </w:rPr>
        <w:t>2022</w:t>
      </w:r>
      <w:r>
        <w:rPr>
          <w:rFonts w:eastAsia="仿宋_GB2312"/>
          <w:b/>
          <w:bCs/>
          <w:kern w:val="0"/>
          <w:sz w:val="32"/>
          <w:szCs w:val="32"/>
        </w:rPr>
        <w:t>年部门预算说明</w:t>
      </w:r>
    </w:p>
    <w:p>
      <w:pPr>
        <w:keepNext w:val="0"/>
        <w:keepLines w:val="0"/>
        <w:pageBreakBefore w:val="0"/>
        <w:widowControl/>
        <w:tabs>
          <w:tab w:val="left" w:pos="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一、部门基本概况</w:t>
      </w:r>
    </w:p>
    <w:p>
      <w:pPr>
        <w:keepNext w:val="0"/>
        <w:keepLines w:val="0"/>
        <w:pageBreakBefore w:val="0"/>
        <w:widowControl/>
        <w:tabs>
          <w:tab w:val="left" w:pos="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二、部门预算单位构成</w:t>
      </w:r>
    </w:p>
    <w:p>
      <w:pPr>
        <w:keepNext w:val="0"/>
        <w:keepLines w:val="0"/>
        <w:pageBreakBefore w:val="0"/>
        <w:widowControl/>
        <w:tabs>
          <w:tab w:val="left" w:pos="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三、部门收支总体情况</w:t>
      </w:r>
    </w:p>
    <w:p>
      <w:pPr>
        <w:keepNext w:val="0"/>
        <w:keepLines w:val="0"/>
        <w:pageBreakBefore w:val="0"/>
        <w:widowControl/>
        <w:tabs>
          <w:tab w:val="left" w:pos="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四、一般公共预算拨款支出</w:t>
      </w:r>
    </w:p>
    <w:p>
      <w:pPr>
        <w:keepNext w:val="0"/>
        <w:keepLines w:val="0"/>
        <w:pageBreakBefore w:val="0"/>
        <w:widowControl/>
        <w:tabs>
          <w:tab w:val="left" w:pos="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五、政府性基金预算支出</w:t>
      </w:r>
    </w:p>
    <w:p>
      <w:pPr>
        <w:keepNext w:val="0"/>
        <w:keepLines w:val="0"/>
        <w:pageBreakBefore w:val="0"/>
        <w:widowControl/>
        <w:tabs>
          <w:tab w:val="left" w:pos="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六、其他重要事项的情况说明</w:t>
      </w:r>
    </w:p>
    <w:p>
      <w:pPr>
        <w:keepNext w:val="0"/>
        <w:keepLines w:val="0"/>
        <w:pageBreakBefore w:val="0"/>
        <w:widowControl/>
        <w:tabs>
          <w:tab w:val="left" w:pos="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七、名词解释</w:t>
      </w:r>
    </w:p>
    <w:p>
      <w:pPr>
        <w:keepNext w:val="0"/>
        <w:keepLines w:val="0"/>
        <w:pageBreakBefore w:val="0"/>
        <w:widowControl/>
        <w:tabs>
          <w:tab w:val="left" w:pos="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第二部分 </w:t>
      </w:r>
      <w:r>
        <w:rPr>
          <w:rFonts w:hint="eastAsia" w:ascii="仿宋" w:eastAsia="仿宋" w:cs="仿宋"/>
          <w:b/>
          <w:bCs/>
          <w:kern w:val="0"/>
          <w:sz w:val="32"/>
          <w:szCs w:val="32"/>
          <w:lang w:val="en-US" w:eastAsia="zh-CN"/>
        </w:rPr>
        <w:t>2022</w:t>
      </w:r>
      <w:r>
        <w:rPr>
          <w:rFonts w:eastAsia="仿宋_GB2312"/>
          <w:b/>
          <w:bCs/>
          <w:kern w:val="0"/>
          <w:sz w:val="32"/>
          <w:szCs w:val="32"/>
        </w:rPr>
        <w:t>年部门预算表</w:t>
      </w:r>
    </w:p>
    <w:p>
      <w:pPr>
        <w:keepNext w:val="0"/>
        <w:keepLines w:val="0"/>
        <w:pageBreakBefore w:val="0"/>
        <w:widowControl/>
        <w:tabs>
          <w:tab w:val="left" w:pos="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1、部门收支总表</w:t>
      </w:r>
    </w:p>
    <w:p>
      <w:pPr>
        <w:keepNext w:val="0"/>
        <w:keepLines w:val="0"/>
        <w:pageBreakBefore w:val="0"/>
        <w:widowControl/>
        <w:tabs>
          <w:tab w:val="left" w:pos="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2、部门收入总表</w:t>
      </w:r>
    </w:p>
    <w:p>
      <w:pPr>
        <w:keepNext w:val="0"/>
        <w:keepLines w:val="0"/>
        <w:pageBreakBefore w:val="0"/>
        <w:widowControl/>
        <w:tabs>
          <w:tab w:val="left" w:pos="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3、部门支出总表</w:t>
      </w:r>
    </w:p>
    <w:p>
      <w:pPr>
        <w:keepNext w:val="0"/>
        <w:keepLines w:val="0"/>
        <w:pageBreakBefore w:val="0"/>
        <w:widowControl/>
        <w:tabs>
          <w:tab w:val="left" w:pos="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4、财政拨款收支总表</w:t>
      </w:r>
    </w:p>
    <w:p>
      <w:pPr>
        <w:keepNext w:val="0"/>
        <w:keepLines w:val="0"/>
        <w:pageBreakBefore w:val="0"/>
        <w:widowControl/>
        <w:tabs>
          <w:tab w:val="left" w:pos="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5、一般公共预算支出表</w:t>
      </w:r>
    </w:p>
    <w:p>
      <w:pPr>
        <w:keepNext w:val="0"/>
        <w:keepLines w:val="0"/>
        <w:pageBreakBefore w:val="0"/>
        <w:widowControl/>
        <w:tabs>
          <w:tab w:val="left" w:pos="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6、一般公共预算基本支出表</w:t>
      </w:r>
    </w:p>
    <w:p>
      <w:pPr>
        <w:keepNext w:val="0"/>
        <w:keepLines w:val="0"/>
        <w:pageBreakBefore w:val="0"/>
        <w:widowControl/>
        <w:tabs>
          <w:tab w:val="left" w:pos="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7、</w:t>
      </w:r>
      <w:r>
        <w:rPr>
          <w:rFonts w:hint="eastAsia" w:eastAsia="仿宋_GB2312"/>
          <w:sz w:val="32"/>
          <w:szCs w:val="32"/>
          <w:lang w:val="en-US" w:eastAsia="zh-CN"/>
        </w:rPr>
        <w:t>一般公共预算“三公”经费支出表</w:t>
      </w:r>
    </w:p>
    <w:p>
      <w:pPr>
        <w:keepNext w:val="0"/>
        <w:keepLines w:val="0"/>
        <w:pageBreakBefore w:val="0"/>
        <w:widowControl/>
        <w:tabs>
          <w:tab w:val="left" w:pos="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8、政府性基金预算支出表</w:t>
      </w:r>
    </w:p>
    <w:p>
      <w:pPr>
        <w:keepNext w:val="0"/>
        <w:keepLines w:val="0"/>
        <w:pageBreakBefore w:val="0"/>
        <w:widowControl/>
        <w:tabs>
          <w:tab w:val="left" w:pos="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9、项目支出绩效目标表</w:t>
      </w:r>
    </w:p>
    <w:p>
      <w:pPr>
        <w:pStyle w:val="10"/>
        <w:widowControl/>
        <w:spacing w:line="640" w:lineRule="exact"/>
        <w:ind w:firstLine="640" w:firstLineChars="200"/>
        <w:jc w:val="left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sectPr>
          <w:pgSz w:w="11906" w:h="16838"/>
          <w:pgMar w:top="1440" w:right="1803" w:bottom="1440" w:left="1803" w:header="851" w:footer="992" w:gutter="0"/>
          <w:pgNumType w:fmt="numberInDash"/>
          <w:cols w:space="720" w:num="1"/>
          <w:rtlGutter w:val="1"/>
          <w:docGrid w:type="lines" w:linePitch="319" w:charSpace="0"/>
        </w:sect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第一部分 部门预算说明</w:t>
      </w:r>
    </w:p>
    <w:p>
      <w:pPr>
        <w:pStyle w:val="2"/>
      </w:pPr>
    </w:p>
    <w:p>
      <w:pPr>
        <w:pStyle w:val="10"/>
        <w:widowControl/>
        <w:spacing w:line="570" w:lineRule="exact"/>
        <w:ind w:firstLine="640" w:firstLineChars="200"/>
        <w:rPr>
          <w:rFonts w:asci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eastAsia="黑体" w:cs="黑体"/>
          <w:bCs/>
          <w:color w:val="000000"/>
          <w:sz w:val="32"/>
          <w:szCs w:val="32"/>
        </w:rPr>
        <w:t>一、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/>
        </w:rPr>
        <w:t>部门</w:t>
      </w:r>
      <w:r>
        <w:rPr>
          <w:rFonts w:hint="eastAsia" w:ascii="黑体" w:eastAsia="黑体" w:cs="黑体"/>
          <w:bCs/>
          <w:color w:val="000000"/>
          <w:sz w:val="32"/>
          <w:szCs w:val="32"/>
        </w:rPr>
        <w:t>基本概况</w:t>
      </w:r>
    </w:p>
    <w:p>
      <w:pPr>
        <w:pStyle w:val="10"/>
        <w:widowControl/>
        <w:spacing w:line="57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1.职能职责</w:t>
      </w:r>
    </w:p>
    <w:p>
      <w:pPr>
        <w:pStyle w:val="10"/>
        <w:widowControl/>
        <w:spacing w:line="570" w:lineRule="exact"/>
        <w:ind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</w:rPr>
        <w:t>（1）负责全市法人数据库的建设和管理工作。</w:t>
      </w:r>
    </w:p>
    <w:p>
      <w:pPr>
        <w:pStyle w:val="10"/>
        <w:widowControl/>
        <w:spacing w:line="570" w:lineRule="exact"/>
        <w:ind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</w:rPr>
        <w:t>（2）负责全市12365投诉举报指挥系统和96366电梯应急救援系统的建设和技术维护工作。</w:t>
      </w:r>
    </w:p>
    <w:p>
      <w:pPr>
        <w:pStyle w:val="10"/>
        <w:widowControl/>
        <w:spacing w:line="570" w:lineRule="exact"/>
        <w:ind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</w:rPr>
        <w:t>（3）负责全市质量管理技术性工作。</w:t>
      </w:r>
    </w:p>
    <w:p>
      <w:pPr>
        <w:pStyle w:val="10"/>
        <w:widowControl/>
        <w:spacing w:line="570" w:lineRule="exact"/>
        <w:ind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</w:rPr>
        <w:t>（4）负责全市商品条码管理工作。</w:t>
      </w:r>
    </w:p>
    <w:p>
      <w:pPr>
        <w:pStyle w:val="10"/>
        <w:widowControl/>
        <w:spacing w:line="570" w:lineRule="exact"/>
        <w:ind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</w:rPr>
        <w:t>（5）负责全市标准化应用和相关技术咨询工作。</w:t>
      </w:r>
    </w:p>
    <w:p>
      <w:pPr>
        <w:pStyle w:val="10"/>
        <w:widowControl/>
        <w:spacing w:line="570" w:lineRule="exact"/>
        <w:ind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</w:rPr>
        <w:t>（6）负责市质量技术监督系统的信息化建设和日常维护管理工作。</w:t>
      </w:r>
    </w:p>
    <w:p>
      <w:pPr>
        <w:pStyle w:val="10"/>
        <w:widowControl/>
        <w:spacing w:line="570" w:lineRule="exact"/>
        <w:ind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</w:rPr>
        <w:t>（7）负责市政务服务中心质量技术监督窗口管理工作。</w:t>
      </w:r>
    </w:p>
    <w:p>
      <w:pPr>
        <w:pStyle w:val="10"/>
        <w:widowControl/>
        <w:spacing w:line="570" w:lineRule="exact"/>
        <w:ind w:firstLine="640" w:firstLineChars="200"/>
        <w:jc w:val="both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</w:rPr>
        <w:t>（8）完成市质量技术监督局交办的其他工作。</w:t>
      </w:r>
    </w:p>
    <w:p>
      <w:pPr>
        <w:widowControl/>
        <w:spacing w:line="57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2.机构设置</w:t>
      </w:r>
    </w:p>
    <w:p>
      <w:pPr>
        <w:widowControl/>
        <w:spacing w:line="570" w:lineRule="exact"/>
        <w:ind w:firstLine="640" w:firstLineChars="200"/>
      </w:pPr>
      <w:r>
        <w:rPr>
          <w:rFonts w:ascii="仿宋_GB2312" w:eastAsia="仿宋_GB2312" w:cs="仿宋_GB2312"/>
          <w:color w:val="000000"/>
          <w:sz w:val="32"/>
        </w:rPr>
        <w:t>内设机构设置。我中心内设科室包括：办公室、政工科、财务科、档案管理科、信息技术科。</w:t>
      </w:r>
    </w:p>
    <w:p>
      <w:pPr>
        <w:widowControl/>
        <w:spacing w:line="570" w:lineRule="exact"/>
        <w:ind w:firstLine="640" w:firstLineChars="200"/>
        <w:rPr>
          <w:rFonts w:asci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</w:rPr>
        <w:t>二、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/>
        </w:rPr>
        <w:t>部门</w:t>
      </w:r>
      <w:r>
        <w:rPr>
          <w:rFonts w:hint="eastAsia" w:ascii="黑体" w:eastAsia="黑体" w:cs="黑体"/>
          <w:color w:val="000000"/>
          <w:kern w:val="0"/>
          <w:sz w:val="32"/>
          <w:szCs w:val="32"/>
        </w:rPr>
        <w:t>预算单位构成</w:t>
      </w:r>
    </w:p>
    <w:p>
      <w:pPr>
        <w:widowControl/>
        <w:spacing w:line="57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1、长沙市市场监督管理局信息中心本级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/>
        </w:rPr>
        <w:t>三、部门收支总体情况</w:t>
      </w:r>
    </w:p>
    <w:p>
      <w:pPr>
        <w:pStyle w:val="7"/>
        <w:keepNext w:val="0"/>
        <w:keepLines w:val="0"/>
        <w:pageBreakBefore w:val="0"/>
        <w:widowControl w:val="0"/>
        <w:tabs>
          <w:tab w:val="left" w:pos="3864"/>
          <w:tab w:val="left" w:pos="6248"/>
          <w:tab w:val="left" w:pos="7386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="1" w:after="0" w:line="570" w:lineRule="exact"/>
        <w:ind w:left="0" w:right="420" w:firstLine="643" w:firstLineChars="200"/>
        <w:jc w:val="both"/>
        <w:textAlignment w:val="auto"/>
        <w:rPr>
          <w:rFonts w:asci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（一）收入预算：</w:t>
      </w:r>
      <w:r>
        <w:rPr>
          <w:rFonts w:ascii="仿宋_GB2312" w:eastAsia="仿宋_GB2312" w:cs="仿宋_GB2312"/>
          <w:color w:val="000000"/>
          <w:sz w:val="32"/>
        </w:rPr>
        <w:t>包括一般公共预算、政府性基金、国有资本经营预算等财政拨款收入，以及经营收入、事业收入等单位资金。2022年本单位收入预算905.16万元，其中，一般公共预算拨款905.16万元。收入较去年减少3.59万元，下降0.4%。主要是厉行节约，精简开支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3864"/>
          <w:tab w:val="left" w:pos="6248"/>
          <w:tab w:val="left" w:pos="7386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="1" w:after="0" w:line="570" w:lineRule="exact"/>
        <w:ind w:left="0" w:right="420" w:firstLine="643" w:firstLineChars="200"/>
        <w:jc w:val="both"/>
        <w:textAlignment w:val="auto"/>
        <w:rPr>
          <w:rFonts w:asci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（二）支出预算：</w:t>
      </w:r>
      <w:r>
        <w:rPr>
          <w:rFonts w:ascii="仿宋_GB2312" w:eastAsia="仿宋_GB2312" w:cs="仿宋_GB2312"/>
          <w:color w:val="000000"/>
          <w:sz w:val="32"/>
        </w:rPr>
        <w:t>2022年本单位支出预算905.16万元，其中，一般公共服务支出905.16万元。支出较去年减少3.59万元，下降0.4%。主要是厉行节约，精简开支。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/>
        </w:rPr>
        <w:t>四、一般公共预算拨款支出</w:t>
      </w:r>
    </w:p>
    <w:p>
      <w:pPr>
        <w:pStyle w:val="7"/>
        <w:keepNext w:val="0"/>
        <w:keepLines w:val="0"/>
        <w:pageBreakBefore w:val="0"/>
        <w:widowControl w:val="0"/>
        <w:tabs>
          <w:tab w:val="left" w:pos="3864"/>
          <w:tab w:val="left" w:pos="6248"/>
          <w:tab w:val="left" w:pos="7386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="1" w:after="0" w:line="570" w:lineRule="exact"/>
        <w:ind w:left="0" w:right="420" w:firstLine="640" w:firstLineChars="200"/>
        <w:jc w:val="both"/>
        <w:textAlignment w:val="auto"/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cs="仿宋_GB2312"/>
          <w:color w:val="000000"/>
          <w:sz w:val="32"/>
        </w:rPr>
        <w:t>2022年本单位一般公共预算拨款支出预算905.16万元，其中，一般公共服务支出905.16万元，占100%。具体安排情况如下：</w:t>
      </w:r>
    </w:p>
    <w:p>
      <w:pPr>
        <w:pStyle w:val="7"/>
        <w:keepNext w:val="0"/>
        <w:keepLines w:val="0"/>
        <w:pageBreakBefore w:val="0"/>
        <w:widowControl w:val="0"/>
        <w:tabs>
          <w:tab w:val="left" w:pos="3864"/>
          <w:tab w:val="left" w:pos="6248"/>
          <w:tab w:val="left" w:pos="7386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="1" w:after="0" w:line="570" w:lineRule="exact"/>
        <w:ind w:left="0" w:right="420" w:firstLine="643" w:firstLineChars="200"/>
        <w:jc w:val="both"/>
        <w:textAlignment w:val="auto"/>
        <w:rPr>
          <w:rFonts w:asci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（一）基本支出：</w:t>
      </w:r>
      <w:r>
        <w:rPr>
          <w:rFonts w:ascii="仿宋_GB2312" w:eastAsia="仿宋_GB2312" w:cs="仿宋_GB2312"/>
          <w:color w:val="000000"/>
          <w:sz w:val="32"/>
        </w:rPr>
        <w:t>2022年本单位基本支出预算数814.91万元，主要是为保障单位正常运转、完成日常工作任务而发生的各项支出，包括用于基本工资、津贴补贴等人员经费以及办公费、印刷费、水电费、办公设备购置等公用经费。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3864"/>
          <w:tab w:val="left" w:pos="6248"/>
          <w:tab w:val="left" w:pos="7386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="1" w:after="0" w:line="570" w:lineRule="exact"/>
        <w:ind w:left="0" w:right="420" w:firstLine="643" w:firstLineChars="200"/>
        <w:jc w:val="both"/>
        <w:textAlignment w:val="auto"/>
        <w:rPr>
          <w:rFonts w:asci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（二）项目支出：</w:t>
      </w:r>
      <w:r>
        <w:rPr>
          <w:rFonts w:ascii="仿宋_GB2312" w:eastAsia="仿宋_GB2312" w:cs="仿宋_GB2312"/>
          <w:color w:val="000000"/>
          <w:sz w:val="32"/>
        </w:rPr>
        <w:t>2022年本单位项目支出预算90.25万元，主要是单位为完成特定行政工作任务或事业发展目标而发生的支出，包括有关事业发展专项、专项业务费、基本建设支出等，其中：一般公共服务支出90.25万元，主要用于业务有关的印刷、劳务、办公费、培训、差旅等方面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/>
        </w:rPr>
        <w:t>五、政府性基金预算支出</w:t>
      </w:r>
    </w:p>
    <w:p>
      <w:pPr>
        <w:pStyle w:val="7"/>
        <w:keepNext w:val="0"/>
        <w:keepLines w:val="0"/>
        <w:pageBreakBefore w:val="0"/>
        <w:widowControl w:val="0"/>
        <w:tabs>
          <w:tab w:val="left" w:pos="3864"/>
          <w:tab w:val="left" w:pos="6248"/>
          <w:tab w:val="left" w:pos="7386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="1" w:after="0" w:line="570" w:lineRule="exact"/>
        <w:ind w:left="0" w:right="420" w:firstLine="640" w:firstLineChars="200"/>
        <w:jc w:val="both"/>
        <w:textAlignment w:val="auto"/>
        <w:rPr>
          <w:rFonts w:hint="eastAsia" w:asci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cs="仿宋_GB2312"/>
          <w:color w:val="000000"/>
          <w:sz w:val="32"/>
        </w:rPr>
        <w:t>本单位无政府性基金安排的支出。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/>
        </w:rPr>
        <w:t>六、其他重要事项的情况说明</w:t>
      </w:r>
    </w:p>
    <w:p>
      <w:pPr>
        <w:pStyle w:val="7"/>
        <w:keepNext w:val="0"/>
        <w:keepLines w:val="0"/>
        <w:pageBreakBefore w:val="0"/>
        <w:widowControl w:val="0"/>
        <w:tabs>
          <w:tab w:val="left" w:pos="3864"/>
          <w:tab w:val="left" w:pos="6248"/>
          <w:tab w:val="left" w:pos="7386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="1" w:after="0" w:line="570" w:lineRule="exact"/>
        <w:ind w:left="0" w:right="420" w:firstLine="643" w:firstLineChars="200"/>
        <w:jc w:val="both"/>
        <w:textAlignment w:val="auto"/>
        <w:rPr>
          <w:rFonts w:asci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（一）机关运行经费：</w:t>
      </w:r>
      <w:r>
        <w:rPr>
          <w:rFonts w:ascii="仿宋_GB2312" w:eastAsia="仿宋_GB2312" w:cs="仿宋_GB2312"/>
          <w:color w:val="000000"/>
          <w:sz w:val="32"/>
        </w:rPr>
        <w:t>2022年长沙市市场监督管理局信息中心机关运行经费</w:t>
      </w:r>
      <w:r>
        <w:rPr>
          <w:rFonts w:hint="eastAsia" w:ascii="仿宋_GB2312" w:eastAsia="仿宋_GB2312" w:cs="仿宋_GB2312"/>
          <w:color w:val="000000"/>
          <w:sz w:val="32"/>
          <w:highlight w:val="none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highlight w:val="none"/>
        </w:rPr>
        <w:t>万元，</w:t>
      </w:r>
      <w:r>
        <w:rPr>
          <w:rFonts w:hint="eastAsia" w:ascii="仿宋_GB2312" w:eastAsia="仿宋_GB2312" w:cs="仿宋_GB2312"/>
          <w:color w:val="000000"/>
          <w:sz w:val="32"/>
          <w:highlight w:val="none"/>
          <w:lang w:val="en-US" w:eastAsia="zh-CN"/>
        </w:rPr>
        <w:t>我中心</w:t>
      </w:r>
      <w:r>
        <w:rPr>
          <w:rFonts w:hint="eastAsia" w:ascii="仿宋_GB2312" w:eastAsia="仿宋_GB2312" w:cs="仿宋_GB2312"/>
          <w:color w:val="000000"/>
          <w:sz w:val="32"/>
          <w:highlight w:val="none"/>
        </w:rPr>
        <w:t>为事业单位，无机关运行经费</w:t>
      </w:r>
      <w:r>
        <w:rPr>
          <w:rFonts w:ascii="仿宋_GB2312" w:eastAsia="仿宋_GB2312" w:cs="仿宋_GB2312"/>
          <w:color w:val="000000"/>
          <w:sz w:val="32"/>
          <w:highlight w:val="none"/>
        </w:rPr>
        <w:t>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3864"/>
          <w:tab w:val="left" w:pos="6248"/>
          <w:tab w:val="left" w:pos="7386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="1" w:after="0" w:line="570" w:lineRule="exact"/>
        <w:ind w:left="0" w:right="420" w:firstLine="643" w:firstLineChars="200"/>
        <w:jc w:val="both"/>
        <w:textAlignment w:val="auto"/>
        <w:rPr>
          <w:rFonts w:asci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（二）“三公”经费预算：</w:t>
      </w:r>
      <w:r>
        <w:rPr>
          <w:rFonts w:ascii="仿宋_GB2312" w:eastAsia="仿宋_GB2312" w:cs="仿宋_GB2312"/>
          <w:color w:val="000000"/>
          <w:sz w:val="32"/>
        </w:rPr>
        <w:t>2022年长沙市市场监督管理局信息中心“三公”经费预算数为3.5万元，其中，公务接待费0.5万元，公务用车购置及运行费3万元（其中，公务用车购置费0万元，公务用车运行费3万元），因公出国（境）费0万元。2022年“三公”经费预算与2021年持平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3864"/>
          <w:tab w:val="left" w:pos="6248"/>
          <w:tab w:val="left" w:pos="7386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="1" w:after="0" w:line="570" w:lineRule="exact"/>
        <w:ind w:left="0" w:right="420" w:firstLine="643" w:firstLineChars="200"/>
        <w:jc w:val="both"/>
        <w:textAlignment w:val="auto"/>
        <w:rPr>
          <w:rFonts w:asci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（三）一般性支出情况：</w:t>
      </w:r>
      <w:r>
        <w:rPr>
          <w:rFonts w:ascii="仿宋_GB2312" w:eastAsia="仿宋_GB2312" w:cs="仿宋_GB2312"/>
          <w:color w:val="000000"/>
          <w:sz w:val="32"/>
        </w:rPr>
        <w:t>2022年本单位会议费预算2万元，拟召开</w:t>
      </w:r>
      <w:r>
        <w:rPr>
          <w:rFonts w:hint="eastAsia" w:ascii="仿宋_GB2312" w:eastAsia="仿宋_GB2312" w:cs="仿宋_GB2312"/>
          <w:color w:val="000000"/>
          <w:sz w:val="32"/>
          <w:lang w:val="en-US" w:eastAsia="zh-CN"/>
        </w:rPr>
        <w:t>或</w:t>
      </w:r>
      <w:r>
        <w:rPr>
          <w:rFonts w:ascii="仿宋_GB2312" w:eastAsia="仿宋_GB2312" w:cs="仿宋_GB2312"/>
          <w:color w:val="000000"/>
          <w:sz w:val="32"/>
        </w:rPr>
        <w:t>参与信息化专项工作相关会议，人数10人，内容为企业档案管理、信息化、“互联</w:t>
      </w:r>
      <w:r>
        <w:rPr>
          <w:rFonts w:hint="eastAsia" w:ascii="仿宋_GB2312" w:eastAsia="仿宋_GB2312" w:cs="仿宋_GB2312"/>
          <w:color w:val="000000"/>
          <w:sz w:val="32"/>
          <w:lang w:val="en-US" w:eastAsia="zh-CN"/>
        </w:rPr>
        <w:t>网</w:t>
      </w:r>
      <w:r>
        <w:rPr>
          <w:rFonts w:ascii="仿宋_GB2312" w:eastAsia="仿宋_GB2312" w:cs="仿宋_GB2312"/>
          <w:color w:val="000000"/>
          <w:sz w:val="32"/>
        </w:rPr>
        <w:t>+监</w:t>
      </w:r>
      <w:r>
        <w:rPr>
          <w:rFonts w:hint="eastAsia" w:ascii="仿宋_GB2312" w:eastAsia="仿宋_GB2312" w:cs="仿宋_GB2312"/>
          <w:color w:val="000000"/>
          <w:sz w:val="32"/>
          <w:lang w:val="en-US" w:eastAsia="zh-CN"/>
        </w:rPr>
        <w:t>管”</w:t>
      </w:r>
      <w:r>
        <w:rPr>
          <w:rFonts w:ascii="仿宋_GB2312" w:eastAsia="仿宋_GB2312" w:cs="仿宋_GB2312"/>
          <w:color w:val="000000"/>
          <w:sz w:val="32"/>
        </w:rPr>
        <w:t>等；培训费预算10.5万元，拟开展</w:t>
      </w:r>
      <w:r>
        <w:rPr>
          <w:rFonts w:hint="eastAsia" w:ascii="仿宋_GB2312" w:eastAsia="仿宋_GB2312" w:cs="仿宋_GB2312"/>
          <w:color w:val="000000"/>
          <w:sz w:val="32"/>
          <w:lang w:val="en-US" w:eastAsia="zh-CN"/>
        </w:rPr>
        <w:t>或</w:t>
      </w:r>
      <w:r>
        <w:rPr>
          <w:rFonts w:ascii="仿宋_GB2312" w:eastAsia="仿宋_GB2312" w:cs="仿宋_GB2312"/>
          <w:color w:val="000000"/>
          <w:sz w:val="32"/>
        </w:rPr>
        <w:t>参与上级主管部门的培训，人数20人，内容为</w:t>
      </w:r>
      <w:r>
        <w:rPr>
          <w:rFonts w:hint="eastAsia" w:ascii="仿宋_GB2312" w:eastAsia="仿宋_GB2312" w:cs="仿宋_GB2312"/>
          <w:color w:val="000000"/>
          <w:sz w:val="32"/>
        </w:rPr>
        <w:t>干部能力提升培训班、业务部门各类专题业务培训班</w:t>
      </w:r>
      <w:r>
        <w:rPr>
          <w:rFonts w:ascii="仿宋_GB2312" w:eastAsia="仿宋_GB2312" w:cs="仿宋_GB2312"/>
          <w:color w:val="000000"/>
          <w:sz w:val="32"/>
        </w:rPr>
        <w:t>等；未举办节庆、晚会、论坛、赛事等活动。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3864"/>
          <w:tab w:val="left" w:pos="6248"/>
          <w:tab w:val="left" w:pos="7386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="1" w:after="0" w:line="570" w:lineRule="exact"/>
        <w:ind w:left="0" w:right="420" w:firstLine="643" w:firstLineChars="200"/>
        <w:jc w:val="both"/>
        <w:textAlignment w:val="auto"/>
        <w:rPr>
          <w:rFonts w:asci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（四）政府采购情况：</w:t>
      </w:r>
      <w:r>
        <w:rPr>
          <w:rFonts w:ascii="仿宋_GB2312" w:eastAsia="仿宋_GB2312" w:cs="仿宋_GB2312"/>
          <w:color w:val="000000"/>
          <w:sz w:val="32"/>
        </w:rPr>
        <w:t>2022年本单位政府采购预算总额15.2万元，其中：货物类采购预算4.6万元；工程类采购预算0万元；服务类采购预算10.6万元。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3864"/>
          <w:tab w:val="left" w:pos="6248"/>
          <w:tab w:val="left" w:pos="7386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="1" w:after="0" w:line="570" w:lineRule="exact"/>
        <w:ind w:left="0" w:right="420" w:firstLine="643" w:firstLineChars="200"/>
        <w:jc w:val="both"/>
        <w:textAlignment w:val="auto"/>
        <w:rPr>
          <w:rFonts w:asci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（五）国有资产占用使用及新增资产配置情况：</w:t>
      </w:r>
      <w:r>
        <w:rPr>
          <w:rFonts w:ascii="仿宋_GB2312" w:eastAsia="仿宋_GB2312" w:cs="仿宋_GB2312"/>
          <w:color w:val="000000"/>
          <w:sz w:val="32"/>
        </w:rPr>
        <w:t>截至2021年12月底，本单位共有公务用车1辆，其中，机要通信用车0辆，应急保障用车0辆，执法执勤用车0辆，特种专业技术用车0辆，其他按照规定配备的公务用车1辆；单位价值50万元以上通用设备0台，单位价值100万元以上专用设备0台。2022年拟新增配置公务用车0辆，其中，机要通信用车0辆，应急保障用车0辆，执法执勤用车0辆，特种专业技术用车0辆，其他按照规定配备的公务用车0辆；新增配备单位价值50万元以上通用设备0台，单位价值100万元以上专用设备0台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3864"/>
          <w:tab w:val="left" w:pos="6248"/>
          <w:tab w:val="left" w:pos="7386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="1" w:after="0" w:line="570" w:lineRule="exact"/>
        <w:ind w:left="0" w:right="420" w:firstLine="643" w:firstLineChars="200"/>
        <w:jc w:val="both"/>
        <w:textAlignment w:val="auto"/>
        <w:rPr>
          <w:rFonts w:asci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（六）预算绩效目标说明：</w:t>
      </w:r>
      <w:r>
        <w:rPr>
          <w:rFonts w:ascii="仿宋_GB2312" w:eastAsia="仿宋_GB2312" w:cs="仿宋_GB2312"/>
          <w:color w:val="000000"/>
          <w:sz w:val="32"/>
        </w:rPr>
        <w:t>本单位所有支出实行绩效目标管理。纳入2022年部门整体支出绩效目标的金额为905.16万元，其中，基本支出814.91万元，项目支出90.25万元。</w:t>
      </w:r>
      <w:r>
        <w:rPr>
          <w:rFonts w:hint="eastAsia" w:ascii="仿宋_GB2312" w:eastAsia="仿宋_GB2312" w:cs="仿宋_GB2312"/>
          <w:color w:val="000000"/>
          <w:sz w:val="32"/>
          <w:lang w:val="en-US" w:eastAsia="zh-CN"/>
        </w:rPr>
        <w:t>本单位2022年度无重点项目支出，为常规性项目开支，详见附件2022年项目支出绩效目标表。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bCs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eastAsia" w:ascii="黑体" w:eastAsia="黑体" w:cs="黑体"/>
          <w:bCs/>
          <w:color w:val="000000"/>
          <w:kern w:val="0"/>
          <w:sz w:val="32"/>
          <w:szCs w:val="32"/>
        </w:rPr>
        <w:t>、名词解释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1、机关运行经费:</w:t>
      </w:r>
      <w:r>
        <w:rPr>
          <w:rFonts w:ascii="仿宋_GB2312" w:eastAsia="仿宋_GB2312" w:cs="仿宋_GB2312"/>
          <w:color w:val="000000"/>
          <w:sz w:val="32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2、“三公”经费:</w:t>
      </w:r>
      <w:r>
        <w:rPr>
          <w:rFonts w:ascii="仿宋_GB2312" w:eastAsia="仿宋_GB2312" w:cs="仿宋_GB2312"/>
          <w:color w:val="000000"/>
          <w:sz w:val="32"/>
        </w:rPr>
        <w:t>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pStyle w:val="2"/>
        <w:ind w:left="0" w:firstLine="0"/>
        <w:jc w:val="center"/>
        <w:rPr>
          <w:rFonts w:hint="eastAsia" w:asci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eastAsia="方正小标宋_GBK"/>
          <w:bCs/>
          <w:kern w:val="0"/>
          <w:sz w:val="36"/>
          <w:szCs w:val="36"/>
        </w:rPr>
      </w:pPr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>第二部分2022</w:t>
      </w:r>
      <w:r>
        <w:rPr>
          <w:rFonts w:eastAsia="方正小标宋_GBK"/>
          <w:bCs/>
          <w:kern w:val="0"/>
          <w:sz w:val="36"/>
          <w:szCs w:val="36"/>
        </w:rPr>
        <w:t>年部门预算表</w:t>
      </w:r>
    </w:p>
    <w:p>
      <w:pPr>
        <w:ind w:firstLine="640" w:firstLineChars="200"/>
        <w:jc w:val="center"/>
        <w:rPr>
          <w:rFonts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(具体见附件)</w:t>
      </w:r>
    </w:p>
    <w:p>
      <w:pPr>
        <w:pStyle w:val="2"/>
        <w:rPr>
          <w:rFonts w:hint="eastAsia" w:ascii="仿宋_GB2312" w:eastAsia="仿宋_GB2312" w:cs="仿宋_GB2312"/>
          <w:color w:val="000000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pgNumType w:fmt="numberInDash"/>
      <w:cols w:space="720" w:num="1"/>
      <w:rtlGutter w:val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hint="eastAsia" w:ascii="黑体" w:eastAsia="黑体" w:cs="黑体"/>
      </w:rPr>
    </w:pPr>
    <w:r>
      <w:rPr>
        <w:rFonts w:hint="eastAsia" w:ascii="黑体" w:eastAsia="黑体" w:cs="黑体"/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47955"/>
              <wp:effectExtent l="0" t="0" r="0" b="0"/>
              <wp:wrapNone/>
              <wp:docPr id="2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48018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黑体" w:eastAsia="黑体" w:cs="黑体"/>
                              <w:lang w:eastAsia="zh-CN"/>
                            </w:rPr>
                          </w:pPr>
                          <w:r>
                            <w:rPr>
                              <w:rFonts w:hint="eastAsia" w:ascii="黑体" w:eastAsia="黑体" w:cs="黑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eastAsia="黑体" w:cs="黑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eastAsia="黑体" w:cs="黑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eastAsia="黑体" w:cs="黑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黑体" w:eastAsia="黑体" w:cs="黑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.65pt;width:4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8TXJ+0AAAAAIBAAAPAAAAAAAAAAEAIAAAACIAAABkcnMvZG93bnJldi54&#10;bWxQSwECFAAUAAAACACHTuJAluGUBgICAAD0AwAADgAAAAAAAAABACAAAAAfAQAAZHJzL2Uyb0Rv&#10;Yy54bWxQSwUGAAAAAAYABgBZAQAAkw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黑体" w:eastAsia="黑体" w:cs="黑体"/>
                        <w:lang w:eastAsia="zh-CN"/>
                      </w:rPr>
                    </w:pPr>
                    <w:r>
                      <w:rPr>
                        <w:rFonts w:hint="eastAsia" w:ascii="黑体" w:eastAsia="黑体" w:cs="黑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黑体" w:eastAsia="黑体" w:cs="黑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eastAsia="黑体" w:cs="黑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黑体" w:eastAsia="黑体" w:cs="黑体"/>
                        <w:lang w:eastAsia="zh-CN"/>
                      </w:rPr>
                      <w:t>1</w:t>
                    </w:r>
                    <w:r>
                      <w:rPr>
                        <w:rFonts w:hint="eastAsia" w:ascii="黑体" w:eastAsia="黑体" w:cs="黑体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WordPictureWatermark7" o:spid="_x0000_s2055" o:spt="75" type="#_x0000_t75" style="position:absolute;left:0pt;margin-left:0pt;margin-top:0pt;height:0pt;width:0pt;z-index:-251656192;mso-width-relative:page;mso-height-relative:page;" filled="f" stroked="f" coordsize="21600,21600" o:allowincell="f">
          <v:path/>
          <v:fill on="f" focussize="0,0"/>
          <v:stroke on="f" color="#000000"/>
          <v:imagedata o:title="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PowerPlusWaterMarkObject8" o:spid="_x0000_s2056" o:spt="136" type="#_x0000_t136" style="position:absolute;left:0pt;margin-left:0pt;margin-top:0pt;height:55.4pt;width:139.75pt;rotation:-1310720f;z-index:-251656192;mso-width-relative:page;mso-height-relative:page;" fillcolor="#000000" filled="t" stroked="f" coordsize="21600,21600" o:allowincell="f" adj="10800">
          <v:path/>
          <v:fill on="t" opacity="6553f" focussize="0,0"/>
          <v:stroke on="f" color="#000000"/>
          <v:imagedata o:title=""/>
          <o:lock v:ext="edit"/>
          <v:textpath on="t" fitshape="t" fitpath="t" trim="t" xscale="f" string="3486&#10;&#10;2023-07-31-11:04:22" style="font-family:微软雅黑;font-size:14pt;v-text-align:center;"/>
        </v:shape>
      </w:pict>
    </w:r>
    <w:r>
      <w:pict>
        <v:shape id="PowerPlusWaterMarkObject9" o:spid="_x0000_s2057" o:spt="136" type="#_x0000_t136" style="position:absolute;left:0pt;margin-left:0pt;margin-top:301.45pt;height:55.4pt;width:139.75pt;rotation:-1310720f;z-index:-251656192;mso-width-relative:page;mso-height-relative:page;" fillcolor="#000000" filled="t" stroked="f" coordsize="21600,21600" o:allowincell="f" adj="10800">
          <v:path/>
          <v:fill on="t" opacity="6553f" focussize="0,0"/>
          <v:stroke on="f" color="#000000"/>
          <v:imagedata o:title=""/>
          <o:lock v:ext="edit"/>
          <v:textpath on="t" fitshape="t" fitpath="t" trim="t" xscale="f" string="3486&#10;&#10;2023-07-31-11:04:22" style="font-family:微软雅黑;font-size:14pt;v-text-align:center;"/>
        </v:shape>
      </w:pict>
    </w:r>
    <w:r>
      <w:pict>
        <v:shape id="PowerPlusWaterMarkObject10" o:spid="_x0000_s2058" o:spt="136" type="#_x0000_t136" style="position:absolute;left:0pt;margin-left:0pt;margin-top:602.95pt;height:55.4pt;width:139.75pt;rotation:-1310720f;z-index:-251656192;mso-width-relative:page;mso-height-relative:page;" fillcolor="#000000" filled="t" stroked="f" coordsize="21600,21600" o:allowincell="f" adj="10800">
          <v:path/>
          <v:fill on="t" opacity="6553f" focussize="0,0"/>
          <v:stroke on="f" color="#000000"/>
          <v:imagedata o:title=""/>
          <o:lock v:ext="edit"/>
          <v:textpath on="t" fitshape="t" fitpath="t" trim="t" xscale="f" string="3486&#10;&#10;2023-07-31-11:04:22" style="font-family:微软雅黑;font-size:14pt;v-text-align:center;"/>
        </v:shape>
      </w:pict>
    </w:r>
    <w:r>
      <w:pict>
        <v:shape id="PowerPlusWaterMarkObject11" o:spid="_x0000_s2059" o:spt="136" type="#_x0000_t136" style="position:absolute;left:0pt;margin-left:394.45pt;margin-top:0pt;height:55.4pt;width:139.75pt;rotation:-1310720f;z-index:-251656192;mso-width-relative:page;mso-height-relative:page;" fillcolor="#000000" filled="t" stroked="f" coordsize="21600,21600" o:allowincell="f" adj="10800">
          <v:path/>
          <v:fill on="t" opacity="6553f" focussize="0,0"/>
          <v:stroke on="f" color="#000000"/>
          <v:imagedata o:title=""/>
          <o:lock v:ext="edit"/>
          <v:textpath on="t" fitshape="t" fitpath="t" trim="t" xscale="f" string="3486&#10;&#10;2023-07-31-11:04:22" style="font-family:微软雅黑;font-size:14pt;v-text-align:center;"/>
        </v:shape>
      </w:pict>
    </w:r>
    <w:r>
      <w:pict>
        <v:shape id="PowerPlusWaterMarkObject12" o:spid="_x0000_s2060" o:spt="136" type="#_x0000_t136" style="position:absolute;left:0pt;margin-left:394.45pt;margin-top:301.45pt;height:55.4pt;width:139.75pt;rotation:-1310720f;z-index:-251656192;mso-width-relative:page;mso-height-relative:page;" fillcolor="#000000" filled="t" stroked="f" coordsize="21600,21600" o:allowincell="f" adj="10800">
          <v:path/>
          <v:fill on="t" opacity="6553f" focussize="0,0"/>
          <v:stroke on="f" color="#000000"/>
          <v:imagedata o:title=""/>
          <o:lock v:ext="edit"/>
          <v:textpath on="t" fitshape="t" fitpath="t" trim="t" xscale="f" string="3486&#10;&#10;2023-07-31-11:04:22" style="font-family:微软雅黑;font-size:14pt;v-text-align:center;"/>
        </v:shape>
      </w:pict>
    </w:r>
    <w:r>
      <w:pict>
        <v:shape id="PowerPlusWaterMarkObject13" o:spid="_x0000_s2061" o:spt="136" type="#_x0000_t136" style="position:absolute;left:0pt;margin-left:394.45pt;margin-top:602.95pt;height:55.4pt;width:139.75pt;rotation:-1310720f;z-index:-251656192;mso-width-relative:page;mso-height-relative:page;" fillcolor="#000000" filled="t" stroked="f" coordsize="21600,21600" o:allowincell="f" adj="10800">
          <v:path/>
          <v:fill on="t" opacity="6553f" focussize="0,0"/>
          <v:stroke on="f" color="#000000"/>
          <v:imagedata o:title=""/>
          <o:lock v:ext="edit"/>
          <v:textpath on="t" fitshape="t" fitpath="t" trim="t" xscale="f" string="3486&#10;&#10;2023-07-31-11:04:22" style="font-family:微软雅黑;font-size:14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PowerPlusWaterMarkObject14" o:spid="_x0000_s2062" o:spt="136" type="#_x0000_t136" style="position:absolute;left:0pt;margin-left:0pt;margin-top:0pt;height:55.4pt;width:139.75pt;rotation:-1310720f;z-index:-251656192;mso-width-relative:page;mso-height-relative:page;" fillcolor="#000000" filled="t" stroked="f" coordsize="21600,21600" o:allowincell="f" adj="10800">
          <v:path/>
          <v:fill on="t" opacity="6553f" focussize="0,0"/>
          <v:stroke on="f" color="#000000"/>
          <v:imagedata o:title=""/>
          <o:lock v:ext="edit"/>
          <v:textpath on="t" fitshape="t" fitpath="t" trim="t" xscale="f" string="3486&#10;&#10;2023-07-31-11:04:22" style="font-family:微软雅黑;font-size:14pt;v-text-align:center;"/>
        </v:shape>
      </w:pict>
    </w:r>
    <w:r>
      <w:pict>
        <v:shape id="PowerPlusWaterMarkObject15" o:spid="_x0000_s2063" o:spt="136" type="#_x0000_t136" style="position:absolute;left:0pt;margin-left:0pt;margin-top:301.45pt;height:55.4pt;width:139.75pt;rotation:-1310720f;z-index:-251656192;mso-width-relative:page;mso-height-relative:page;" fillcolor="#000000" filled="t" stroked="f" coordsize="21600,21600" o:allowincell="f" adj="10800">
          <v:path/>
          <v:fill on="t" opacity="6553f" focussize="0,0"/>
          <v:stroke on="f" color="#000000"/>
          <v:imagedata o:title=""/>
          <o:lock v:ext="edit"/>
          <v:textpath on="t" fitshape="t" fitpath="t" trim="t" xscale="f" string="3486&#10;&#10;2023-07-31-11:04:22" style="font-family:微软雅黑;font-size:14pt;v-text-align:center;"/>
        </v:shape>
      </w:pict>
    </w:r>
    <w:r>
      <w:pict>
        <v:shape id="PowerPlusWaterMarkObject16" o:spid="_x0000_s2064" o:spt="136" type="#_x0000_t136" style="position:absolute;left:0pt;margin-left:0pt;margin-top:602.95pt;height:55.4pt;width:139.75pt;rotation:-1310720f;z-index:-251656192;mso-width-relative:page;mso-height-relative:page;" fillcolor="#000000" filled="t" stroked="f" coordsize="21600,21600" o:allowincell="f" adj="10800">
          <v:path/>
          <v:fill on="t" opacity="6553f" focussize="0,0"/>
          <v:stroke on="f" color="#000000"/>
          <v:imagedata o:title=""/>
          <o:lock v:ext="edit"/>
          <v:textpath on="t" fitshape="t" fitpath="t" trim="t" xscale="f" string="3486&#10;&#10;2023-07-31-11:04:22" style="font-family:微软雅黑;font-size:14pt;v-text-align:center;"/>
        </v:shape>
      </w:pict>
    </w:r>
    <w:r>
      <w:pict>
        <v:shape id="PowerPlusWaterMarkObject17" o:spid="_x0000_s2065" o:spt="136" type="#_x0000_t136" style="position:absolute;left:0pt;margin-left:394.45pt;margin-top:0pt;height:55.4pt;width:139.75pt;rotation:-1310720f;z-index:-251656192;mso-width-relative:page;mso-height-relative:page;" fillcolor="#000000" filled="t" stroked="f" coordsize="21600,21600" o:allowincell="f" adj="10800">
          <v:path/>
          <v:fill on="t" opacity="6553f" focussize="0,0"/>
          <v:stroke on="f" color="#000000"/>
          <v:imagedata o:title=""/>
          <o:lock v:ext="edit"/>
          <v:textpath on="t" fitshape="t" fitpath="t" trim="t" xscale="f" string="3486&#10;&#10;2023-07-31-11:04:22" style="font-family:微软雅黑;font-size:14pt;v-text-align:center;"/>
        </v:shape>
      </w:pict>
    </w:r>
    <w:r>
      <w:pict>
        <v:shape id="PowerPlusWaterMarkObject18" o:spid="_x0000_s2066" o:spt="136" type="#_x0000_t136" style="position:absolute;left:0pt;margin-left:394.45pt;margin-top:301.45pt;height:55.4pt;width:139.75pt;rotation:-1310720f;z-index:-251656192;mso-width-relative:page;mso-height-relative:page;" fillcolor="#000000" filled="t" stroked="f" coordsize="21600,21600" o:allowincell="f" adj="10800">
          <v:path/>
          <v:fill on="t" opacity="6553f" focussize="0,0"/>
          <v:stroke on="f" color="#000000"/>
          <v:imagedata o:title=""/>
          <o:lock v:ext="edit"/>
          <v:textpath on="t" fitshape="t" fitpath="t" trim="t" xscale="f" string="3486&#10;&#10;2023-07-31-11:04:22" style="font-family:微软雅黑;font-size:14pt;v-text-align:center;"/>
        </v:shape>
      </w:pict>
    </w:r>
    <w:r>
      <w:pict>
        <v:shape id="PowerPlusWaterMarkObject19" o:spid="_x0000_s2067" o:spt="136" type="#_x0000_t136" style="position:absolute;left:0pt;margin-left:394.45pt;margin-top:602.95pt;height:55.4pt;width:139.75pt;rotation:-1310720f;z-index:-251656192;mso-width-relative:page;mso-height-relative:page;" fillcolor="#000000" filled="t" stroked="f" coordsize="21600,21600" o:allowincell="f" adj="10800">
          <v:path/>
          <v:fill on="t" opacity="6553f" focussize="0,0"/>
          <v:stroke on="f" color="#000000"/>
          <v:imagedata o:title=""/>
          <o:lock v:ext="edit"/>
          <v:textpath on="t" fitshape="t" fitpath="t" trim="t" xscale="f" string="3486&#10;&#10;2023-07-31-11:04:22" style="font-family:微软雅黑;font-size:14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dit="readOnly" w:enforcement="0"/>
  <w:defaultTabStop w:val="42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ZGQ5ZWEzZmQ4MDMzMTRmMmEzMjFiZTNhMDE0NmQ0ODMifQ=="/>
  </w:docVars>
  <w:rsids>
    <w:rsidRoot w:val="00000000"/>
    <w:rsid w:val="0B3726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iPriority w:val="0"/>
    <w:pPr>
      <w:keepNext/>
      <w:keepLines/>
      <w:widowControl w:val="0"/>
      <w:spacing w:before="260" w:beforeAutospacing="0" w:after="26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 w:val="0"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  <w:rPr>
      <w:szCs w:val="20"/>
    </w:rPr>
  </w:style>
  <w:style w:type="paragraph" w:styleId="7">
    <w:name w:val="Body Text"/>
    <w:basedOn w:val="1"/>
    <w:uiPriority w:val="0"/>
    <w:rPr>
      <w:sz w:val="32"/>
      <w:szCs w:val="32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uiPriority w:val="0"/>
    <w:pPr>
      <w:jc w:val="left"/>
    </w:pPr>
    <w:rPr>
      <w:rFonts w:ascii="微软雅黑" w:eastAsia="微软雅黑"/>
      <w:color w:val="4C4C4C"/>
      <w:kern w:val="0"/>
      <w:szCs w:val="21"/>
    </w:rPr>
  </w:style>
  <w:style w:type="character" w:styleId="13">
    <w:name w:val="HTML Definition"/>
    <w:basedOn w:val="12"/>
    <w:uiPriority w:val="0"/>
  </w:style>
  <w:style w:type="paragraph" w:customStyle="1" w:styleId="14">
    <w:name w:val="Default"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kern w:val="0"/>
      <w:sz w:val="24"/>
      <w:szCs w:val="24"/>
      <w:lang w:val="en-US" w:eastAsia="zh-CN" w:bidi="ar-SA"/>
    </w:rPr>
  </w:style>
  <w:style w:type="paragraph" w:customStyle="1" w:styleId="15">
    <w:name w:val="List Paragraph"/>
    <w:basedOn w:val="1"/>
    <w:uiPriority w:val="0"/>
    <w:pPr>
      <w:ind w:firstLine="200" w:firstLineChars="200"/>
    </w:pPr>
  </w:style>
  <w:style w:type="character" w:customStyle="1" w:styleId="16">
    <w:name w:val="页脚 字符"/>
    <w:basedOn w:val="12"/>
    <w:uiPriority w:val="0"/>
    <w:rPr>
      <w:rFonts w:ascii="Arial Unicode MS" w:hAnsi="Arial Unicode MS" w:eastAsia="Arial Unicode MS" w:cs="Arial Unicode MS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7</Pages>
  <Words>2096</Words>
  <Characters>2262</Characters>
  <Lines>0</Lines>
  <Paragraphs>0</Paragraphs>
  <TotalTime>71</TotalTime>
  <ScaleCrop>false</ScaleCrop>
  <LinksUpToDate>false</LinksUpToDate>
  <CharactersWithSpaces>2266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2021-09-02T09:09:00Z</dcterms:created>
  <dc:creator>Administrator</dc:creator>
  <cp:lastModifiedBy>Administrator</cp:lastModifiedBy>
  <dcterms:modified xsi:type="dcterms:W3CDTF">2023-07-31T03:28:34Z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0D9E3887E553401BA823C7A40BDC7D27</vt:lpwstr>
  </property>
</Properties>
</file>