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宋体" w:eastAsia="宋体" w:cs="宋体"/>
          <w:b/>
          <w:i w:val="0"/>
          <w:caps w:val="0"/>
          <w:smallCaps w:val="0"/>
          <w:color w:val="333333"/>
          <w:spacing w:val="0"/>
          <w:sz w:val="52"/>
          <w:szCs w:val="52"/>
        </w:rPr>
      </w:pPr>
      <w:bookmarkStart w:id="0" w:name="_GoBack"/>
      <w:bookmarkEnd w:id="0"/>
    </w:p>
    <w:tbl>
      <w:tblPr>
        <w:tblStyle w:val="10"/>
        <w:tblpPr w:leftFromText="180" w:rightFromText="180" w:vertAnchor="page" w:horzAnchor="page" w:tblpX="1797" w:tblpY="143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5" w:hRule="atLeast"/>
        </w:trPr>
        <w:tc>
          <w:tcPr>
            <w:tcW w:w="8522" w:type="dxa"/>
            <w:tcBorders>
              <w:top w:val="nil"/>
              <w:left w:val="nil"/>
              <w:bottom w:val="nil"/>
              <w:right w:val="nil"/>
            </w:tcBorders>
            <w:noWrap/>
          </w:tcPr>
          <w:p>
            <w:pPr>
              <w:pStyle w:val="6"/>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eastAsia="仿宋" w:cs="仿宋"/>
                <w:b/>
                <w:bCs/>
                <w:color w:val="FF000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2" w:hRule="atLeast"/>
        </w:trPr>
        <w:tc>
          <w:tcPr>
            <w:tcW w:w="8522" w:type="dxa"/>
            <w:tcBorders>
              <w:top w:val="nil"/>
              <w:left w:val="nil"/>
              <w:bottom w:val="nil"/>
              <w:right w:val="nil"/>
            </w:tcBorders>
            <w:noWrap/>
          </w:tcPr>
          <w:p>
            <w:pPr>
              <w:pStyle w:val="14"/>
              <w:jc w:val="center"/>
              <w:rPr>
                <w:rFonts w:ascii="宋体" w:eastAsia="宋体" w:cs="宋体"/>
                <w:b/>
                <w:bCs/>
                <w:sz w:val="52"/>
                <w:szCs w:val="52"/>
                <w:lang w:val="en-US" w:eastAsia="zh-CN"/>
              </w:rPr>
            </w:pPr>
            <w:r>
              <w:rPr>
                <w:rFonts w:hint="eastAsia" w:ascii="宋体" w:eastAsia="宋体" w:cs="宋体"/>
                <w:b/>
                <w:i w:val="0"/>
                <w:caps w:val="0"/>
                <w:smallCaps w:val="0"/>
                <w:color w:val="333333"/>
                <w:spacing w:val="0"/>
                <w:sz w:val="52"/>
                <w:szCs w:val="52"/>
                <w:shd w:val="clear" w:color="auto" w:fill="FFFFFF"/>
              </w:rPr>
              <w:t>长沙市市场监督管理局信息中心2021年部门决算公开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2" w:hRule="atLeast"/>
        </w:trPr>
        <w:tc>
          <w:tcPr>
            <w:tcW w:w="8522" w:type="dxa"/>
            <w:tcBorders>
              <w:top w:val="nil"/>
              <w:left w:val="nil"/>
              <w:bottom w:val="nil"/>
              <w:right w:val="nil"/>
            </w:tcBorders>
            <w:noWrap/>
          </w:tcPr>
          <w:p>
            <w:pPr>
              <w:pStyle w:val="14"/>
              <w:jc w:val="both"/>
              <w:rPr>
                <w:rFonts w:hint="eastAsia"/>
                <w:sz w:val="44"/>
                <w:szCs w:val="44"/>
                <w:vertAlign w:val="baseline"/>
                <w:lang w:val="en-US" w:eastAsia="zh-CN"/>
              </w:rPr>
            </w:pP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宋体" w:eastAsia="宋体" w:cs="宋体"/>
          <w:i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宋体" w:eastAsia="宋体" w:cs="宋体"/>
          <w:i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宋体" w:eastAsia="宋体" w:cs="宋体"/>
          <w:i w:val="0"/>
          <w:caps w:val="0"/>
          <w:smallCaps w:val="0"/>
          <w:color w:val="333333"/>
          <w:spacing w:val="0"/>
          <w:sz w:val="24"/>
          <w:szCs w:val="24"/>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2" w:beforeLines="100" w:beforeAutospacing="0" w:after="30" w:afterAutospacing="0" w:line="600" w:lineRule="exact"/>
        <w:ind w:right="0"/>
        <w:jc w:val="center"/>
        <w:textAlignment w:val="center"/>
        <w:rPr>
          <w:rFonts w:hint="eastAsia" w:ascii="黑体" w:eastAsia="黑体" w:cs="黑体"/>
          <w:i w:val="0"/>
          <w:caps w:val="0"/>
          <w:smallCaps w:val="0"/>
          <w:color w:val="333333"/>
          <w:spacing w:val="0"/>
          <w:sz w:val="32"/>
          <w:szCs w:val="32"/>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center"/>
        <w:rPr>
          <w:rFonts w:hint="eastAsia" w:ascii="宋体" w:eastAsia="宋体" w:cs="宋体"/>
          <w:sz w:val="24"/>
          <w:szCs w:val="24"/>
        </w:rPr>
      </w:pPr>
      <w:r>
        <w:rPr>
          <w:rFonts w:hint="eastAsia" w:ascii="黑体" w:eastAsia="黑体" w:cs="黑体"/>
          <w:i w:val="0"/>
          <w:caps w:val="0"/>
          <w:smallCaps w:val="0"/>
          <w:color w:val="333333"/>
          <w:spacing w:val="0"/>
          <w:sz w:val="32"/>
          <w:szCs w:val="32"/>
          <w:shd w:val="clear" w:color="auto" w:fill="FFFFFF"/>
        </w:rPr>
        <w:t>目</w:t>
      </w:r>
      <w:r>
        <w:rPr>
          <w:rFonts w:hint="eastAsia" w:ascii="黑体" w:eastAsia="黑体" w:cs="黑体"/>
          <w:i w:val="0"/>
          <w:caps w:val="0"/>
          <w:smallCaps w:val="0"/>
          <w:color w:val="333333"/>
          <w:spacing w:val="0"/>
          <w:sz w:val="32"/>
          <w:szCs w:val="32"/>
          <w:shd w:val="clear" w:color="auto" w:fill="FFFFFF"/>
          <w:lang w:val="en-US" w:eastAsia="zh-CN"/>
        </w:rPr>
        <w:t xml:space="preserve"> </w:t>
      </w:r>
      <w:r>
        <w:rPr>
          <w:rFonts w:hint="eastAsia" w:ascii="黑体" w:eastAsia="黑体" w:cs="黑体"/>
          <w:i w:val="0"/>
          <w:caps w:val="0"/>
          <w:smallCaps w:val="0"/>
          <w:color w:val="333333"/>
          <w:spacing w:val="0"/>
          <w:sz w:val="32"/>
          <w:szCs w:val="32"/>
          <w:shd w:val="clear" w:color="auto" w:fill="FFFFFF"/>
        </w:rPr>
        <w:t>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center"/>
        <w:rPr>
          <w:rFonts w:hint="eastAsia" w:ascii="黑体" w:eastAsia="黑体" w:cs="黑体"/>
          <w:sz w:val="24"/>
          <w:szCs w:val="24"/>
        </w:rPr>
      </w:pPr>
      <w:r>
        <w:rPr>
          <w:rFonts w:hint="eastAsia" w:ascii="Calibri" w:hAnsi="Calibri" w:eastAsia="仿宋_GB2312" w:cs="Arial"/>
          <w:b/>
          <w:bCs/>
          <w:kern w:val="0"/>
          <w:sz w:val="32"/>
          <w:szCs w:val="32"/>
          <w:lang w:val="en-US" w:eastAsia="zh-CN" w:bidi="ar-SA"/>
        </w:rPr>
        <w:t>第一部分 长沙市市场监督局信息中心概况</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一、部门职责</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 w:eastAsia="仿宋" w:cs="仿宋"/>
          <w:sz w:val="32"/>
          <w:szCs w:val="32"/>
        </w:rPr>
      </w:pPr>
      <w:r>
        <w:rPr>
          <w:rFonts w:hint="eastAsia" w:ascii="仿宋_GB2312" w:eastAsia="仿宋_GB2312" w:cs="仿宋_GB2312"/>
          <w:bCs/>
          <w:kern w:val="0"/>
          <w:sz w:val="32"/>
          <w:szCs w:val="32"/>
        </w:rPr>
        <w:t>二、机构设置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center"/>
        <w:rPr>
          <w:rFonts w:hint="eastAsia" w:ascii="Calibri" w:hAnsi="Calibri" w:eastAsia="仿宋_GB2312" w:cs="Arial"/>
          <w:b/>
          <w:bCs/>
          <w:kern w:val="0"/>
          <w:sz w:val="32"/>
          <w:szCs w:val="32"/>
          <w:lang w:val="en-US" w:eastAsia="zh-CN" w:bidi="ar-SA"/>
        </w:rPr>
      </w:pPr>
      <w:r>
        <w:rPr>
          <w:rFonts w:hint="eastAsia" w:ascii="Calibri" w:hAnsi="Calibri" w:eastAsia="仿宋_GB2312" w:cs="Arial"/>
          <w:b/>
          <w:bCs/>
          <w:kern w:val="0"/>
          <w:sz w:val="32"/>
          <w:szCs w:val="32"/>
          <w:lang w:val="en-US" w:eastAsia="zh-CN" w:bidi="ar-SA"/>
        </w:rPr>
        <w:t xml:space="preserve">第二部分 </w:t>
      </w:r>
      <w:r>
        <w:rPr>
          <w:rFonts w:hint="eastAsia" w:ascii="仿宋" w:eastAsia="仿宋" w:cs="仿宋"/>
          <w:b/>
          <w:bCs/>
          <w:kern w:val="0"/>
          <w:sz w:val="32"/>
          <w:szCs w:val="32"/>
          <w:lang w:val="en-US" w:eastAsia="zh-CN" w:bidi="ar-SA"/>
        </w:rPr>
        <w:t>2021</w:t>
      </w:r>
      <w:r>
        <w:rPr>
          <w:rFonts w:hint="eastAsia" w:ascii="Calibri" w:hAnsi="Calibri" w:eastAsia="仿宋_GB2312" w:cs="Arial"/>
          <w:b/>
          <w:bCs/>
          <w:kern w:val="0"/>
          <w:sz w:val="32"/>
          <w:szCs w:val="32"/>
          <w:lang w:val="en-US" w:eastAsia="zh-CN" w:bidi="ar-SA"/>
        </w:rPr>
        <w:t>年度部门决算表</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一、收入支出决算总表</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二、收入决算表</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三、支出决算表</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四、财政拨款收入支出决算总表</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五、一般公共预算财政拨款支出决算表</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六、一般公共预算财政拨款基本支出决算表</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七、一般公共预算财政拨款“三公”经费支出决算表</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八、政府性基金预算财政拨款收入支出决算表</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九、国有资本经营预算财政拨款支出决算表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center"/>
        <w:rPr>
          <w:rFonts w:hint="eastAsia" w:ascii="Calibri" w:hAnsi="Calibri" w:eastAsia="仿宋_GB2312" w:cs="Arial"/>
          <w:b/>
          <w:bCs/>
          <w:kern w:val="0"/>
          <w:sz w:val="32"/>
          <w:szCs w:val="32"/>
          <w:lang w:val="en-US" w:eastAsia="zh-CN" w:bidi="ar-SA"/>
        </w:rPr>
      </w:pPr>
      <w:r>
        <w:rPr>
          <w:rFonts w:hint="eastAsia" w:ascii="Calibri" w:hAnsi="Calibri" w:eastAsia="仿宋_GB2312" w:cs="Arial"/>
          <w:b/>
          <w:bCs/>
          <w:kern w:val="0"/>
          <w:sz w:val="32"/>
          <w:szCs w:val="32"/>
          <w:lang w:val="en-US" w:eastAsia="zh-CN" w:bidi="ar-SA"/>
        </w:rPr>
        <w:t>第三部分</w:t>
      </w:r>
      <w:r>
        <w:rPr>
          <w:rFonts w:hint="eastAsia" w:ascii="仿宋" w:eastAsia="仿宋" w:cs="仿宋"/>
          <w:b/>
          <w:bCs/>
          <w:kern w:val="0"/>
          <w:sz w:val="32"/>
          <w:szCs w:val="32"/>
          <w:lang w:val="en-US" w:eastAsia="zh-CN" w:bidi="ar-SA"/>
        </w:rPr>
        <w:t xml:space="preserve"> 2021</w:t>
      </w:r>
      <w:r>
        <w:rPr>
          <w:rFonts w:hint="eastAsia" w:ascii="Calibri" w:hAnsi="Calibri" w:eastAsia="仿宋_GB2312" w:cs="Arial"/>
          <w:b/>
          <w:bCs/>
          <w:kern w:val="0"/>
          <w:sz w:val="32"/>
          <w:szCs w:val="32"/>
          <w:lang w:val="en-US" w:eastAsia="zh-CN" w:bidi="ar-SA"/>
        </w:rPr>
        <w:t>年度部门决算情况说明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一、收入支出决算总体情况说明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二、收入决算情况说明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三、支出决算情况说明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四、财政拨款收入支出决算总体情况说明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五、一般公共预算财政拨款支出决算情况说明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六、一般公共预算财政拨款基本支出决算情况说明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七、一般公共预算财政拨款三公经费支出决算情况说明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八、政府性基金预算收入支出决算情况</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九、关于机关运行经费支出说明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十、一般性支出情况</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十一、关于政府采购支出说明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十二、关于国有资产占用情况说明</w:t>
      </w:r>
    </w:p>
    <w:p>
      <w:pPr>
        <w:keepNext w:val="0"/>
        <w:keepLines w:val="0"/>
        <w:pageBreakBefore w:val="0"/>
        <w:widowControl/>
        <w:tabs>
          <w:tab w:val="left" w:pos="27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十三、关于2021年度预算绩效情况的说明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center"/>
        <w:rPr>
          <w:rFonts w:hint="eastAsia" w:ascii="Calibri" w:hAnsi="Calibri" w:eastAsia="仿宋_GB2312" w:cs="Arial"/>
          <w:b/>
          <w:bCs/>
          <w:kern w:val="0"/>
          <w:sz w:val="32"/>
          <w:szCs w:val="32"/>
          <w:lang w:val="en-US" w:eastAsia="zh-CN" w:bidi="ar-SA"/>
        </w:rPr>
      </w:pPr>
      <w:r>
        <w:rPr>
          <w:rFonts w:hint="eastAsia" w:ascii="Calibri" w:hAnsi="Calibri" w:eastAsia="仿宋_GB2312" w:cs="Arial"/>
          <w:b/>
          <w:bCs/>
          <w:kern w:val="0"/>
          <w:sz w:val="32"/>
          <w:szCs w:val="32"/>
          <w:lang w:val="en-US" w:eastAsia="zh-CN" w:bidi="ar-SA"/>
        </w:rPr>
        <w:t>第四部分 名词解释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center"/>
        <w:rPr>
          <w:rFonts w:hint="eastAsia" w:ascii="Calibri" w:hAnsi="Calibri" w:eastAsia="仿宋_GB2312" w:cs="Arial"/>
          <w:b/>
          <w:bCs/>
          <w:kern w:val="0"/>
          <w:sz w:val="32"/>
          <w:szCs w:val="32"/>
          <w:lang w:val="en-US" w:eastAsia="zh-CN" w:bidi="ar-SA"/>
        </w:rPr>
      </w:pPr>
      <w:r>
        <w:rPr>
          <w:rFonts w:hint="eastAsia" w:ascii="Calibri" w:hAnsi="Calibri" w:eastAsia="仿宋_GB2312" w:cs="Arial"/>
          <w:b/>
          <w:bCs/>
          <w:kern w:val="0"/>
          <w:sz w:val="32"/>
          <w:szCs w:val="32"/>
          <w:lang w:val="en-US" w:eastAsia="zh-CN" w:bidi="ar-SA"/>
        </w:rPr>
        <w:t>第五部分 附件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Style w:val="12"/>
          <w:rFonts w:hint="eastAsia" w:ascii="宋体" w:eastAsia="宋体" w:cs="宋体"/>
          <w:b/>
          <w:i w:val="0"/>
          <w:caps w:val="0"/>
          <w:smallCaps w:val="0"/>
          <w:color w:val="333333"/>
          <w:spacing w:val="0"/>
          <w:sz w:val="28"/>
          <w:szCs w:val="28"/>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Calibri" w:hAnsi="Calibri" w:eastAsia="方正小标宋_GBK" w:cs="Arial"/>
          <w:bCs/>
          <w:kern w:val="0"/>
          <w:sz w:val="36"/>
          <w:szCs w:val="36"/>
          <w:lang w:val="en-US" w:eastAsia="zh-CN" w:bidi="ar-SA"/>
        </w:rPr>
      </w:pPr>
      <w:r>
        <w:rPr>
          <w:rFonts w:hint="eastAsia" w:ascii="Calibri" w:hAnsi="Calibri" w:eastAsia="方正小标宋_GBK" w:cs="Arial"/>
          <w:bCs/>
          <w:kern w:val="0"/>
          <w:sz w:val="36"/>
          <w:szCs w:val="36"/>
          <w:lang w:val="en-US" w:eastAsia="zh-CN" w:bidi="ar-SA"/>
        </w:rPr>
        <w:t>第一部分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Calibri" w:hAnsi="Calibri" w:eastAsia="方正小标宋_GBK" w:cs="Arial"/>
          <w:bCs/>
          <w:kern w:val="0"/>
          <w:sz w:val="21"/>
          <w:szCs w:val="21"/>
          <w:lang w:val="en-US" w:eastAsia="zh-CN" w:bidi="ar-SA"/>
        </w:rPr>
      </w:pPr>
      <w:r>
        <w:rPr>
          <w:rFonts w:hint="eastAsia" w:ascii="Calibri" w:hAnsi="Calibri" w:eastAsia="方正小标宋_GBK" w:cs="Arial"/>
          <w:bCs/>
          <w:kern w:val="0"/>
          <w:sz w:val="36"/>
          <w:szCs w:val="36"/>
          <w:lang w:val="en-US" w:eastAsia="zh-CN" w:bidi="ar-SA"/>
        </w:rPr>
        <w:t>长沙市市场监督管理局信息中心概况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570"/>
        <w:jc w:val="center"/>
        <w:textAlignment w:val="center"/>
        <w:rPr>
          <w:rFonts w:hint="eastAsia" w:ascii="Calibri" w:hAnsi="Calibri" w:eastAsia="方正小标宋_GBK" w:cs="Arial"/>
          <w:bCs/>
          <w:kern w:val="0"/>
          <w:sz w:val="21"/>
          <w:szCs w:val="21"/>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宋体" w:eastAsia="宋体" w:cs="宋体"/>
          <w:sz w:val="32"/>
          <w:szCs w:val="32"/>
        </w:rPr>
      </w:pPr>
      <w:r>
        <w:rPr>
          <w:rFonts w:hint="eastAsia" w:ascii="黑体" w:eastAsia="黑体" w:cs="黑体"/>
          <w:i w:val="0"/>
          <w:caps w:val="0"/>
          <w:smallCaps w:val="0"/>
          <w:color w:val="333333"/>
          <w:spacing w:val="0"/>
          <w:sz w:val="32"/>
          <w:szCs w:val="32"/>
          <w:shd w:val="clear" w:color="auto" w:fill="FFFFFF"/>
        </w:rPr>
        <w:t>一、部门职责</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（一）负责全市法人数据库的建设和管理工作。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（二）负责全市12365投诉举报指挥系统和96366电梯应急救援系统的建设和技术维护工作。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（三）负责全市质量管理技术性工作。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（四）负责全市商品条码管理工作。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（五）负责全市标准化应用和相关技术咨询工作。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（六）负责市质量技术监督系统的信息化建设和日常维护管理工作。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（七）负责市政务服务中心质量技术监督窗口管理工作。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仿宋" w:eastAsia="仿宋" w:cs="仿宋"/>
          <w:sz w:val="32"/>
          <w:szCs w:val="32"/>
        </w:rPr>
      </w:pPr>
      <w:r>
        <w:rPr>
          <w:rFonts w:hint="eastAsia" w:ascii="仿宋_GB2312" w:eastAsia="仿宋_GB2312" w:cs="仿宋_GB2312"/>
          <w:color w:val="000000"/>
          <w:sz w:val="32"/>
          <w:szCs w:val="32"/>
          <w:lang w:bidi="ar-SA"/>
        </w:rPr>
        <w:t>（八）完成市质量技术监督局交办的其他工作。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宋体" w:eastAsia="宋体" w:cs="宋体"/>
          <w:sz w:val="32"/>
          <w:szCs w:val="32"/>
        </w:rPr>
      </w:pPr>
      <w:r>
        <w:rPr>
          <w:rFonts w:hint="eastAsia" w:ascii="黑体" w:eastAsia="黑体" w:cs="黑体"/>
          <w:i w:val="0"/>
          <w:caps w:val="0"/>
          <w:smallCaps w:val="0"/>
          <w:color w:val="333333"/>
          <w:spacing w:val="0"/>
          <w:sz w:val="32"/>
          <w:szCs w:val="32"/>
          <w:shd w:val="clear" w:color="auto" w:fill="FFFFFF"/>
        </w:rPr>
        <w:t>二、机构设置及决算单位构成</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（一）内设机构设置。根据职责本单位设下列内设科室：办公室、政工科、财务科、档案管理科、信息技术科。</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（二）决算单位构成。纳入2021年部门决算编制范围的预算单位包括：长沙市市场监督管理局信息中心。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Calibri" w:hAnsi="Calibri" w:eastAsia="方正小标宋_GBK" w:cs="Arial"/>
          <w:bCs/>
          <w:kern w:val="0"/>
          <w:sz w:val="36"/>
          <w:szCs w:val="36"/>
          <w:lang w:val="en-US" w:eastAsia="zh-CN" w:bidi="ar-SA"/>
        </w:rPr>
      </w:pPr>
      <w:r>
        <w:rPr>
          <w:rFonts w:hint="eastAsia" w:ascii="Calibri" w:hAnsi="Calibri" w:eastAsia="方正小标宋_GBK" w:cs="Arial"/>
          <w:bCs/>
          <w:kern w:val="0"/>
          <w:sz w:val="36"/>
          <w:szCs w:val="36"/>
          <w:lang w:val="en-US" w:eastAsia="zh-CN" w:bidi="ar-SA"/>
        </w:rPr>
        <w:t>第二部分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Calibri" w:hAnsi="Calibri" w:eastAsia="方正小标宋_GBK" w:cs="Arial"/>
          <w:bCs/>
          <w:kern w:val="0"/>
          <w:sz w:val="21"/>
          <w:szCs w:val="21"/>
          <w:lang w:val="en-US" w:eastAsia="zh-CN" w:bidi="ar-SA"/>
        </w:rPr>
      </w:pPr>
      <w:r>
        <w:rPr>
          <w:rFonts w:hint="eastAsia" w:eastAsia="方正小标宋_GBK" w:cs="Arial"/>
          <w:bCs/>
          <w:kern w:val="0"/>
          <w:sz w:val="36"/>
          <w:szCs w:val="36"/>
          <w:lang w:val="en-US" w:eastAsia="zh-CN" w:bidi="ar-SA"/>
        </w:rPr>
        <w:t>2021年度</w:t>
      </w:r>
      <w:r>
        <w:rPr>
          <w:rFonts w:hint="eastAsia" w:ascii="Calibri" w:hAnsi="Calibri" w:eastAsia="方正小标宋_GBK" w:cs="Arial"/>
          <w:bCs/>
          <w:kern w:val="0"/>
          <w:sz w:val="36"/>
          <w:szCs w:val="36"/>
          <w:lang w:val="en-US" w:eastAsia="zh-CN" w:bidi="ar-SA"/>
        </w:rPr>
        <w:t>部门决算表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Calibri" w:hAnsi="Calibri" w:eastAsia="方正小标宋_GBK" w:cs="Arial"/>
          <w:bCs/>
          <w:kern w:val="0"/>
          <w:sz w:val="21"/>
          <w:szCs w:val="21"/>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20" w:lineRule="exact"/>
        <w:ind w:left="0" w:right="0" w:firstLine="0"/>
        <w:jc w:val="center"/>
        <w:textAlignment w:val="center"/>
        <w:rPr>
          <w:rFonts w:hint="eastAsia" w:ascii="黑体" w:eastAsia="黑体" w:cs="黑体"/>
          <w:bCs/>
          <w:kern w:val="0"/>
          <w:sz w:val="36"/>
          <w:szCs w:val="36"/>
          <w:lang w:val="en-US" w:eastAsia="zh-CN" w:bidi="ar-SA"/>
        </w:rPr>
      </w:pPr>
      <w:r>
        <w:rPr>
          <w:rFonts w:hint="eastAsia" w:ascii="黑体" w:eastAsia="黑体" w:cs="黑体"/>
          <w:bCs/>
          <w:kern w:val="0"/>
          <w:sz w:val="32"/>
          <w:szCs w:val="32"/>
          <w:lang w:val="en-US" w:eastAsia="zh-CN" w:bidi="ar-SA"/>
        </w:rPr>
        <w:t>见附件1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Calibri" w:hAnsi="Calibri" w:eastAsia="方正小标宋_GBK" w:cs="Arial"/>
          <w:bCs/>
          <w:kern w:val="0"/>
          <w:sz w:val="36"/>
          <w:szCs w:val="36"/>
          <w:lang w:val="en-US" w:eastAsia="zh-CN" w:bidi="ar-SA"/>
        </w:rPr>
      </w:pPr>
      <w:r>
        <w:rPr>
          <w:rFonts w:hint="eastAsia" w:ascii="Calibri" w:hAnsi="Calibri" w:eastAsia="方正小标宋_GBK" w:cs="Arial"/>
          <w:bCs/>
          <w:kern w:val="0"/>
          <w:sz w:val="36"/>
          <w:szCs w:val="36"/>
          <w:lang w:val="en-US" w:eastAsia="zh-CN" w:bidi="ar-SA"/>
        </w:rPr>
        <w:t>第三部分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Calibri" w:hAnsi="Calibri" w:eastAsia="方正小标宋_GBK" w:cs="Arial"/>
          <w:bCs/>
          <w:kern w:val="0"/>
          <w:sz w:val="21"/>
          <w:szCs w:val="21"/>
          <w:lang w:val="en-US" w:eastAsia="zh-CN" w:bidi="ar-SA"/>
        </w:rPr>
      </w:pPr>
      <w:r>
        <w:rPr>
          <w:rFonts w:hint="eastAsia" w:ascii="Calibri" w:hAnsi="Calibri" w:eastAsia="方正小标宋_GBK" w:cs="Arial"/>
          <w:bCs/>
          <w:kern w:val="0"/>
          <w:sz w:val="36"/>
          <w:szCs w:val="36"/>
          <w:lang w:val="en-US" w:eastAsia="zh-CN" w:bidi="ar-SA"/>
        </w:rPr>
        <w:t>2021年度部门决算情况说明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Calibri" w:hAnsi="Calibri" w:eastAsia="方正小标宋_GBK" w:cs="Arial"/>
          <w:bCs/>
          <w:kern w:val="0"/>
          <w:sz w:val="21"/>
          <w:szCs w:val="21"/>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一、收入支出决算总体情况说明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2021年度收入总计为857.52万元。与上年度相比，收入增加61．8万元，增长7.77％。主要原因是人员经费按政策性增资。</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2021年度支出总计为857.52万元。与上年度相比，支出增长61.8万元，增长7.77％。主要原因是人员经费按政策性增资。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宋体" w:cs="宋体"/>
          <w:sz w:val="32"/>
          <w:szCs w:val="32"/>
        </w:rPr>
      </w:pPr>
      <w:r>
        <w:rPr>
          <w:rFonts w:hint="eastAsia" w:ascii="Times New Roman" w:hAnsi="Times New Roman" w:eastAsia="黑体" w:cs="黑体"/>
          <w:color w:val="000000"/>
          <w:kern w:val="0"/>
          <w:sz w:val="32"/>
          <w:szCs w:val="32"/>
          <w:lang w:val="en-US" w:eastAsia="zh-CN" w:bidi="ar-SA"/>
        </w:rPr>
        <w:t>二、收入决算情况说明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center"/>
        <w:rPr>
          <w:rFonts w:hint="eastAsia" w:ascii="Times New Roman" w:hAnsi="Times New Roman" w:eastAsia="宋体" w:cs="宋体"/>
          <w:sz w:val="32"/>
          <w:szCs w:val="32"/>
        </w:rPr>
      </w:pPr>
      <w:r>
        <w:rPr>
          <w:rFonts w:hint="eastAsia" w:ascii="Times New Roman" w:hAnsi="Times New Roman" w:eastAsia="宋体" w:cs="宋体"/>
          <w:i w:val="0"/>
          <w:caps w:val="0"/>
          <w:smallCaps w:val="0"/>
          <w:color w:val="333333"/>
          <w:spacing w:val="0"/>
          <w:sz w:val="32"/>
          <w:szCs w:val="32"/>
          <w:shd w:val="clear" w:color="auto" w:fill="FFFFFF"/>
        </w:rPr>
        <w:t>2</w:t>
      </w:r>
      <w:r>
        <w:rPr>
          <w:rFonts w:hint="eastAsia" w:ascii="Times New Roman" w:hAnsi="Times New Roman" w:eastAsia="仿宋_GB2312" w:cs="仿宋_GB2312"/>
          <w:color w:val="000000"/>
          <w:sz w:val="32"/>
          <w:szCs w:val="32"/>
          <w:lang w:bidi="ar-SA"/>
        </w:rPr>
        <w:t>021年度收入合计857.52万元，其中：财政拨款收入857.52万元，占100.00％；上级补助收入0.00万元，占0.00％；事业收入0.00万元，占0.00％；经营收入0.00万元，占0.00％；附属单位上缴收入0.00万元，占0.00％；其他收入0.00万元，占0.00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宋体" w:cs="宋体"/>
          <w:sz w:val="32"/>
          <w:szCs w:val="32"/>
        </w:rPr>
      </w:pPr>
      <w:r>
        <w:rPr>
          <w:rFonts w:hint="eastAsia" w:ascii="Times New Roman" w:hAnsi="Times New Roman" w:eastAsia="黑体" w:cs="黑体"/>
          <w:color w:val="000000"/>
          <w:kern w:val="0"/>
          <w:sz w:val="32"/>
          <w:szCs w:val="32"/>
          <w:lang w:val="en-US" w:eastAsia="zh-CN" w:bidi="ar-SA"/>
        </w:rPr>
        <w:t>三、支出决算情况说明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2021年度支出合计857.52万元，其中：基本支出827.31万元，占96.48％；项目支出30.21万元，占3.52％；上缴上级支出0.00万元，占0.00％；经营支出0.00万元，占0.00％；对附属单位补助支出0.00万元，占0.00％。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宋体" w:cs="宋体"/>
          <w:sz w:val="32"/>
          <w:szCs w:val="32"/>
        </w:rPr>
      </w:pPr>
      <w:r>
        <w:rPr>
          <w:rFonts w:hint="eastAsia" w:ascii="Times New Roman" w:hAnsi="Times New Roman" w:eastAsia="黑体" w:cs="黑体"/>
          <w:color w:val="000000"/>
          <w:kern w:val="0"/>
          <w:sz w:val="32"/>
          <w:szCs w:val="32"/>
          <w:lang w:val="en-US" w:eastAsia="zh-CN" w:bidi="ar-SA"/>
        </w:rPr>
        <w:t>四、财政拨款收入支出决算总体情况说明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center"/>
        <w:rPr>
          <w:rFonts w:hint="eastAsia" w:ascii="Times New Roman" w:hAnsi="Times New Roman" w:eastAsia="宋体" w:cs="宋体"/>
          <w:sz w:val="32"/>
          <w:szCs w:val="32"/>
        </w:rPr>
      </w:pPr>
      <w:r>
        <w:rPr>
          <w:rFonts w:hint="eastAsia" w:ascii="Times New Roman" w:hAnsi="Times New Roman" w:eastAsia="仿宋_GB2312" w:cs="仿宋_GB2312"/>
          <w:color w:val="000000"/>
          <w:sz w:val="32"/>
          <w:szCs w:val="32"/>
          <w:lang w:bidi="ar-SA"/>
        </w:rPr>
        <w:t>2021年度财政拨款收、支总计均为857.52万元。与上年度相比，财政拨款收、支总计各增加61.8万元，增长7.77％。主要原因是人员经费按政策性增资。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宋体" w:cs="宋体"/>
          <w:sz w:val="32"/>
          <w:szCs w:val="32"/>
        </w:rPr>
      </w:pPr>
      <w:r>
        <w:rPr>
          <w:rFonts w:hint="eastAsia" w:ascii="Times New Roman" w:hAnsi="Times New Roman" w:eastAsia="黑体" w:cs="黑体"/>
          <w:color w:val="000000"/>
          <w:kern w:val="0"/>
          <w:sz w:val="32"/>
          <w:szCs w:val="32"/>
          <w:lang w:val="en-US" w:eastAsia="zh-CN" w:bidi="ar-SA"/>
        </w:rPr>
        <w:t>五、一般公共预算财政拨款支出决算情况说明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Times New Roman" w:hAnsi="Times New Roman" w:eastAsia="宋体" w:cs="宋体"/>
          <w:sz w:val="32"/>
          <w:szCs w:val="32"/>
        </w:rPr>
      </w:pPr>
      <w:r>
        <w:rPr>
          <w:rFonts w:hint="eastAsia" w:ascii="Times New Roman" w:hAnsi="Times New Roman" w:eastAsia="宋体" w:cs="宋体"/>
          <w:i w:val="0"/>
          <w:caps w:val="0"/>
          <w:smallCaps w:val="0"/>
          <w:color w:val="333333"/>
          <w:spacing w:val="0"/>
          <w:sz w:val="32"/>
          <w:szCs w:val="32"/>
          <w:shd w:val="clear" w:color="auto" w:fill="FFFFFF"/>
        </w:rPr>
        <w:t>（一）财政拨款支出决算总体情况。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2021年度一般公共预算财政拨款支出857.52万元，占支出合计的100.00％。与上年度相比，一般公共预算财政拨款支出增加61.8万元，增长7.77％。主要原因是人员经费按政策性增资。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Times New Roman" w:hAnsi="Times New Roman" w:eastAsia="宋体" w:cs="宋体"/>
          <w:sz w:val="32"/>
          <w:szCs w:val="32"/>
        </w:rPr>
      </w:pPr>
      <w:r>
        <w:rPr>
          <w:rFonts w:hint="eastAsia" w:ascii="Times New Roman" w:hAnsi="Times New Roman" w:eastAsia="宋体" w:cs="宋体"/>
          <w:i w:val="0"/>
          <w:caps w:val="0"/>
          <w:smallCaps w:val="0"/>
          <w:color w:val="333333"/>
          <w:spacing w:val="0"/>
          <w:sz w:val="32"/>
          <w:szCs w:val="32"/>
          <w:shd w:val="clear" w:color="auto" w:fill="FFFFFF"/>
        </w:rPr>
        <w:t>（二）财政拨款支出决算结构情况。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2021年度一般公共预算财政拨款支出857.52万元，主要用于以下方面：一般公共服务（类）支出857.52万元，占100％。</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Times New Roman" w:hAnsi="Times New Roman" w:eastAsia="宋体" w:cs="宋体"/>
          <w:sz w:val="32"/>
          <w:szCs w:val="32"/>
        </w:rPr>
      </w:pPr>
      <w:r>
        <w:rPr>
          <w:rFonts w:hint="eastAsia" w:ascii="Times New Roman" w:hAnsi="Times New Roman" w:eastAsia="宋体" w:cs="宋体"/>
          <w:i w:val="0"/>
          <w:caps w:val="0"/>
          <w:smallCaps w:val="0"/>
          <w:color w:val="333333"/>
          <w:spacing w:val="0"/>
          <w:sz w:val="32"/>
          <w:szCs w:val="32"/>
          <w:shd w:val="clear" w:color="auto" w:fill="FFFFFF"/>
        </w:rPr>
        <w:t>（三）财政拨款支出决算具体情况。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宋体" w:cs="宋体"/>
          <w:i w:val="0"/>
          <w:caps w:val="0"/>
          <w:smallCaps w:val="0"/>
          <w:color w:val="333333"/>
          <w:spacing w:val="0"/>
          <w:sz w:val="32"/>
          <w:szCs w:val="32"/>
          <w:shd w:val="clear" w:color="auto" w:fill="FFFFFF"/>
        </w:rPr>
        <w:t>2</w:t>
      </w:r>
      <w:r>
        <w:rPr>
          <w:rFonts w:hint="eastAsia" w:ascii="Times New Roman" w:hAnsi="Times New Roman" w:eastAsia="仿宋_GB2312" w:cs="仿宋_GB2312"/>
          <w:color w:val="000000"/>
          <w:sz w:val="32"/>
          <w:szCs w:val="32"/>
          <w:lang w:bidi="ar-SA"/>
        </w:rPr>
        <w:t>021年度一般公共预算财政拨款支出年初预算为908.75万元，支出决算为857.52万元，完成年初预算的94.36％。其中：</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1．一般公共服务（类）市场监督管理事务（款）行政运行（项）。</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年初预算为0万元，支出决算为0万元。决算数与年初预算数无差异。主要</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宋体" w:cs="宋体"/>
          <w:sz w:val="32"/>
          <w:szCs w:val="32"/>
        </w:rPr>
      </w:pPr>
      <w:r>
        <w:rPr>
          <w:rFonts w:hint="eastAsia" w:ascii="Times New Roman" w:hAnsi="Times New Roman" w:eastAsia="仿宋_GB2312" w:cs="仿宋_GB2312"/>
          <w:color w:val="000000"/>
          <w:sz w:val="32"/>
          <w:szCs w:val="32"/>
          <w:lang w:bidi="ar-SA"/>
        </w:rPr>
        <w:t>原因是本单位属全额拨款事业单位，无行政运行经费。</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2．一般公共服务（类）市场监督管理事务（款）事业运行（项）。</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年初预算为818.5万元，支出决算为827.31万元，完成年初预算的101.08％。</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决算数大于年初预算数的主要原因是人员经费按政策性增资。</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3．一般公共服务支出（类）市场监督管理事务（款）其他市场监督管理事务（项）。</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年初预算为90.25万元，支出决算为30.21万元，完成年初预算的33.47％。</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决算数小于年初预算数，主要原因是本单位处于改革期间，为完成上级主管部门安排的事项，项目预算执行有临时性调整，并且依实际情况开支项目经费。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宋体" w:cs="宋体"/>
          <w:sz w:val="32"/>
          <w:szCs w:val="32"/>
        </w:rPr>
      </w:pPr>
      <w:r>
        <w:rPr>
          <w:rFonts w:hint="eastAsia" w:ascii="Times New Roman" w:hAnsi="Times New Roman" w:eastAsia="黑体" w:cs="黑体"/>
          <w:color w:val="000000"/>
          <w:kern w:val="0"/>
          <w:sz w:val="32"/>
          <w:szCs w:val="32"/>
          <w:lang w:val="en-US" w:eastAsia="zh-CN" w:bidi="ar-SA"/>
        </w:rPr>
        <w:t>六、一般公共预算财政拨款基本支出决算情况说明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center"/>
        <w:rPr>
          <w:rFonts w:hint="eastAsia" w:ascii="Times New Roman" w:hAnsi="Times New Roman" w:eastAsia="宋体" w:cs="宋体"/>
          <w:sz w:val="32"/>
          <w:szCs w:val="32"/>
        </w:rPr>
      </w:pPr>
      <w:r>
        <w:rPr>
          <w:rFonts w:hint="eastAsia" w:ascii="Times New Roman" w:hAnsi="Times New Roman" w:eastAsia="仿宋_GB2312" w:cs="仿宋_GB2312"/>
          <w:color w:val="000000"/>
          <w:sz w:val="32"/>
          <w:szCs w:val="32"/>
          <w:lang w:bidi="ar-SA"/>
        </w:rPr>
        <w:t>2021年度一般公共预算财政拨款基本支出827.31万元。其中：人员经费775.49万元，占基本支出93.74％，主要包括：基本工资、津贴补贴、奖金、绩效工资、机关事业单位基本养老保险缴费、职业年金缴费、职工基本医疗保险缴费、公务员医疗补助缴费、其他社会保障缴费、住房公积金、其他工资福利支出、退休费、奖励金、其他对个人和家庭的补助；公用经费51.82万元，占基本支出6.26％，主要包括：办公费、印刷费、邮电费、差旅费、培训费、委托业务费、工会经费、福利费、公务用车运行维护费、其他商品和服务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七、一般公共预算财政拨款“三公”经费支出决算情况说明</w:t>
      </w:r>
    </w:p>
    <w:p>
      <w:pPr>
        <w:pStyle w:val="9"/>
        <w:keepNext w:val="0"/>
        <w:keepLines w:val="0"/>
        <w:pageBreakBefore w:val="0"/>
        <w:widowControl/>
        <w:kinsoku/>
        <w:wordWrap/>
        <w:overflowPunct/>
        <w:topLinePunct w:val="0"/>
        <w:autoSpaceDE/>
        <w:autoSpaceDN/>
        <w:bidi w:val="0"/>
        <w:adjustRightInd/>
        <w:snapToGrid/>
        <w:spacing w:before="30" w:beforeAutospacing="0" w:after="30" w:afterAutospacing="0" w:line="420" w:lineRule="exact"/>
        <w:ind w:left="0" w:right="0" w:firstLine="420"/>
        <w:textAlignment w:val="auto"/>
        <w:rPr>
          <w:rFonts w:hint="eastAsia" w:ascii="Times New Roman" w:hAnsi="Times New Roman" w:eastAsia="宋体" w:cs="宋体"/>
          <w:sz w:val="32"/>
          <w:szCs w:val="32"/>
        </w:rPr>
      </w:pPr>
      <w:r>
        <w:rPr>
          <w:rFonts w:hint="eastAsia" w:ascii="Times New Roman" w:hAnsi="Times New Roman" w:eastAsia="宋体" w:cs="宋体"/>
          <w:i w:val="0"/>
          <w:caps w:val="0"/>
          <w:smallCaps w:val="0"/>
          <w:color w:val="333333"/>
          <w:spacing w:val="0"/>
          <w:sz w:val="32"/>
          <w:szCs w:val="32"/>
          <w:shd w:val="clear" w:color="auto" w:fill="FFFFFF"/>
        </w:rPr>
        <w:t>（一）“三公”经费财政拨款支出决算总体情况说明。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2021年度“三公”经费财政拨款支出预算为3.50万元，支出决算为2.51万元，完成预算的71.71％。2021年度“三公”经费支出决算数与预算数存在差异的主要原因是提倡厉行节约，反对浪费。其中：</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因公出国（境）费年初预算为0.00万元，支出决算为0.00万元，完成年初预算的0.00％．决算数等于预算数的主要原因是本单位全年无因公出国（境）费。与上年相比无变化，主要原因是这两年未发生支出。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公务接待费年初预算为0.50万元，支出决算为0.00万元，完成年初预算的0.00％，决算数小于预算数的主要原因是提倡厉行节约，反对浪费，与上年相比无变化，主要原因是这两年未发生支出。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公务用车购置费年初预算为0.00万元，支出决算为0.00万元，完成年初预算的0.00％，决算数等于预算数的主要原因是本单位本年没有公务用车购置费，与上年相比无变化，主要原因是这两年无公务用车购置。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宋体" w:cs="宋体"/>
          <w:sz w:val="32"/>
          <w:szCs w:val="32"/>
        </w:rPr>
      </w:pPr>
      <w:r>
        <w:rPr>
          <w:rFonts w:hint="eastAsia" w:ascii="Times New Roman" w:hAnsi="Times New Roman" w:eastAsia="仿宋_GB2312" w:cs="仿宋_GB2312"/>
          <w:color w:val="000000"/>
          <w:sz w:val="32"/>
          <w:szCs w:val="32"/>
          <w:lang w:bidi="ar-SA"/>
        </w:rPr>
        <w:t>公务用车运行维护费支出预算为3.00万元，支出决算为2.51万元，完成预算的83.67％，决算数小于预算数的主要原因是厉行提倡节约，反对浪费，与上年相比一致，主要原因是继续提倡厉行节约，反对浪费。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20" w:lineRule="atLeast"/>
        <w:ind w:left="0" w:right="0" w:firstLine="420"/>
        <w:jc w:val="both"/>
        <w:textAlignment w:val="center"/>
        <w:rPr>
          <w:rFonts w:hint="eastAsia" w:ascii="Times New Roman" w:hAnsi="Times New Roman" w:eastAsia="宋体" w:cs="宋体"/>
          <w:sz w:val="32"/>
          <w:szCs w:val="32"/>
        </w:rPr>
      </w:pPr>
      <w:r>
        <w:rPr>
          <w:rFonts w:hint="eastAsia" w:ascii="Times New Roman" w:hAnsi="Times New Roman" w:eastAsia="宋体" w:cs="宋体"/>
          <w:i w:val="0"/>
          <w:caps w:val="0"/>
          <w:smallCaps w:val="0"/>
          <w:color w:val="333333"/>
          <w:spacing w:val="0"/>
          <w:sz w:val="32"/>
          <w:szCs w:val="32"/>
          <w:shd w:val="clear" w:color="auto" w:fill="FFFFFF"/>
        </w:rPr>
        <w:t>（二）“三公”经费财政拨款支出决算具体情况说明。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2021年度“三公”经费财政拨款支出决算中，公务接待费支出决算0.00万元，占0.00％；因公出国（境）费支出决算0.00万元，占0.00％，公务用车购置及运行费支出决算2.51万元，占71.71％。其中：</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1．因公出国（境）费年初预算为0.00万元，支出决算为0.00万元，完成年初预算的0.00％。全年安排因公出国（境）团组0个，累计0人次。决算数与年初预算数无差异，与2021年度相比无变化。无变化的原因主要是两年均未发生支出费用。</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2．公务接待费支出决算为0.00万元，全年共接待来访团组0个、来宾0人次。决算数与年初预算数存在差异的主要原因是提倡厉行节约，无公务接待。其中：</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外宾接待支出0.00万元。2021年共接待国（境）外来访团组0个、来访外宾0人次（不包括陪同人员）。</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其他国内公务接待支出0.00万元。2021年共接待国内来访团组0个、来宾0人次（不包括陪同人员）。</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宋体" w:cs="宋体"/>
          <w:sz w:val="32"/>
          <w:szCs w:val="32"/>
        </w:rPr>
      </w:pPr>
      <w:r>
        <w:rPr>
          <w:rFonts w:hint="eastAsia" w:ascii="Times New Roman" w:hAnsi="Times New Roman" w:eastAsia="仿宋_GB2312" w:cs="仿宋_GB2312"/>
          <w:color w:val="000000"/>
          <w:sz w:val="32"/>
          <w:szCs w:val="32"/>
          <w:lang w:bidi="ar-SA"/>
        </w:rPr>
        <w:t>3、公务用车购置及运行费年初预算为3.00万元，支出决算为2.51万元，完成年初预算的83.67％。决算数小于年初预算数存主要原因是提倡厉行节约。其中：公务用车购置支出0.00万元。更新公务用车0辆。公务用车运行支出2.51万元。主要用于主要是公车维修、加油、保险等支出。2021年期末，单位开支财政拨款的公务用车保有量为1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八、政府性基金预算财政拨款收入支出决算情况说明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center"/>
        <w:rPr>
          <w:rFonts w:hint="eastAsia" w:ascii="Times New Roman" w:hAnsi="Times New Roman" w:eastAsia="宋体" w:cs="宋体"/>
          <w:sz w:val="32"/>
          <w:szCs w:val="32"/>
        </w:rPr>
      </w:pPr>
      <w:r>
        <w:rPr>
          <w:rFonts w:hint="eastAsia" w:ascii="Times New Roman" w:hAnsi="Times New Roman" w:eastAsia="仿宋_GB2312" w:cs="仿宋_GB2312"/>
          <w:color w:val="000000"/>
          <w:sz w:val="32"/>
          <w:szCs w:val="32"/>
          <w:lang w:bidi="ar-SA"/>
        </w:rPr>
        <w:t>本部门2021年度没有政府性基金收入，也没有使用政府性基金安排的支出。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九、机关运行经费支出情况说明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Times New Roman" w:hAnsi="Times New Roman" w:eastAsia="宋体" w:cs="宋体"/>
          <w:i w:val="0"/>
          <w:caps w:val="0"/>
          <w:smallCaps w:val="0"/>
          <w:color w:val="333333"/>
          <w:spacing w:val="0"/>
          <w:sz w:val="32"/>
          <w:szCs w:val="32"/>
          <w:highlight w:val="yellow"/>
          <w:shd w:val="clear" w:color="auto" w:fill="FFFFFF"/>
          <w:lang w:eastAsia="zh-CN"/>
        </w:rPr>
      </w:pPr>
      <w:r>
        <w:rPr>
          <w:rFonts w:hint="eastAsia" w:ascii="Times New Roman" w:hAnsi="Times New Roman" w:eastAsia="仿宋_GB2312" w:cs="仿宋_GB2312"/>
          <w:color w:val="000000"/>
          <w:sz w:val="32"/>
          <w:szCs w:val="32"/>
          <w:lang w:bidi="ar-SA"/>
        </w:rPr>
        <w:t>本部门2021年度机关运行经费支出</w:t>
      </w:r>
      <w:r>
        <w:rPr>
          <w:rFonts w:hint="eastAsia" w:ascii="Times New Roman" w:hAnsi="Times New Roman" w:eastAsia="仿宋_GB2312" w:cs="仿宋_GB2312"/>
          <w:color w:val="000000"/>
          <w:sz w:val="32"/>
          <w:szCs w:val="32"/>
          <w:lang w:val="en-US" w:eastAsia="zh-CN" w:bidi="ar-SA"/>
        </w:rPr>
        <w:t>0</w:t>
      </w:r>
      <w:r>
        <w:rPr>
          <w:rFonts w:hint="eastAsia" w:ascii="Times New Roman" w:hAnsi="Times New Roman" w:eastAsia="仿宋_GB2312" w:cs="仿宋_GB2312"/>
          <w:color w:val="000000"/>
          <w:sz w:val="32"/>
          <w:szCs w:val="32"/>
          <w:lang w:bidi="ar-SA"/>
        </w:rPr>
        <w:t>万元，</w:t>
      </w:r>
      <w:r>
        <w:rPr>
          <w:rFonts w:hint="eastAsia" w:ascii="Times New Roman" w:hAnsi="Times New Roman" w:eastAsia="仿宋_GB2312" w:cs="仿宋_GB2312"/>
          <w:color w:val="000000"/>
          <w:sz w:val="32"/>
          <w:szCs w:val="32"/>
          <w:lang w:val="en-US" w:eastAsia="zh-CN" w:bidi="ar-SA"/>
        </w:rPr>
        <w:t>我中心</w:t>
      </w:r>
      <w:r>
        <w:rPr>
          <w:rFonts w:hint="eastAsia" w:ascii="Times New Roman" w:hAnsi="Times New Roman" w:eastAsia="仿宋_GB2312" w:cs="仿宋_GB2312"/>
          <w:color w:val="000000"/>
          <w:sz w:val="32"/>
          <w:szCs w:val="32"/>
          <w:lang w:bidi="ar-SA"/>
        </w:rPr>
        <w:t>为事业单位，无机关运行经费</w:t>
      </w:r>
      <w:r>
        <w:rPr>
          <w:rFonts w:hint="eastAsia" w:ascii="Times New Roman" w:hAnsi="Times New Roman" w:eastAsia="仿宋_GB2312" w:cs="仿宋_GB2312"/>
          <w:color w:val="000000"/>
          <w:sz w:val="32"/>
          <w:szCs w:val="32"/>
          <w:lang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十、一般性支出情况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2021年本单位开支会议费0.00万元；开支培训费1.18万元，用于参加长沙市市场监督管理局组织的系统干部综合能力提升培训班，共三期，6人参加，开支内容为住宿费和交通费，共计1．18万元，培训内容为市场监管局国家行政学院培训、吉林大学培训。本单位无举办节庆、晚会、论坛、赛事等活动的预算和开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十一、政府采购支出情况说明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center"/>
        <w:rPr>
          <w:rFonts w:hint="eastAsia" w:ascii="Times New Roman" w:hAnsi="Times New Roman" w:eastAsia="宋体" w:cs="宋体"/>
          <w:sz w:val="32"/>
          <w:szCs w:val="32"/>
        </w:rPr>
      </w:pPr>
      <w:r>
        <w:rPr>
          <w:rFonts w:hint="eastAsia" w:ascii="Times New Roman" w:hAnsi="Times New Roman" w:eastAsia="仿宋_GB2312" w:cs="仿宋_GB2312"/>
          <w:color w:val="000000"/>
          <w:sz w:val="32"/>
          <w:szCs w:val="32"/>
          <w:lang w:bidi="ar-SA"/>
        </w:rPr>
        <w:t>2021年度政府采购支出总额4.98万元，其中：政府采购货物支出4.98万元、政府采购工程支出0.00万元、政府采购服务支出0.00万元。授予中小企业合同金额4.98万元，占政府采购支出总额的100．00％，其中：授予小微企业合同金额4.98万元，占政府采购支出总额的100％。货物采购授予中小企业合同金额占货物支出金额的100％，工程采购授予中小企业合同金额占工程支出金额的0％，服务采购授予中小企业合同金额占服务支出金额的0％</w:t>
      </w:r>
      <w:r>
        <w:rPr>
          <w:rFonts w:hint="eastAsia" w:ascii="Times New Roman" w:hAnsi="Times New Roman" w:eastAsia="宋体" w:cs="宋体"/>
          <w:i w:val="0"/>
          <w:caps w:val="0"/>
          <w:smallCaps w:val="0"/>
          <w:color w:val="333333"/>
          <w:spacing w:val="0"/>
          <w:sz w:val="32"/>
          <w:szCs w:val="32"/>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十二、国有资产占用情况说明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2021年期末，我单位共有车辆1辆，其中：省级领导干部用车0辆、主要领导干部用车0辆、机要通信用车0辆、应急保障车0辆、执法执勤用车0辆、特种专业技术用车0辆、离退休干部用车0辆、其他用车1辆，主要用于中心日常工作开展；单位价值50万元以上通用设备0台（套），单位价值100万元以上专用设备0台（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70" w:lineRule="exact"/>
        <w:ind w:left="0" w:right="0" w:firstLine="420"/>
        <w:jc w:val="both"/>
        <w:textAlignment w:val="center"/>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十三、2021年度预算绩效情况的说明</w:t>
      </w:r>
    </w:p>
    <w:p>
      <w:pPr>
        <w:pStyle w:val="9"/>
        <w:keepNext w:val="0"/>
        <w:keepLines w:val="0"/>
        <w:pageBreakBefore w:val="0"/>
        <w:widowControl/>
        <w:kinsoku/>
        <w:wordWrap/>
        <w:overflowPunct/>
        <w:topLinePunct w:val="0"/>
        <w:autoSpaceDE/>
        <w:autoSpaceDN/>
        <w:bidi w:val="0"/>
        <w:adjustRightInd/>
        <w:snapToGrid/>
        <w:spacing w:before="30" w:beforeAutospacing="0" w:after="30" w:afterAutospacing="0" w:line="420" w:lineRule="exact"/>
        <w:ind w:left="0" w:right="0" w:firstLine="42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宋体" w:cs="宋体"/>
          <w:i w:val="0"/>
          <w:caps w:val="0"/>
          <w:smallCaps w:val="0"/>
          <w:color w:val="333333"/>
          <w:spacing w:val="0"/>
          <w:sz w:val="32"/>
          <w:szCs w:val="32"/>
          <w:shd w:val="clear" w:color="auto" w:fill="FFFFFF"/>
        </w:rPr>
        <w:t>（</w:t>
      </w:r>
      <w:r>
        <w:rPr>
          <w:rFonts w:hint="eastAsia" w:ascii="Times New Roman" w:hAnsi="Times New Roman" w:eastAsia="仿宋_GB2312" w:cs="仿宋_GB2312"/>
          <w:color w:val="000000"/>
          <w:sz w:val="32"/>
          <w:szCs w:val="32"/>
          <w:lang w:bidi="ar-SA"/>
        </w:rPr>
        <w:t>1）绩效管理评价工作开展情况。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bidi="ar-SA"/>
        </w:rPr>
        <w:t>根据预算绩效管理要求，我中心组织开展整体支出绩效评价，涉及一般公共预算支出857.52万元，政府性基金预算支出0.00万元。</w:t>
      </w:r>
      <w:r>
        <w:rPr>
          <w:rFonts w:hint="eastAsia" w:ascii="Times New Roman" w:hAnsi="Times New Roman" w:eastAsia="仿宋_GB2312" w:cs="仿宋_GB2312"/>
          <w:color w:val="000000"/>
          <w:sz w:val="32"/>
          <w:szCs w:val="32"/>
          <w:lang w:val="en-US" w:eastAsia="zh-CN" w:bidi="ar-SA"/>
        </w:rPr>
        <w:t>本单位2021年度无重点项目支出，为常规性项目开支。</w:t>
      </w:r>
    </w:p>
    <w:p>
      <w:pPr>
        <w:pStyle w:val="9"/>
        <w:keepNext w:val="0"/>
        <w:keepLines w:val="0"/>
        <w:pageBreakBefore w:val="0"/>
        <w:widowControl/>
        <w:kinsoku/>
        <w:wordWrap/>
        <w:overflowPunct/>
        <w:topLinePunct w:val="0"/>
        <w:autoSpaceDE/>
        <w:autoSpaceDN/>
        <w:bidi w:val="0"/>
        <w:adjustRightInd/>
        <w:snapToGrid/>
        <w:spacing w:before="30" w:beforeAutospacing="0" w:after="30" w:afterAutospacing="0" w:line="420" w:lineRule="exact"/>
        <w:ind w:left="0" w:right="0" w:firstLine="42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（2）部门决算中项目绩效自评结果。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根据我中心整体支出绩效自评报告，项目绩效各工作量值完成较好，主要问题是预算项目资金执行时效性不强，执行率过低，主要原因是我中心处于改革期间，原有职能职责尚未明确，为完成上级主管部门安排的事项，项目预算执行有临时性调整。</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宋体" w:cs="宋体"/>
          <w:sz w:val="32"/>
          <w:szCs w:val="32"/>
        </w:rPr>
      </w:pPr>
      <w:r>
        <w:rPr>
          <w:rFonts w:hint="eastAsia" w:ascii="Times New Roman" w:hAnsi="Times New Roman" w:eastAsia="仿宋_GB2312" w:cs="仿宋_GB2312"/>
          <w:color w:val="000000"/>
          <w:sz w:val="32"/>
          <w:szCs w:val="32"/>
          <w:lang w:bidi="ar-SA"/>
        </w:rPr>
        <w:t>下一步改进措施：科学合理编制预算项目，按计划落实预算执行情况，有效提高项目预算执行率。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Times New Roman" w:hAnsi="Times New Roman" w:eastAsia="方正小标宋_GBK" w:cs="Arial"/>
          <w:bCs/>
          <w:kern w:val="0"/>
          <w:sz w:val="36"/>
          <w:szCs w:val="36"/>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Times New Roman" w:hAnsi="Times New Roman" w:eastAsia="方正小标宋_GBK" w:cs="Arial"/>
          <w:bCs/>
          <w:kern w:val="0"/>
          <w:sz w:val="36"/>
          <w:szCs w:val="36"/>
          <w:lang w:val="en-US" w:eastAsia="zh-CN" w:bidi="ar-SA"/>
        </w:rPr>
      </w:pPr>
      <w:r>
        <w:rPr>
          <w:rFonts w:hint="eastAsia" w:ascii="Times New Roman" w:hAnsi="Times New Roman" w:eastAsia="方正小标宋_GBK" w:cs="Arial"/>
          <w:bCs/>
          <w:kern w:val="0"/>
          <w:sz w:val="36"/>
          <w:szCs w:val="36"/>
          <w:lang w:val="en-US" w:eastAsia="zh-CN" w:bidi="ar-SA"/>
        </w:rPr>
        <w:t>第四部分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Times New Roman" w:hAnsi="Times New Roman" w:eastAsia="方正小标宋_GBK" w:cs="Arial"/>
          <w:bCs/>
          <w:kern w:val="0"/>
          <w:sz w:val="21"/>
          <w:szCs w:val="21"/>
          <w:lang w:val="en-US" w:eastAsia="zh-CN" w:bidi="ar-SA"/>
        </w:rPr>
      </w:pPr>
      <w:r>
        <w:rPr>
          <w:rFonts w:hint="eastAsia" w:ascii="Times New Roman" w:hAnsi="Times New Roman" w:eastAsia="方正小标宋_GBK" w:cs="Arial"/>
          <w:bCs/>
          <w:kern w:val="0"/>
          <w:sz w:val="36"/>
          <w:szCs w:val="36"/>
          <w:lang w:val="en-US" w:eastAsia="zh-CN" w:bidi="ar-SA"/>
        </w:rPr>
        <w:t>名词解释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Times New Roman" w:hAnsi="Times New Roman" w:eastAsia="方正小标宋_GBK" w:cs="Arial"/>
          <w:bCs/>
          <w:kern w:val="0"/>
          <w:sz w:val="21"/>
          <w:szCs w:val="21"/>
          <w:lang w:val="en-US" w:eastAsia="zh-CN" w:bidi="ar-SA"/>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一、财政拨款收入：是指市级财政当年拨付的资金。</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二、其他收入：是指预算单位在“财政拨款、事业收入、经营收入”等之外取得的收入。    </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三、上年结转和结余：是指以前年度支出预算因客观条件变化未执行完毕、结转到本年度按规定继续使用的资金，既包括财政拨款的结转和结余，也包括事业收入、经营收入和其他收入的结转和结余。</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四、年末结转和结余资金：是指本年度或以前年度预算安排、因客观条件发生变化无法按原计划实施，需要延迟到以后年度继续使用的资金，既包括财政拨款的结转和结余，也包括事业收入、经营收入和其他收入的结转和结余。</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五、基本支出：是指为保障机构正常运转、完成日常工作任务而发生的人员支出和公用支出。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六、项目支出，是指在基本支出之外为完成特定的行政工作任务或事业发展目标所发生的支出。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七、“三公”经费：指通过财政拨款资金安排的因公出国（境）费、公务用车购置及运行费和公务接待费支出。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Times New Roman" w:hAnsi="Times New Roman" w:eastAsia="仿宋_GB2312" w:cs="仿宋_GB2312"/>
          <w:color w:val="000000"/>
          <w:sz w:val="32"/>
          <w:szCs w:val="32"/>
          <w:lang w:bidi="ar-SA"/>
        </w:rPr>
      </w:pPr>
      <w:r>
        <w:rPr>
          <w:rFonts w:hint="eastAsia" w:ascii="Times New Roman" w:hAnsi="Times New Roman" w:eastAsia="仿宋_GB2312" w:cs="仿宋_GB2312"/>
          <w:color w:val="000000"/>
          <w:sz w:val="32"/>
          <w:szCs w:val="32"/>
          <w:lang w:bidi="ar-SA"/>
        </w:rPr>
        <w:t>八、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ascii="Calibri" w:hAnsi="Calibri" w:eastAsia="方正小标宋_GBK" w:cs="Arial"/>
          <w:bCs/>
          <w:kern w:val="0"/>
          <w:sz w:val="36"/>
          <w:szCs w:val="36"/>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eastAsia="方正小标宋_GBK" w:cs="Arial"/>
          <w:bCs/>
          <w:kern w:val="0"/>
          <w:sz w:val="36"/>
          <w:szCs w:val="36"/>
          <w:lang w:val="en-US" w:eastAsia="zh-CN" w:bidi="ar-SA"/>
        </w:rPr>
      </w:pPr>
      <w:r>
        <w:rPr>
          <w:rFonts w:hint="eastAsia" w:ascii="Calibri" w:hAnsi="Calibri" w:eastAsia="方正小标宋_GBK" w:cs="Arial"/>
          <w:bCs/>
          <w:kern w:val="0"/>
          <w:sz w:val="36"/>
          <w:szCs w:val="36"/>
          <w:lang w:val="en-US" w:eastAsia="zh-CN" w:bidi="ar-SA"/>
        </w:rPr>
        <w:t>第五部分</w:t>
      </w:r>
      <w:r>
        <w:rPr>
          <w:rFonts w:hint="eastAsia" w:eastAsia="方正小标宋_GBK" w:cs="Arial"/>
          <w:bCs/>
          <w:kern w:val="0"/>
          <w:sz w:val="36"/>
          <w:szCs w:val="36"/>
          <w:lang w:val="en-US" w:eastAsia="zh-CN" w:bidi="ar-SA"/>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hint="eastAsia" w:eastAsia="方正小标宋_GBK" w:cs="Arial"/>
          <w:bCs/>
          <w:kern w:val="0"/>
          <w:sz w:val="21"/>
          <w:szCs w:val="21"/>
          <w:lang w:val="en-US" w:eastAsia="zh-CN" w:bidi="ar-SA"/>
        </w:rPr>
      </w:pPr>
      <w:r>
        <w:rPr>
          <w:rFonts w:hint="eastAsia" w:eastAsia="方正小标宋_GBK" w:cs="Arial"/>
          <w:bCs/>
          <w:kern w:val="0"/>
          <w:sz w:val="36"/>
          <w:szCs w:val="36"/>
          <w:lang w:val="en-US" w:eastAsia="zh-CN" w:bidi="ar-SA"/>
        </w:rPr>
        <w:t>附件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center"/>
        <w:rPr>
          <w:rFonts w:eastAsia="方正小标宋_GBK" w:cs="Arial"/>
          <w:bCs/>
          <w:kern w:val="0"/>
          <w:sz w:val="21"/>
          <w:szCs w:val="21"/>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20" w:lineRule="exact"/>
        <w:ind w:left="0" w:right="0" w:firstLine="0"/>
        <w:jc w:val="center"/>
        <w:textAlignment w:val="center"/>
        <w:rPr>
          <w:rFonts w:hint="eastAsia" w:ascii="黑体" w:eastAsia="黑体" w:cs="黑体"/>
          <w:bCs/>
          <w:kern w:val="0"/>
          <w:sz w:val="32"/>
          <w:szCs w:val="32"/>
          <w:lang w:val="en-US" w:eastAsia="zh-CN" w:bidi="ar-SA"/>
        </w:rPr>
      </w:pPr>
      <w:r>
        <w:rPr>
          <w:rFonts w:hint="eastAsia" w:ascii="黑体" w:eastAsia="黑体" w:cs="黑体"/>
          <w:bCs/>
          <w:kern w:val="0"/>
          <w:sz w:val="32"/>
          <w:szCs w:val="32"/>
          <w:lang w:val="en-US" w:eastAsia="zh-CN" w:bidi="ar-SA"/>
        </w:rPr>
        <w:t>附件1：长沙市市场监督管理局信息中心2021年度部门决算表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20" w:lineRule="exact"/>
        <w:ind w:left="0" w:right="0" w:firstLine="0"/>
        <w:jc w:val="center"/>
        <w:textAlignment w:val="center"/>
        <w:rPr>
          <w:rFonts w:hint="eastAsia" w:ascii="黑体" w:eastAsia="黑体" w:cs="黑体"/>
          <w:bCs/>
          <w:kern w:val="0"/>
          <w:sz w:val="32"/>
          <w:szCs w:val="32"/>
          <w:lang w:val="en-US" w:eastAsia="zh-CN" w:bidi="ar-SA"/>
        </w:rPr>
      </w:pPr>
      <w:r>
        <w:rPr>
          <w:rFonts w:hint="eastAsia" w:ascii="黑体" w:eastAsia="黑体" w:cs="黑体"/>
          <w:bCs/>
          <w:kern w:val="0"/>
          <w:sz w:val="32"/>
          <w:szCs w:val="32"/>
          <w:lang w:val="en-US" w:eastAsia="zh-CN" w:bidi="ar-SA"/>
        </w:rPr>
        <w:t>附件2：2021年度部门整体支出绩效评价报告</w:t>
      </w:r>
    </w:p>
    <w:p>
      <w:pPr>
        <w:pStyle w:val="9"/>
        <w:keepNext w:val="0"/>
        <w:keepLines w:val="0"/>
        <w:pageBreakBefore w:val="0"/>
        <w:widowControl/>
        <w:kinsoku/>
        <w:wordWrap/>
        <w:overflowPunct/>
        <w:topLinePunct w:val="0"/>
        <w:autoSpaceDE/>
        <w:autoSpaceDN/>
        <w:bidi w:val="0"/>
        <w:adjustRightInd/>
        <w:snapToGrid/>
        <w:spacing w:before="312" w:beforeLines="100" w:beforeAutospacing="0" w:after="0" w:afterAutospacing="0" w:line="570" w:lineRule="exact"/>
        <w:ind w:left="0" w:right="0" w:firstLine="0"/>
        <w:jc w:val="right"/>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长沙市市场监督管理局信息中心</w:t>
      </w:r>
    </w:p>
    <w:p/>
    <w:sectPr>
      <w:headerReference r:id="rId5" w:type="first"/>
      <w:headerReference r:id="rId3"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WordPictureWatermark7" o:spid="_x0000_s2055" o:spt="75" type="#_x0000_t75" style="position:absolute;left:0pt;margin-left:0pt;margin-top:0pt;height:0pt;width:0pt;z-index:-251657216;mso-width-relative:page;mso-height-relative:page;" filled="f" stroked="f" coordsize="21600,21600" o:allowincell="f">
          <v:path/>
          <v:fill on="f" focussize="0,0"/>
          <v:stroke on="f" color="#000000"/>
          <v:imagedata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8" o:spid="_x0000_s2056" o:spt="136" type="#_x0000_t136" style="position:absolute;left:0pt;margin-left:0pt;margin-top:0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r>
      <w:pict>
        <v:shape id="PowerPlusWaterMarkObject9" o:spid="_x0000_s2057" o:spt="136" type="#_x0000_t136" style="position:absolute;left:0pt;margin-left:0pt;margin-top:301.45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r>
      <w:pict>
        <v:shape id="PowerPlusWaterMarkObject10" o:spid="_x0000_s2058" o:spt="136" type="#_x0000_t136" style="position:absolute;left:0pt;margin-left:0pt;margin-top:602.95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r>
      <w:pict>
        <v:shape id="PowerPlusWaterMarkObject11" o:spid="_x0000_s2059" o:spt="136" type="#_x0000_t136" style="position:absolute;left:0pt;margin-left:394.45pt;margin-top:0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r>
      <w:pict>
        <v:shape id="PowerPlusWaterMarkObject12" o:spid="_x0000_s2060" o:spt="136" type="#_x0000_t136" style="position:absolute;left:0pt;margin-left:394.45pt;margin-top:301.45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r>
      <w:pict>
        <v:shape id="PowerPlusWaterMarkObject13" o:spid="_x0000_s2061" o:spt="136" type="#_x0000_t136" style="position:absolute;left:0pt;margin-left:394.45pt;margin-top:602.95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14" o:spid="_x0000_s2062" o:spt="136" type="#_x0000_t136" style="position:absolute;left:0pt;margin-left:0pt;margin-top:0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r>
      <w:pict>
        <v:shape id="PowerPlusWaterMarkObject15" o:spid="_x0000_s2063" o:spt="136" type="#_x0000_t136" style="position:absolute;left:0pt;margin-left:0pt;margin-top:301.45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r>
      <w:pict>
        <v:shape id="PowerPlusWaterMarkObject16" o:spid="_x0000_s2064" o:spt="136" type="#_x0000_t136" style="position:absolute;left:0pt;margin-left:0pt;margin-top:602.95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r>
      <w:pict>
        <v:shape id="PowerPlusWaterMarkObject17" o:spid="_x0000_s2065" o:spt="136" type="#_x0000_t136" style="position:absolute;left:0pt;margin-left:394.45pt;margin-top:0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r>
      <w:pict>
        <v:shape id="PowerPlusWaterMarkObject18" o:spid="_x0000_s2066" o:spt="136" type="#_x0000_t136" style="position:absolute;left:0pt;margin-left:394.45pt;margin-top:301.45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r>
      <w:pict>
        <v:shape id="PowerPlusWaterMarkObject19" o:spid="_x0000_s2067" o:spt="136" type="#_x0000_t136" style="position:absolute;left:0pt;margin-left:394.45pt;margin-top:602.95pt;height:55.4pt;width:139.75pt;rotation:-1310720f;z-index:-251657216;mso-width-relative:page;mso-height-relative:page;" fillcolor="#000000" filled="t" stroked="f" coordsize="21600,21600" o:allowincell="f" adj="10800">
          <v:path/>
          <v:fill on="t" opacity="6553f" focussize="0,0"/>
          <v:stroke on="f" color="#000000"/>
          <v:imagedata o:title=""/>
          <o:lock v:ext="edit"/>
          <v:textpath on="t" fitshape="t" fitpath="t" trim="t" xscale="f" string="3486&#10;&#10;2023-07-31-11:04:21" style="font-family:微软雅黑;font-size:14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ZGQ5ZWEzZmQ4MDMzMTRmMmEzMjFiZTNhMDE0NmQ0ODMifQ=="/>
  </w:docVars>
  <w:rsids>
    <w:rsidRoot w:val="00000000"/>
    <w:rsid w:val="02275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0" w:beforeAutospacing="1" w:after="0" w:afterAutospacing="1"/>
      <w:jc w:val="left"/>
      <w:outlineLvl w:val="0"/>
    </w:pPr>
    <w:rPr>
      <w:rFonts w:ascii="宋体" w:eastAsia="宋体" w:cs="宋体"/>
      <w:b/>
      <w:kern w:val="44"/>
      <w:sz w:val="48"/>
      <w:szCs w:val="48"/>
      <w:lang w:val="en-US" w:eastAsia="zh-CN"/>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Body Text"/>
    <w:basedOn w:val="1"/>
    <w:qFormat/>
    <w:uiPriority w:val="0"/>
    <w:rPr>
      <w:sz w:val="32"/>
      <w:szCs w:val="32"/>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customStyle="1" w:styleId="14">
    <w:name w:val="Defaul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4399</Words>
  <Characters>4853</Characters>
  <Lines>0</Lines>
  <Paragraphs>0</Paragraphs>
  <TotalTime>101</TotalTime>
  <ScaleCrop>false</ScaleCrop>
  <LinksUpToDate>false</LinksUpToDate>
  <CharactersWithSpaces>4860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郑珊</dc:creator>
  <cp:lastModifiedBy>Administrator</cp:lastModifiedBy>
  <dcterms:modified xsi:type="dcterms:W3CDTF">2023-07-31T03:28:16Z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AC5A81A2CE634C74AD39EFF6BAFB8321</vt:lpwstr>
  </property>
</Properties>
</file>