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F2E20">
      <w:pPr>
        <w:pStyle w:val="5"/>
        <w:keepNext w:val="0"/>
        <w:keepLines w:val="0"/>
        <w:widowControl/>
        <w:suppressLineNumbers w:val="0"/>
        <w:jc w:val="center"/>
      </w:pPr>
      <w:r>
        <w:rPr>
          <w:rStyle w:val="8"/>
          <w:rFonts w:hint="eastAsia" w:ascii="宋体" w:hAnsi="宋体" w:eastAsia="宋体" w:cs="宋体"/>
          <w:sz w:val="57"/>
          <w:szCs w:val="57"/>
        </w:rPr>
        <w:t>2022年度</w:t>
      </w:r>
    </w:p>
    <w:p w14:paraId="21CA6266">
      <w:pPr>
        <w:pStyle w:val="5"/>
        <w:keepNext w:val="0"/>
        <w:keepLines w:val="0"/>
        <w:widowControl/>
        <w:suppressLineNumbers w:val="0"/>
        <w:jc w:val="center"/>
      </w:pPr>
      <w:r>
        <w:rPr>
          <w:rStyle w:val="8"/>
          <w:rFonts w:hint="eastAsia" w:ascii="宋体" w:hAnsi="宋体" w:eastAsia="宋体" w:cs="宋体"/>
          <w:sz w:val="57"/>
          <w:szCs w:val="57"/>
        </w:rPr>
        <w:t>中共长沙市委党史研究室</w:t>
      </w:r>
      <w:r>
        <w:rPr>
          <w:rStyle w:val="8"/>
          <w:rFonts w:hint="eastAsia" w:ascii="宋体" w:hAnsi="宋体" w:eastAsia="宋体" w:cs="宋体"/>
          <w:sz w:val="57"/>
          <w:szCs w:val="57"/>
          <w:lang w:eastAsia="zh-CN"/>
        </w:rPr>
        <w:t>（</w:t>
      </w:r>
      <w:r>
        <w:rPr>
          <w:rStyle w:val="8"/>
          <w:rFonts w:hint="eastAsia" w:ascii="宋体" w:hAnsi="宋体" w:eastAsia="宋体" w:cs="宋体"/>
          <w:sz w:val="57"/>
          <w:szCs w:val="57"/>
          <w:lang w:val="en-US" w:eastAsia="zh-CN"/>
        </w:rPr>
        <w:t>汇总</w:t>
      </w:r>
      <w:r>
        <w:rPr>
          <w:rStyle w:val="8"/>
          <w:rFonts w:hint="eastAsia" w:ascii="宋体" w:hAnsi="宋体" w:eastAsia="宋体" w:cs="宋体"/>
          <w:sz w:val="57"/>
          <w:szCs w:val="57"/>
          <w:lang w:eastAsia="zh-CN"/>
        </w:rPr>
        <w:t>）</w:t>
      </w:r>
      <w:r>
        <w:rPr>
          <w:rStyle w:val="8"/>
          <w:rFonts w:hint="eastAsia" w:ascii="宋体" w:hAnsi="宋体" w:eastAsia="宋体" w:cs="宋体"/>
          <w:sz w:val="57"/>
          <w:szCs w:val="57"/>
        </w:rPr>
        <w:t>决算</w:t>
      </w:r>
    </w:p>
    <w:p w14:paraId="41B4B837">
      <w:pPr>
        <w:pStyle w:val="5"/>
        <w:keepNext w:val="0"/>
        <w:keepLines w:val="0"/>
        <w:widowControl/>
        <w:suppressLineNumbers w:val="0"/>
        <w:jc w:val="center"/>
      </w:pPr>
      <w:r>
        <w:t> </w:t>
      </w:r>
    </w:p>
    <w:p w14:paraId="7A2A7DE1">
      <w:pPr>
        <w:pStyle w:val="5"/>
        <w:keepNext w:val="0"/>
        <w:keepLines w:val="0"/>
        <w:widowControl/>
        <w:suppressLineNumbers w:val="0"/>
        <w:jc w:val="center"/>
      </w:pPr>
      <w:r>
        <w:t> </w:t>
      </w:r>
    </w:p>
    <w:p w14:paraId="486FDE24">
      <w:pPr>
        <w:pStyle w:val="5"/>
        <w:keepNext w:val="0"/>
        <w:keepLines w:val="0"/>
        <w:widowControl/>
        <w:suppressLineNumbers w:val="0"/>
        <w:jc w:val="center"/>
      </w:pPr>
      <w:r>
        <w:t> </w:t>
      </w:r>
    </w:p>
    <w:p w14:paraId="1C0420D0">
      <w:pPr>
        <w:pStyle w:val="5"/>
        <w:keepNext w:val="0"/>
        <w:keepLines w:val="0"/>
        <w:widowControl/>
        <w:suppressLineNumbers w:val="0"/>
        <w:jc w:val="center"/>
      </w:pPr>
      <w:r>
        <w:t> </w:t>
      </w:r>
    </w:p>
    <w:p w14:paraId="11782E6F">
      <w:pPr>
        <w:pStyle w:val="5"/>
        <w:keepNext w:val="0"/>
        <w:keepLines w:val="0"/>
        <w:widowControl/>
        <w:suppressLineNumbers w:val="0"/>
        <w:jc w:val="center"/>
      </w:pPr>
      <w:r>
        <w:t> </w:t>
      </w:r>
    </w:p>
    <w:p w14:paraId="69C32BCF">
      <w:pPr>
        <w:pStyle w:val="5"/>
        <w:keepNext w:val="0"/>
        <w:keepLines w:val="0"/>
        <w:widowControl/>
        <w:suppressLineNumbers w:val="0"/>
        <w:jc w:val="center"/>
      </w:pPr>
      <w:r>
        <w:t> </w:t>
      </w:r>
    </w:p>
    <w:p w14:paraId="344CF454">
      <w:pPr>
        <w:pStyle w:val="5"/>
        <w:keepNext w:val="0"/>
        <w:keepLines w:val="0"/>
        <w:widowControl/>
        <w:suppressLineNumbers w:val="0"/>
        <w:jc w:val="center"/>
      </w:pPr>
      <w:r>
        <w:t> </w:t>
      </w:r>
    </w:p>
    <w:p w14:paraId="6C56D860">
      <w:pPr>
        <w:pStyle w:val="5"/>
        <w:keepNext w:val="0"/>
        <w:keepLines w:val="0"/>
        <w:widowControl/>
        <w:suppressLineNumbers w:val="0"/>
        <w:jc w:val="center"/>
      </w:pPr>
      <w:r>
        <w:t> </w:t>
      </w:r>
    </w:p>
    <w:p w14:paraId="7829CFE7">
      <w:pPr>
        <w:pStyle w:val="5"/>
        <w:keepNext w:val="0"/>
        <w:keepLines w:val="0"/>
        <w:widowControl/>
        <w:suppressLineNumbers w:val="0"/>
        <w:jc w:val="center"/>
      </w:pPr>
      <w:r>
        <w:t> </w:t>
      </w:r>
    </w:p>
    <w:p w14:paraId="4F2CE681">
      <w:pPr>
        <w:pStyle w:val="5"/>
        <w:keepNext w:val="0"/>
        <w:keepLines w:val="0"/>
        <w:widowControl/>
        <w:suppressLineNumbers w:val="0"/>
        <w:jc w:val="center"/>
      </w:pPr>
      <w:r>
        <w:t> </w:t>
      </w:r>
    </w:p>
    <w:p w14:paraId="3B14F0C0">
      <w:pPr>
        <w:pStyle w:val="5"/>
        <w:keepNext w:val="0"/>
        <w:keepLines w:val="0"/>
        <w:widowControl/>
        <w:suppressLineNumbers w:val="0"/>
        <w:jc w:val="both"/>
      </w:pPr>
      <w:r>
        <w:t> </w:t>
      </w:r>
    </w:p>
    <w:p w14:paraId="164300BF">
      <w:pPr>
        <w:pStyle w:val="5"/>
        <w:keepNext w:val="0"/>
        <w:keepLines w:val="0"/>
        <w:widowControl/>
        <w:suppressLineNumbers w:val="0"/>
        <w:jc w:val="center"/>
      </w:pPr>
      <w:r>
        <w:rPr>
          <w:rStyle w:val="8"/>
          <w:rFonts w:ascii="黑体" w:hAnsi="宋体" w:eastAsia="黑体" w:cs="黑体"/>
          <w:sz w:val="31"/>
          <w:szCs w:val="31"/>
        </w:rPr>
        <w:t>目录</w:t>
      </w:r>
    </w:p>
    <w:p w14:paraId="2FEB2403">
      <w:pPr>
        <w:pStyle w:val="5"/>
        <w:keepNext w:val="0"/>
        <w:keepLines w:val="0"/>
        <w:widowControl/>
        <w:suppressLineNumbers w:val="0"/>
      </w:pPr>
      <w:r>
        <w:rPr>
          <w:rFonts w:hint="eastAsia" w:ascii="黑体" w:hAnsi="宋体" w:eastAsia="黑体" w:cs="黑体"/>
          <w:sz w:val="24"/>
          <w:szCs w:val="24"/>
        </w:rPr>
        <w:t>第一部分 中共长沙市委党史研究室单位概况</w:t>
      </w:r>
    </w:p>
    <w:p w14:paraId="10867694">
      <w:pPr>
        <w:pStyle w:val="5"/>
        <w:keepNext w:val="0"/>
        <w:keepLines w:val="0"/>
        <w:widowControl/>
        <w:suppressLineNumbers w:val="0"/>
      </w:pPr>
      <w:r>
        <w:rPr>
          <w:sz w:val="24"/>
          <w:szCs w:val="24"/>
        </w:rPr>
        <w:t>  一、部门职责</w:t>
      </w:r>
    </w:p>
    <w:p w14:paraId="28324ECB">
      <w:pPr>
        <w:pStyle w:val="5"/>
        <w:keepNext w:val="0"/>
        <w:keepLines w:val="0"/>
        <w:widowControl/>
        <w:suppressLineNumbers w:val="0"/>
      </w:pPr>
      <w:r>
        <w:rPr>
          <w:sz w:val="24"/>
          <w:szCs w:val="24"/>
        </w:rPr>
        <w:t>  二、机构设置</w:t>
      </w:r>
    </w:p>
    <w:p w14:paraId="1565B309">
      <w:pPr>
        <w:pStyle w:val="5"/>
        <w:keepNext w:val="0"/>
        <w:keepLines w:val="0"/>
        <w:widowControl/>
        <w:suppressLineNumbers w:val="0"/>
      </w:pPr>
      <w:r>
        <w:rPr>
          <w:rFonts w:hint="eastAsia" w:ascii="黑体" w:hAnsi="宋体" w:eastAsia="黑体" w:cs="黑体"/>
          <w:sz w:val="24"/>
          <w:szCs w:val="24"/>
        </w:rPr>
        <w:t>第二部分 部门决算表</w:t>
      </w:r>
    </w:p>
    <w:p w14:paraId="3D0B7622">
      <w:pPr>
        <w:pStyle w:val="5"/>
        <w:keepNext w:val="0"/>
        <w:keepLines w:val="0"/>
        <w:widowControl/>
        <w:suppressLineNumbers w:val="0"/>
      </w:pPr>
      <w:r>
        <w:rPr>
          <w:sz w:val="24"/>
          <w:szCs w:val="24"/>
        </w:rPr>
        <w:t>  一、收入支出决算总表</w:t>
      </w:r>
    </w:p>
    <w:p w14:paraId="3717DDD2">
      <w:pPr>
        <w:pStyle w:val="5"/>
        <w:keepNext w:val="0"/>
        <w:keepLines w:val="0"/>
        <w:widowControl/>
        <w:suppressLineNumbers w:val="0"/>
      </w:pPr>
      <w:r>
        <w:rPr>
          <w:sz w:val="24"/>
          <w:szCs w:val="24"/>
        </w:rPr>
        <w:t>  二、收入决算表</w:t>
      </w:r>
    </w:p>
    <w:p w14:paraId="0FEC65AB">
      <w:pPr>
        <w:pStyle w:val="5"/>
        <w:keepNext w:val="0"/>
        <w:keepLines w:val="0"/>
        <w:widowControl/>
        <w:suppressLineNumbers w:val="0"/>
      </w:pPr>
      <w:r>
        <w:rPr>
          <w:sz w:val="24"/>
          <w:szCs w:val="24"/>
        </w:rPr>
        <w:t>  三、支出决算表</w:t>
      </w:r>
    </w:p>
    <w:p w14:paraId="6D2BA814">
      <w:pPr>
        <w:pStyle w:val="5"/>
        <w:keepNext w:val="0"/>
        <w:keepLines w:val="0"/>
        <w:widowControl/>
        <w:suppressLineNumbers w:val="0"/>
      </w:pPr>
      <w:r>
        <w:rPr>
          <w:sz w:val="24"/>
          <w:szCs w:val="24"/>
        </w:rPr>
        <w:t>  四、财政拨款收入支出决算总表</w:t>
      </w:r>
    </w:p>
    <w:p w14:paraId="5C533182">
      <w:pPr>
        <w:pStyle w:val="5"/>
        <w:keepNext w:val="0"/>
        <w:keepLines w:val="0"/>
        <w:widowControl/>
        <w:suppressLineNumbers w:val="0"/>
      </w:pPr>
      <w:r>
        <w:rPr>
          <w:sz w:val="24"/>
          <w:szCs w:val="24"/>
        </w:rPr>
        <w:t>  五、一般公共预算财政拨款支出决算表</w:t>
      </w:r>
    </w:p>
    <w:p w14:paraId="482040F1">
      <w:pPr>
        <w:pStyle w:val="5"/>
        <w:keepNext w:val="0"/>
        <w:keepLines w:val="0"/>
        <w:widowControl/>
        <w:suppressLineNumbers w:val="0"/>
      </w:pPr>
      <w:r>
        <w:rPr>
          <w:sz w:val="24"/>
          <w:szCs w:val="24"/>
        </w:rPr>
        <w:t>  六、一般公共预算财政拨款基本支出决算明细表</w:t>
      </w:r>
    </w:p>
    <w:p w14:paraId="12DCEE07">
      <w:pPr>
        <w:pStyle w:val="5"/>
        <w:keepNext w:val="0"/>
        <w:keepLines w:val="0"/>
        <w:widowControl/>
        <w:suppressLineNumbers w:val="0"/>
      </w:pPr>
      <w:r>
        <w:rPr>
          <w:sz w:val="24"/>
          <w:szCs w:val="24"/>
        </w:rPr>
        <w:t>  七、政府性基金预算财政拨款收入支出决算表</w:t>
      </w:r>
    </w:p>
    <w:p w14:paraId="3AE51075">
      <w:pPr>
        <w:pStyle w:val="5"/>
        <w:keepNext w:val="0"/>
        <w:keepLines w:val="0"/>
        <w:widowControl/>
        <w:suppressLineNumbers w:val="0"/>
      </w:pPr>
      <w:r>
        <w:rPr>
          <w:sz w:val="24"/>
          <w:szCs w:val="24"/>
        </w:rPr>
        <w:t>  八、国有资本经营预算财政拨款支出决算表</w:t>
      </w:r>
    </w:p>
    <w:p w14:paraId="4240C451">
      <w:pPr>
        <w:pStyle w:val="5"/>
        <w:keepNext w:val="0"/>
        <w:keepLines w:val="0"/>
        <w:widowControl/>
        <w:suppressLineNumbers w:val="0"/>
      </w:pPr>
      <w:r>
        <w:rPr>
          <w:sz w:val="24"/>
          <w:szCs w:val="24"/>
        </w:rPr>
        <w:t>  九、财政拨款“三公”经费支出决算表</w:t>
      </w:r>
    </w:p>
    <w:p w14:paraId="05B5ABA5">
      <w:pPr>
        <w:pStyle w:val="5"/>
        <w:keepNext w:val="0"/>
        <w:keepLines w:val="0"/>
        <w:widowControl/>
        <w:suppressLineNumbers w:val="0"/>
      </w:pPr>
      <w:r>
        <w:rPr>
          <w:sz w:val="24"/>
          <w:szCs w:val="24"/>
        </w:rPr>
        <w:t>第三部分 部门决算情况说明</w:t>
      </w:r>
    </w:p>
    <w:p w14:paraId="79884A73">
      <w:pPr>
        <w:pStyle w:val="5"/>
        <w:keepNext w:val="0"/>
        <w:keepLines w:val="0"/>
        <w:widowControl/>
        <w:suppressLineNumbers w:val="0"/>
      </w:pPr>
      <w:r>
        <w:rPr>
          <w:sz w:val="24"/>
          <w:szCs w:val="24"/>
        </w:rPr>
        <w:t>  一、收入支出决算总体情况说明</w:t>
      </w:r>
    </w:p>
    <w:p w14:paraId="632FA770">
      <w:pPr>
        <w:pStyle w:val="5"/>
        <w:keepNext w:val="0"/>
        <w:keepLines w:val="0"/>
        <w:widowControl/>
        <w:suppressLineNumbers w:val="0"/>
      </w:pPr>
      <w:r>
        <w:rPr>
          <w:sz w:val="24"/>
          <w:szCs w:val="24"/>
        </w:rPr>
        <w:t>  二、收入决算情况说明</w:t>
      </w:r>
    </w:p>
    <w:p w14:paraId="5B343C19">
      <w:pPr>
        <w:pStyle w:val="5"/>
        <w:keepNext w:val="0"/>
        <w:keepLines w:val="0"/>
        <w:widowControl/>
        <w:suppressLineNumbers w:val="0"/>
      </w:pPr>
      <w:r>
        <w:rPr>
          <w:sz w:val="24"/>
          <w:szCs w:val="24"/>
        </w:rPr>
        <w:t>  三、支出决算情况说明</w:t>
      </w:r>
    </w:p>
    <w:p w14:paraId="09435A93">
      <w:pPr>
        <w:pStyle w:val="5"/>
        <w:keepNext w:val="0"/>
        <w:keepLines w:val="0"/>
        <w:widowControl/>
        <w:suppressLineNumbers w:val="0"/>
      </w:pPr>
      <w:r>
        <w:rPr>
          <w:sz w:val="24"/>
          <w:szCs w:val="24"/>
        </w:rPr>
        <w:t>  四、财政拨款收入支出决算总体情况说明</w:t>
      </w:r>
    </w:p>
    <w:p w14:paraId="740DBEB1">
      <w:pPr>
        <w:pStyle w:val="5"/>
        <w:keepNext w:val="0"/>
        <w:keepLines w:val="0"/>
        <w:widowControl/>
        <w:suppressLineNumbers w:val="0"/>
      </w:pPr>
      <w:r>
        <w:rPr>
          <w:sz w:val="24"/>
          <w:szCs w:val="24"/>
        </w:rPr>
        <w:t>  五、一般公共预算财政拨款支出决算情况说明</w:t>
      </w:r>
    </w:p>
    <w:p w14:paraId="677DBEC2">
      <w:pPr>
        <w:pStyle w:val="5"/>
        <w:keepNext w:val="0"/>
        <w:keepLines w:val="0"/>
        <w:widowControl/>
        <w:suppressLineNumbers w:val="0"/>
      </w:pPr>
      <w:r>
        <w:rPr>
          <w:sz w:val="24"/>
          <w:szCs w:val="24"/>
        </w:rPr>
        <w:t>  六、一般公共预算财政拨款基本支出决算情况说明</w:t>
      </w:r>
    </w:p>
    <w:p w14:paraId="262F1F14">
      <w:pPr>
        <w:pStyle w:val="5"/>
        <w:keepNext w:val="0"/>
        <w:keepLines w:val="0"/>
        <w:widowControl/>
        <w:suppressLineNumbers w:val="0"/>
      </w:pPr>
      <w:r>
        <w:rPr>
          <w:sz w:val="24"/>
          <w:szCs w:val="24"/>
        </w:rPr>
        <w:t>  七、</w:t>
      </w:r>
      <w:r>
        <w:rPr>
          <w:rFonts w:hint="eastAsia"/>
          <w:sz w:val="24"/>
          <w:szCs w:val="24"/>
          <w:lang w:eastAsia="zh-CN"/>
        </w:rPr>
        <w:t>一般公共预算</w:t>
      </w:r>
      <w:r>
        <w:rPr>
          <w:sz w:val="24"/>
          <w:szCs w:val="24"/>
        </w:rPr>
        <w:t>财政拨款三公经费支出决算情况说明</w:t>
      </w:r>
    </w:p>
    <w:p w14:paraId="34FE9F97">
      <w:pPr>
        <w:pStyle w:val="5"/>
        <w:keepNext w:val="0"/>
        <w:keepLines w:val="0"/>
        <w:widowControl/>
        <w:suppressLineNumbers w:val="0"/>
      </w:pPr>
      <w:r>
        <w:rPr>
          <w:sz w:val="24"/>
          <w:szCs w:val="24"/>
        </w:rPr>
        <w:t>  八、政府性基金预算收入支出决算情况</w:t>
      </w:r>
    </w:p>
    <w:p w14:paraId="54C7702B">
      <w:pPr>
        <w:pStyle w:val="5"/>
        <w:keepNext w:val="0"/>
        <w:keepLines w:val="0"/>
        <w:widowControl/>
        <w:suppressLineNumbers w:val="0"/>
      </w:pPr>
      <w:r>
        <w:rPr>
          <w:sz w:val="24"/>
          <w:szCs w:val="24"/>
        </w:rPr>
        <w:t>  九、国有资本经营运算收入支出决算情况</w:t>
      </w:r>
    </w:p>
    <w:p w14:paraId="3F0E84DE">
      <w:pPr>
        <w:pStyle w:val="5"/>
        <w:keepNext w:val="0"/>
        <w:keepLines w:val="0"/>
        <w:widowControl/>
        <w:suppressLineNumbers w:val="0"/>
      </w:pPr>
      <w:r>
        <w:rPr>
          <w:sz w:val="24"/>
          <w:szCs w:val="24"/>
        </w:rPr>
        <w:t> 十、关于机关运行经费支出说明</w:t>
      </w:r>
    </w:p>
    <w:p w14:paraId="52B32CD3">
      <w:pPr>
        <w:pStyle w:val="5"/>
        <w:keepNext w:val="0"/>
        <w:keepLines w:val="0"/>
        <w:widowControl/>
        <w:suppressLineNumbers w:val="0"/>
      </w:pPr>
      <w:r>
        <w:rPr>
          <w:sz w:val="24"/>
          <w:szCs w:val="24"/>
        </w:rPr>
        <w:t>  十一、一般性支出情况说明</w:t>
      </w:r>
    </w:p>
    <w:p w14:paraId="7E0C67B1">
      <w:pPr>
        <w:pStyle w:val="5"/>
        <w:keepNext w:val="0"/>
        <w:keepLines w:val="0"/>
        <w:widowControl/>
        <w:suppressLineNumbers w:val="0"/>
      </w:pPr>
      <w:r>
        <w:rPr>
          <w:sz w:val="24"/>
          <w:szCs w:val="24"/>
        </w:rPr>
        <w:t>  十二、关于政府采购支出说明</w:t>
      </w:r>
    </w:p>
    <w:p w14:paraId="579086CD">
      <w:pPr>
        <w:pStyle w:val="5"/>
        <w:keepNext w:val="0"/>
        <w:keepLines w:val="0"/>
        <w:widowControl/>
        <w:suppressLineNumbers w:val="0"/>
      </w:pPr>
      <w:r>
        <w:rPr>
          <w:sz w:val="24"/>
          <w:szCs w:val="24"/>
        </w:rPr>
        <w:t>  十三、关于国有资产占用情况说明</w:t>
      </w:r>
    </w:p>
    <w:p w14:paraId="7F422760">
      <w:pPr>
        <w:pStyle w:val="5"/>
        <w:keepNext w:val="0"/>
        <w:keepLines w:val="0"/>
        <w:widowControl/>
        <w:suppressLineNumbers w:val="0"/>
      </w:pPr>
      <w:r>
        <w:rPr>
          <w:sz w:val="24"/>
          <w:szCs w:val="24"/>
        </w:rPr>
        <w:t>  十四、关于预算绩效情况的说明</w:t>
      </w:r>
    </w:p>
    <w:p w14:paraId="1BF4891B">
      <w:pPr>
        <w:pStyle w:val="5"/>
        <w:keepNext w:val="0"/>
        <w:keepLines w:val="0"/>
        <w:widowControl/>
        <w:suppressLineNumbers w:val="0"/>
      </w:pPr>
      <w:r>
        <w:rPr>
          <w:rFonts w:hint="eastAsia" w:ascii="黑体" w:hAnsi="宋体" w:eastAsia="黑体" w:cs="黑体"/>
          <w:sz w:val="24"/>
          <w:szCs w:val="24"/>
        </w:rPr>
        <w:t>第四部分 名词解释</w:t>
      </w:r>
    </w:p>
    <w:p w14:paraId="6FB97E1F">
      <w:pPr>
        <w:pStyle w:val="5"/>
        <w:keepNext w:val="0"/>
        <w:keepLines w:val="0"/>
        <w:widowControl/>
        <w:suppressLineNumbers w:val="0"/>
        <w:jc w:val="center"/>
      </w:pPr>
      <w:r>
        <w:t> </w:t>
      </w:r>
    </w:p>
    <w:p w14:paraId="71D064A7">
      <w:pPr>
        <w:pStyle w:val="5"/>
        <w:keepNext w:val="0"/>
        <w:keepLines w:val="0"/>
        <w:widowControl/>
        <w:suppressLineNumbers w:val="0"/>
        <w:jc w:val="center"/>
      </w:pPr>
      <w:r>
        <w:t> </w:t>
      </w:r>
    </w:p>
    <w:p w14:paraId="26FA3A81">
      <w:pPr>
        <w:pStyle w:val="5"/>
        <w:keepNext w:val="0"/>
        <w:keepLines w:val="0"/>
        <w:widowControl/>
        <w:suppressLineNumbers w:val="0"/>
        <w:jc w:val="center"/>
      </w:pPr>
      <w:r>
        <w:rPr>
          <w:rFonts w:hint="eastAsia" w:ascii="宋体" w:hAnsi="宋体" w:eastAsia="宋体" w:cs="宋体"/>
          <w:sz w:val="57"/>
          <w:szCs w:val="57"/>
        </w:rPr>
        <w:t>第一部分</w:t>
      </w:r>
    </w:p>
    <w:p w14:paraId="105D8725">
      <w:pPr>
        <w:pStyle w:val="5"/>
        <w:keepNext w:val="0"/>
        <w:keepLines w:val="0"/>
        <w:widowControl/>
        <w:suppressLineNumbers w:val="0"/>
        <w:jc w:val="center"/>
      </w:pPr>
      <w:r>
        <w:t> </w:t>
      </w:r>
    </w:p>
    <w:p w14:paraId="035C0451">
      <w:pPr>
        <w:pStyle w:val="5"/>
        <w:keepNext w:val="0"/>
        <w:keepLines w:val="0"/>
        <w:widowControl/>
        <w:suppressLineNumbers w:val="0"/>
        <w:jc w:val="center"/>
      </w:pPr>
      <w:r>
        <w:rPr>
          <w:rFonts w:hint="eastAsia" w:ascii="宋体" w:hAnsi="宋体" w:eastAsia="宋体" w:cs="宋体"/>
          <w:sz w:val="57"/>
          <w:szCs w:val="57"/>
        </w:rPr>
        <w:t>中共长沙市委党史研究室单位概况</w:t>
      </w:r>
    </w:p>
    <w:p w14:paraId="7168CC41">
      <w:pPr>
        <w:pStyle w:val="5"/>
        <w:keepNext w:val="0"/>
        <w:keepLines w:val="0"/>
        <w:widowControl/>
        <w:suppressLineNumbers w:val="0"/>
        <w:jc w:val="center"/>
      </w:pPr>
      <w:r>
        <w:t> </w:t>
      </w:r>
    </w:p>
    <w:p w14:paraId="0AB746DE">
      <w:pPr>
        <w:pStyle w:val="5"/>
        <w:keepNext w:val="0"/>
        <w:keepLines w:val="0"/>
        <w:widowControl/>
        <w:suppressLineNumbers w:val="0"/>
        <w:jc w:val="center"/>
      </w:pPr>
      <w:r>
        <w:t> </w:t>
      </w:r>
    </w:p>
    <w:p w14:paraId="77EB70E2">
      <w:pPr>
        <w:pStyle w:val="5"/>
        <w:keepNext w:val="0"/>
        <w:keepLines w:val="0"/>
        <w:widowControl/>
        <w:suppressLineNumbers w:val="0"/>
        <w:jc w:val="center"/>
      </w:pPr>
      <w:r>
        <w:t> </w:t>
      </w:r>
    </w:p>
    <w:p w14:paraId="164C8DE7">
      <w:pPr>
        <w:pStyle w:val="5"/>
        <w:keepNext w:val="0"/>
        <w:keepLines w:val="0"/>
        <w:widowControl/>
        <w:suppressLineNumbers w:val="0"/>
        <w:jc w:val="center"/>
      </w:pPr>
      <w:r>
        <w:t> </w:t>
      </w:r>
    </w:p>
    <w:p w14:paraId="3276A729">
      <w:pPr>
        <w:pStyle w:val="5"/>
        <w:keepNext w:val="0"/>
        <w:keepLines w:val="0"/>
        <w:widowControl/>
        <w:suppressLineNumbers w:val="0"/>
      </w:pPr>
      <w:r>
        <w:rPr>
          <w:sz w:val="26"/>
          <w:szCs w:val="26"/>
        </w:rPr>
        <w:t>一、 部门职责</w:t>
      </w:r>
    </w:p>
    <w:p w14:paraId="58304CE9">
      <w:pPr>
        <w:pStyle w:val="3"/>
        <w:spacing w:before="91" w:line="411" w:lineRule="auto"/>
        <w:ind w:left="23" w:right="54" w:firstLine="8"/>
        <w:rPr>
          <w:spacing w:val="-4"/>
        </w:rPr>
      </w:pPr>
      <w:r>
        <w:rPr>
          <w:spacing w:val="-1"/>
        </w:rPr>
        <w:t>市委党史研究室机关的主要职能为征集、整理</w:t>
      </w:r>
      <w:r>
        <w:rPr>
          <w:spacing w:val="-2"/>
        </w:rPr>
        <w:t>中共长沙地方史资料，</w:t>
      </w:r>
      <w:r>
        <w:t xml:space="preserve"> 编写《中国共产党长沙历史》、中共长沙</w:t>
      </w:r>
      <w:r>
        <w:rPr>
          <w:spacing w:val="-1"/>
        </w:rPr>
        <w:t>党史专题、党委工作纪事</w:t>
      </w:r>
      <w:r>
        <w:rPr>
          <w:spacing w:val="-6"/>
        </w:rPr>
        <w:t>等；运用党史资料和党史研究成果，发挥党史资政育人的社会功能；</w:t>
      </w:r>
      <w:r>
        <w:t>参与组织重大党史事件、重要党史人物的纪</w:t>
      </w:r>
      <w:r>
        <w:rPr>
          <w:spacing w:val="-1"/>
        </w:rPr>
        <w:t>念活动，会同有关部门</w:t>
      </w:r>
      <w:r>
        <w:t>征编审定全市重大党史题材出版物；</w:t>
      </w:r>
      <w:r>
        <w:rPr>
          <w:spacing w:val="-1"/>
        </w:rPr>
        <w:t>承担反对历史虚无主义方面的业务管理职能</w:t>
      </w:r>
      <w:r>
        <w:rPr>
          <w:rFonts w:hint="eastAsia"/>
          <w:spacing w:val="-1"/>
          <w:lang w:eastAsia="zh-CN"/>
        </w:rPr>
        <w:t>；</w:t>
      </w:r>
      <w:r>
        <w:t>组织指</w:t>
      </w:r>
      <w:r>
        <w:rPr>
          <w:spacing w:val="-1"/>
        </w:rPr>
        <w:t>导全市党史联络工作并</w:t>
      </w:r>
      <w:r>
        <w:rPr>
          <w:spacing w:val="-4"/>
        </w:rPr>
        <w:t>指导区县（市）党史业务工作；主管中国共产党长沙历史馆</w:t>
      </w:r>
      <w:r>
        <w:rPr>
          <w:spacing w:val="8"/>
        </w:rPr>
        <w:t>；</w:t>
      </w:r>
      <w:r>
        <w:rPr>
          <w:spacing w:val="-1"/>
        </w:rPr>
        <w:t>主管和指导长沙市中共党史学会、长沙市中</w:t>
      </w:r>
      <w:r>
        <w:t>共党史专家智库、长沙市中共党史宣讲团</w:t>
      </w:r>
      <w:r>
        <w:rPr>
          <w:spacing w:val="-1"/>
        </w:rPr>
        <w:t>；承办中央党史和文献研</w:t>
      </w:r>
      <w:r>
        <w:rPr>
          <w:spacing w:val="-4"/>
        </w:rPr>
        <w:t>究院、省委党史研究院等有关部门和市委以及市委办公厅交办的其他事项。</w:t>
      </w:r>
      <w:r>
        <w:rPr>
          <w:rFonts w:hint="eastAsia"/>
          <w:spacing w:val="-4"/>
        </w:rPr>
        <w:t>中国共产党长沙历史馆（简称：长沙党史馆）为公益一类全额拨款事业单位，主要职责是贯彻落实中央以及省、市有关党史和党史宣传工作的方针政策；负责党史资料及文物的征集、研究和收藏；通过中国共产党长沙历史的基本陈列和专题陈列，开展中共党史、革命史宣传，对广大群众进行爱国主义、社会主义和革命传统教育；负责中共湘区委员会旧址及旧址大院的维护管理。</w:t>
      </w:r>
    </w:p>
    <w:p w14:paraId="54C24487">
      <w:pPr>
        <w:pStyle w:val="5"/>
        <w:keepNext w:val="0"/>
        <w:keepLines w:val="0"/>
        <w:widowControl/>
        <w:suppressLineNumbers w:val="0"/>
      </w:pPr>
      <w:r>
        <w:rPr>
          <w:sz w:val="24"/>
          <w:szCs w:val="24"/>
        </w:rPr>
        <w:t> </w:t>
      </w:r>
      <w:r>
        <w:rPr>
          <w:sz w:val="26"/>
          <w:szCs w:val="26"/>
        </w:rPr>
        <w:t>二、机构设置及决算单位构成</w:t>
      </w:r>
    </w:p>
    <w:p w14:paraId="586CC96D">
      <w:pPr>
        <w:pStyle w:val="5"/>
        <w:keepNext w:val="0"/>
        <w:keepLines w:val="0"/>
        <w:widowControl/>
        <w:suppressLineNumbers w:val="0"/>
      </w:pPr>
    </w:p>
    <w:p w14:paraId="6640E55D">
      <w:pPr>
        <w:pStyle w:val="5"/>
        <w:keepNext w:val="0"/>
        <w:keepLines w:val="0"/>
        <w:widowControl/>
        <w:numPr>
          <w:ilvl w:val="0"/>
          <w:numId w:val="3"/>
        </w:numPr>
        <w:suppressLineNumbers w:val="0"/>
        <w:ind w:left="108" w:leftChars="0" w:firstLine="0" w:firstLineChars="0"/>
        <w:rPr>
          <w:sz w:val="26"/>
          <w:szCs w:val="26"/>
        </w:rPr>
      </w:pPr>
      <w:r>
        <w:rPr>
          <w:sz w:val="26"/>
          <w:szCs w:val="26"/>
        </w:rPr>
        <w:t>内设机构设置。中共长沙市委党史研究室单位内设机构包括：秘书处、征集研究处、联络指导处、宣教处（加挂《长沙党委工作纪事》编辑部）四个内设机构；另有经长沙市委批准成立的市委党史联络组。中国共产党长沙历史馆内设机构包括</w:t>
      </w:r>
      <w:r>
        <w:rPr>
          <w:rFonts w:hint="eastAsia"/>
          <w:sz w:val="26"/>
          <w:szCs w:val="26"/>
        </w:rPr>
        <w:t>5个</w:t>
      </w:r>
      <w:r>
        <w:rPr>
          <w:sz w:val="26"/>
          <w:szCs w:val="26"/>
        </w:rPr>
        <w:t>：办公室、宣传教育部、信息技术部、展陈文物部、安全保障部。</w:t>
      </w:r>
    </w:p>
    <w:p w14:paraId="58E33F39">
      <w:pPr>
        <w:pStyle w:val="5"/>
        <w:keepNext w:val="0"/>
        <w:keepLines w:val="0"/>
        <w:widowControl/>
        <w:numPr>
          <w:ilvl w:val="0"/>
          <w:numId w:val="0"/>
        </w:numPr>
        <w:suppressLineNumbers w:val="0"/>
        <w:ind w:left="108" w:leftChars="0" w:right="0" w:rightChars="0"/>
        <w:rPr>
          <w:rFonts w:hint="default" w:eastAsiaTheme="minorEastAsia"/>
          <w:lang w:val="en-US" w:eastAsia="zh-CN"/>
        </w:rPr>
      </w:pPr>
      <w:r>
        <w:rPr>
          <w:sz w:val="24"/>
          <w:szCs w:val="24"/>
        </w:rPr>
        <w:t>  </w:t>
      </w:r>
      <w:r>
        <w:rPr>
          <w:sz w:val="26"/>
          <w:szCs w:val="26"/>
        </w:rPr>
        <w:t>（二）决算单位构成。中共长沙市委党史研究室单位2022年部门决算汇总公开单位构成包括：中共长沙市委党史研究室单位本级以及</w:t>
      </w:r>
      <w:r>
        <w:rPr>
          <w:rFonts w:hint="eastAsia"/>
          <w:sz w:val="26"/>
          <w:szCs w:val="26"/>
          <w:lang w:val="en-US" w:eastAsia="zh-CN"/>
        </w:rPr>
        <w:t>中国共产党长沙历史馆。</w:t>
      </w:r>
    </w:p>
    <w:p w14:paraId="09D6BA7C">
      <w:pPr>
        <w:pStyle w:val="5"/>
        <w:keepNext w:val="0"/>
        <w:keepLines w:val="0"/>
        <w:widowControl/>
        <w:suppressLineNumbers w:val="0"/>
      </w:pPr>
      <w:r>
        <w:t> </w:t>
      </w:r>
    </w:p>
    <w:p w14:paraId="1534C1E0">
      <w:pPr>
        <w:pStyle w:val="5"/>
        <w:keepNext w:val="0"/>
        <w:keepLines w:val="0"/>
        <w:widowControl/>
        <w:suppressLineNumbers w:val="0"/>
        <w:jc w:val="center"/>
      </w:pPr>
      <w:r>
        <w:t> </w:t>
      </w:r>
    </w:p>
    <w:p w14:paraId="68E2903E">
      <w:pPr>
        <w:pStyle w:val="5"/>
        <w:keepNext w:val="0"/>
        <w:keepLines w:val="0"/>
        <w:widowControl/>
        <w:suppressLineNumbers w:val="0"/>
        <w:jc w:val="center"/>
      </w:pPr>
      <w:r>
        <w:t> </w:t>
      </w:r>
    </w:p>
    <w:p w14:paraId="54A20D40">
      <w:pPr>
        <w:pStyle w:val="5"/>
        <w:keepNext w:val="0"/>
        <w:keepLines w:val="0"/>
        <w:widowControl/>
        <w:suppressLineNumbers w:val="0"/>
        <w:jc w:val="center"/>
      </w:pPr>
      <w:r>
        <w:t> </w:t>
      </w:r>
    </w:p>
    <w:p w14:paraId="5687421E">
      <w:pPr>
        <w:pStyle w:val="5"/>
        <w:keepNext w:val="0"/>
        <w:keepLines w:val="0"/>
        <w:widowControl/>
        <w:suppressLineNumbers w:val="0"/>
        <w:jc w:val="center"/>
      </w:pPr>
      <w:r>
        <w:t> </w:t>
      </w:r>
    </w:p>
    <w:p w14:paraId="023A0882">
      <w:pPr>
        <w:pStyle w:val="5"/>
        <w:keepNext w:val="0"/>
        <w:keepLines w:val="0"/>
        <w:widowControl/>
        <w:suppressLineNumbers w:val="0"/>
        <w:jc w:val="center"/>
      </w:pPr>
      <w:r>
        <w:t> </w:t>
      </w:r>
    </w:p>
    <w:p w14:paraId="156BB5F7">
      <w:pPr>
        <w:pStyle w:val="5"/>
        <w:keepNext w:val="0"/>
        <w:keepLines w:val="0"/>
        <w:widowControl/>
        <w:suppressLineNumbers w:val="0"/>
        <w:jc w:val="center"/>
      </w:pPr>
      <w:r>
        <w:t> </w:t>
      </w:r>
    </w:p>
    <w:p w14:paraId="011762F9">
      <w:pPr>
        <w:pStyle w:val="5"/>
        <w:keepNext w:val="0"/>
        <w:keepLines w:val="0"/>
        <w:widowControl/>
        <w:suppressLineNumbers w:val="0"/>
        <w:jc w:val="center"/>
      </w:pPr>
      <w:r>
        <w:t> </w:t>
      </w:r>
    </w:p>
    <w:p w14:paraId="47791B64">
      <w:pPr>
        <w:pStyle w:val="5"/>
        <w:keepNext w:val="0"/>
        <w:keepLines w:val="0"/>
        <w:widowControl/>
        <w:suppressLineNumbers w:val="0"/>
        <w:jc w:val="center"/>
      </w:pPr>
      <w:r>
        <w:t> </w:t>
      </w:r>
    </w:p>
    <w:p w14:paraId="0A8ECC83">
      <w:pPr>
        <w:pStyle w:val="5"/>
        <w:keepNext w:val="0"/>
        <w:keepLines w:val="0"/>
        <w:widowControl/>
        <w:suppressLineNumbers w:val="0"/>
        <w:jc w:val="center"/>
      </w:pPr>
      <w:r>
        <w:t> </w:t>
      </w:r>
    </w:p>
    <w:p w14:paraId="4E090968">
      <w:pPr>
        <w:pStyle w:val="5"/>
        <w:keepNext w:val="0"/>
        <w:keepLines w:val="0"/>
        <w:widowControl/>
        <w:suppressLineNumbers w:val="0"/>
        <w:jc w:val="center"/>
      </w:pPr>
      <w:r>
        <w:t> </w:t>
      </w:r>
    </w:p>
    <w:p w14:paraId="4A73D433">
      <w:pPr>
        <w:pStyle w:val="5"/>
        <w:keepNext w:val="0"/>
        <w:keepLines w:val="0"/>
        <w:widowControl/>
        <w:suppressLineNumbers w:val="0"/>
        <w:jc w:val="center"/>
      </w:pPr>
      <w:r>
        <w:t> </w:t>
      </w:r>
    </w:p>
    <w:p w14:paraId="7C403082">
      <w:pPr>
        <w:pStyle w:val="5"/>
        <w:keepNext w:val="0"/>
        <w:keepLines w:val="0"/>
        <w:widowControl/>
        <w:suppressLineNumbers w:val="0"/>
        <w:jc w:val="center"/>
      </w:pPr>
      <w:r>
        <w:t> </w:t>
      </w:r>
    </w:p>
    <w:p w14:paraId="42AEEF6E">
      <w:pPr>
        <w:pStyle w:val="5"/>
        <w:keepNext w:val="0"/>
        <w:keepLines w:val="0"/>
        <w:widowControl/>
        <w:suppressLineNumbers w:val="0"/>
        <w:jc w:val="center"/>
      </w:pPr>
      <w:r>
        <w:t> </w:t>
      </w:r>
    </w:p>
    <w:p w14:paraId="5FF5D4D5">
      <w:pPr>
        <w:pStyle w:val="5"/>
        <w:keepNext w:val="0"/>
        <w:keepLines w:val="0"/>
        <w:widowControl/>
        <w:suppressLineNumbers w:val="0"/>
        <w:jc w:val="center"/>
      </w:pPr>
      <w:r>
        <w:t> </w:t>
      </w:r>
    </w:p>
    <w:p w14:paraId="20EBEF7A">
      <w:pPr>
        <w:pStyle w:val="5"/>
        <w:keepNext w:val="0"/>
        <w:keepLines w:val="0"/>
        <w:widowControl/>
        <w:suppressLineNumbers w:val="0"/>
        <w:jc w:val="center"/>
      </w:pPr>
      <w:r>
        <w:t> </w:t>
      </w:r>
    </w:p>
    <w:p w14:paraId="2899A7FD">
      <w:pPr>
        <w:pStyle w:val="5"/>
        <w:keepNext w:val="0"/>
        <w:keepLines w:val="0"/>
        <w:widowControl/>
        <w:suppressLineNumbers w:val="0"/>
        <w:jc w:val="center"/>
      </w:pPr>
      <w:r>
        <w:t> </w:t>
      </w:r>
    </w:p>
    <w:p w14:paraId="3B864695">
      <w:pPr>
        <w:pStyle w:val="5"/>
        <w:keepNext w:val="0"/>
        <w:keepLines w:val="0"/>
        <w:widowControl/>
        <w:suppressLineNumbers w:val="0"/>
        <w:jc w:val="center"/>
      </w:pPr>
      <w:r>
        <w:t> </w:t>
      </w:r>
    </w:p>
    <w:p w14:paraId="53F42471">
      <w:pPr>
        <w:pStyle w:val="5"/>
        <w:keepNext w:val="0"/>
        <w:keepLines w:val="0"/>
        <w:widowControl/>
        <w:suppressLineNumbers w:val="0"/>
        <w:jc w:val="center"/>
      </w:pPr>
      <w:r>
        <w:t> </w:t>
      </w:r>
    </w:p>
    <w:p w14:paraId="3ADA6B39">
      <w:pPr>
        <w:pStyle w:val="5"/>
        <w:keepNext w:val="0"/>
        <w:keepLines w:val="0"/>
        <w:widowControl/>
        <w:suppressLineNumbers w:val="0"/>
        <w:jc w:val="center"/>
      </w:pPr>
      <w:r>
        <w:t> </w:t>
      </w:r>
    </w:p>
    <w:p w14:paraId="62A7F7D5">
      <w:pPr>
        <w:pStyle w:val="5"/>
        <w:keepNext w:val="0"/>
        <w:keepLines w:val="0"/>
        <w:widowControl/>
        <w:suppressLineNumbers w:val="0"/>
        <w:jc w:val="center"/>
      </w:pPr>
      <w:r>
        <w:rPr>
          <w:sz w:val="57"/>
          <w:szCs w:val="57"/>
        </w:rPr>
        <w:t>第二部分</w:t>
      </w:r>
    </w:p>
    <w:p w14:paraId="412CA1EA">
      <w:pPr>
        <w:pStyle w:val="5"/>
        <w:keepNext w:val="0"/>
        <w:keepLines w:val="0"/>
        <w:widowControl/>
        <w:suppressLineNumbers w:val="0"/>
        <w:jc w:val="center"/>
      </w:pPr>
      <w:r>
        <w:t> </w:t>
      </w:r>
    </w:p>
    <w:p w14:paraId="274A93E2">
      <w:pPr>
        <w:pStyle w:val="5"/>
        <w:keepNext w:val="0"/>
        <w:keepLines w:val="0"/>
        <w:widowControl/>
        <w:suppressLineNumbers w:val="0"/>
        <w:jc w:val="center"/>
      </w:pPr>
      <w:r>
        <w:rPr>
          <w:sz w:val="57"/>
          <w:szCs w:val="57"/>
        </w:rPr>
        <w:t>部门决算表</w:t>
      </w:r>
    </w:p>
    <w:p w14:paraId="65E79DE7">
      <w:pPr>
        <w:pStyle w:val="5"/>
        <w:keepNext w:val="0"/>
        <w:keepLines w:val="0"/>
        <w:widowControl/>
        <w:suppressLineNumbers w:val="0"/>
        <w:jc w:val="center"/>
      </w:pPr>
      <w:r>
        <w:t> </w:t>
      </w:r>
    </w:p>
    <w:p w14:paraId="54C3328F">
      <w:pPr>
        <w:pStyle w:val="5"/>
        <w:keepNext w:val="0"/>
        <w:keepLines w:val="0"/>
        <w:widowControl/>
        <w:suppressLineNumbers w:val="0"/>
      </w:pPr>
      <w:r>
        <w:t> </w:t>
      </w:r>
    </w:p>
    <w:p w14:paraId="72FB5DAC">
      <w:pPr>
        <w:keepNext w:val="0"/>
        <w:keepLines w:val="0"/>
        <w:widowControl/>
        <w:suppressLineNumbers w:val="0"/>
        <w:jc w:val="left"/>
      </w:pPr>
      <w:r>
        <w:rPr>
          <w:rFonts w:ascii="宋体" w:hAnsi="宋体" w:eastAsia="宋体" w:cs="宋体"/>
          <w:kern w:val="0"/>
          <w:sz w:val="24"/>
          <w:szCs w:val="24"/>
          <w:lang w:val="en-US" w:eastAsia="zh-CN" w:bidi="ar"/>
        </w:rPr>
        <w:t> </w:t>
      </w:r>
    </w:p>
    <w:p w14:paraId="49796E0C">
      <w:pPr>
        <w:pStyle w:val="5"/>
        <w:keepNext w:val="0"/>
        <w:keepLines w:val="0"/>
        <w:widowControl/>
        <w:suppressLineNumbers w:val="0"/>
      </w:pPr>
      <w:r>
        <w:t> </w:t>
      </w:r>
    </w:p>
    <w:p w14:paraId="5F4ED925">
      <w:pPr>
        <w:pStyle w:val="5"/>
        <w:keepNext w:val="0"/>
        <w:keepLines w:val="0"/>
        <w:widowControl/>
        <w:suppressLineNumbers w:val="0"/>
        <w:sectPr>
          <w:pgSz w:w="11906" w:h="16838"/>
          <w:pgMar w:top="1440" w:right="1800" w:bottom="1440" w:left="1800" w:header="851" w:footer="992" w:gutter="0"/>
          <w:cols w:space="425" w:num="1"/>
          <w:docGrid w:type="lines" w:linePitch="312" w:charSpace="0"/>
        </w:sectPr>
      </w:pPr>
      <w:r>
        <w:t> </w:t>
      </w:r>
    </w:p>
    <w:p w14:paraId="03174F81">
      <w:pPr>
        <w:pStyle w:val="5"/>
        <w:keepNext w:val="0"/>
        <w:keepLines w:val="0"/>
        <w:widowControl/>
        <w:suppressLineNumbers w:val="0"/>
        <w:jc w:val="center"/>
        <w:rPr>
          <w:rFonts w:hint="eastAsia" w:eastAsiaTheme="minorEastAsia"/>
          <w:lang w:eastAsia="zh-CN"/>
        </w:rPr>
      </w:pPr>
      <w:r>
        <w:rPr>
          <w:rFonts w:hint="eastAsia" w:eastAsiaTheme="minorEastAsia"/>
          <w:lang w:eastAsia="zh-CN"/>
        </w:rPr>
        <w:drawing>
          <wp:inline distT="0" distB="0" distL="114300" distR="114300">
            <wp:extent cx="6462395" cy="5426075"/>
            <wp:effectExtent l="0" t="0" r="14605" b="3175"/>
            <wp:docPr id="1" name="图片 1" descr="169830635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8306351180"/>
                    <pic:cNvPicPr>
                      <a:picLocks noChangeAspect="1"/>
                    </pic:cNvPicPr>
                  </pic:nvPicPr>
                  <pic:blipFill>
                    <a:blip r:embed="rId4"/>
                    <a:stretch>
                      <a:fillRect/>
                    </a:stretch>
                  </pic:blipFill>
                  <pic:spPr>
                    <a:xfrm>
                      <a:off x="0" y="0"/>
                      <a:ext cx="6462395" cy="5426075"/>
                    </a:xfrm>
                    <a:prstGeom prst="rect">
                      <a:avLst/>
                    </a:prstGeom>
                  </pic:spPr>
                </pic:pic>
              </a:graphicData>
            </a:graphic>
          </wp:inline>
        </w:drawing>
      </w:r>
      <w:r>
        <w:rPr>
          <w:rFonts w:hint="eastAsia" w:eastAsiaTheme="minorEastAsia"/>
          <w:lang w:eastAsia="zh-CN"/>
        </w:rPr>
        <w:drawing>
          <wp:inline distT="0" distB="0" distL="114300" distR="114300">
            <wp:extent cx="8855710" cy="4951095"/>
            <wp:effectExtent l="0" t="0" r="2540" b="1905"/>
            <wp:docPr id="13" name="图片 13" descr="169830702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98307025408"/>
                    <pic:cNvPicPr>
                      <a:picLocks noChangeAspect="1"/>
                    </pic:cNvPicPr>
                  </pic:nvPicPr>
                  <pic:blipFill>
                    <a:blip r:embed="rId5"/>
                    <a:stretch>
                      <a:fillRect/>
                    </a:stretch>
                  </pic:blipFill>
                  <pic:spPr>
                    <a:xfrm>
                      <a:off x="0" y="0"/>
                      <a:ext cx="8855710" cy="4951095"/>
                    </a:xfrm>
                    <a:prstGeom prst="rect">
                      <a:avLst/>
                    </a:prstGeom>
                  </pic:spPr>
                </pic:pic>
              </a:graphicData>
            </a:graphic>
          </wp:inline>
        </w:drawing>
      </w:r>
      <w:r>
        <w:rPr>
          <w:rFonts w:hint="eastAsia" w:eastAsiaTheme="minorEastAsia"/>
          <w:lang w:eastAsia="zh-CN"/>
        </w:rPr>
        <w:drawing>
          <wp:inline distT="0" distB="0" distL="114300" distR="114300">
            <wp:extent cx="8855710" cy="3924300"/>
            <wp:effectExtent l="0" t="0" r="2540" b="0"/>
            <wp:docPr id="20" name="图片 20" descr="169830727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98307273800"/>
                    <pic:cNvPicPr>
                      <a:picLocks noChangeAspect="1"/>
                    </pic:cNvPicPr>
                  </pic:nvPicPr>
                  <pic:blipFill>
                    <a:blip r:embed="rId6"/>
                    <a:stretch>
                      <a:fillRect/>
                    </a:stretch>
                  </pic:blipFill>
                  <pic:spPr>
                    <a:xfrm>
                      <a:off x="0" y="0"/>
                      <a:ext cx="8855710" cy="3924300"/>
                    </a:xfrm>
                    <a:prstGeom prst="rect">
                      <a:avLst/>
                    </a:prstGeom>
                  </pic:spPr>
                </pic:pic>
              </a:graphicData>
            </a:graphic>
          </wp:inline>
        </w:drawing>
      </w:r>
      <w:r>
        <w:rPr>
          <w:rFonts w:hint="eastAsia" w:eastAsiaTheme="minorEastAsia"/>
          <w:lang w:eastAsia="zh-CN"/>
        </w:rPr>
        <w:drawing>
          <wp:inline distT="0" distB="0" distL="114300" distR="114300">
            <wp:extent cx="6978015" cy="5264785"/>
            <wp:effectExtent l="0" t="0" r="13335" b="12065"/>
            <wp:docPr id="16" name="图片 16" descr="1698307083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98307083527"/>
                    <pic:cNvPicPr>
                      <a:picLocks noChangeAspect="1"/>
                    </pic:cNvPicPr>
                  </pic:nvPicPr>
                  <pic:blipFill>
                    <a:blip r:embed="rId7"/>
                    <a:stretch>
                      <a:fillRect/>
                    </a:stretch>
                  </pic:blipFill>
                  <pic:spPr>
                    <a:xfrm>
                      <a:off x="0" y="0"/>
                      <a:ext cx="6978015" cy="5264785"/>
                    </a:xfrm>
                    <a:prstGeom prst="rect">
                      <a:avLst/>
                    </a:prstGeom>
                  </pic:spPr>
                </pic:pic>
              </a:graphicData>
            </a:graphic>
          </wp:inline>
        </w:drawing>
      </w:r>
      <w:r>
        <w:rPr>
          <w:rFonts w:hint="eastAsia" w:eastAsiaTheme="minorEastAsia"/>
          <w:lang w:eastAsia="zh-CN"/>
        </w:rPr>
        <w:drawing>
          <wp:inline distT="0" distB="0" distL="114300" distR="114300">
            <wp:extent cx="7410450" cy="4486275"/>
            <wp:effectExtent l="0" t="0" r="0" b="9525"/>
            <wp:docPr id="17" name="图片 17" descr="1698307117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98307117976"/>
                    <pic:cNvPicPr>
                      <a:picLocks noChangeAspect="1"/>
                    </pic:cNvPicPr>
                  </pic:nvPicPr>
                  <pic:blipFill>
                    <a:blip r:embed="rId8"/>
                    <a:stretch>
                      <a:fillRect/>
                    </a:stretch>
                  </pic:blipFill>
                  <pic:spPr>
                    <a:xfrm>
                      <a:off x="0" y="0"/>
                      <a:ext cx="7410450" cy="4486275"/>
                    </a:xfrm>
                    <a:prstGeom prst="rect">
                      <a:avLst/>
                    </a:prstGeom>
                  </pic:spPr>
                </pic:pic>
              </a:graphicData>
            </a:graphic>
          </wp:inline>
        </w:drawing>
      </w:r>
      <w:r>
        <w:rPr>
          <w:rFonts w:hint="eastAsia" w:eastAsiaTheme="minorEastAsia"/>
          <w:lang w:eastAsia="zh-CN"/>
        </w:rPr>
        <w:drawing>
          <wp:inline distT="0" distB="0" distL="114300" distR="114300">
            <wp:extent cx="8749030" cy="5265420"/>
            <wp:effectExtent l="0" t="0" r="13970" b="11430"/>
            <wp:docPr id="8" name="图片 8" descr="169830669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98306696771"/>
                    <pic:cNvPicPr>
                      <a:picLocks noChangeAspect="1"/>
                    </pic:cNvPicPr>
                  </pic:nvPicPr>
                  <pic:blipFill>
                    <a:blip r:embed="rId9"/>
                    <a:stretch>
                      <a:fillRect/>
                    </a:stretch>
                  </pic:blipFill>
                  <pic:spPr>
                    <a:xfrm>
                      <a:off x="0" y="0"/>
                      <a:ext cx="8749030" cy="5265420"/>
                    </a:xfrm>
                    <a:prstGeom prst="rect">
                      <a:avLst/>
                    </a:prstGeom>
                  </pic:spPr>
                </pic:pic>
              </a:graphicData>
            </a:graphic>
          </wp:inline>
        </w:drawing>
      </w:r>
      <w:r>
        <w:rPr>
          <w:rFonts w:hint="eastAsia" w:eastAsiaTheme="minorEastAsia"/>
          <w:lang w:eastAsia="zh-CN"/>
        </w:rPr>
        <w:drawing>
          <wp:inline distT="0" distB="0" distL="114300" distR="114300">
            <wp:extent cx="8856345" cy="2225040"/>
            <wp:effectExtent l="0" t="0" r="1905" b="3810"/>
            <wp:docPr id="9" name="图片 9" descr="1698306748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98306748088"/>
                    <pic:cNvPicPr>
                      <a:picLocks noChangeAspect="1"/>
                    </pic:cNvPicPr>
                  </pic:nvPicPr>
                  <pic:blipFill>
                    <a:blip r:embed="rId10"/>
                    <a:stretch>
                      <a:fillRect/>
                    </a:stretch>
                  </pic:blipFill>
                  <pic:spPr>
                    <a:xfrm>
                      <a:off x="0" y="0"/>
                      <a:ext cx="8856345" cy="2225040"/>
                    </a:xfrm>
                    <a:prstGeom prst="rect">
                      <a:avLst/>
                    </a:prstGeom>
                  </pic:spPr>
                </pic:pic>
              </a:graphicData>
            </a:graphic>
          </wp:inline>
        </w:drawing>
      </w:r>
      <w:r>
        <w:rPr>
          <w:rFonts w:hint="eastAsia" w:eastAsiaTheme="minorEastAsia"/>
          <w:lang w:eastAsia="zh-CN"/>
        </w:rPr>
        <w:drawing>
          <wp:inline distT="0" distB="0" distL="114300" distR="114300">
            <wp:extent cx="8586470" cy="2600325"/>
            <wp:effectExtent l="0" t="0" r="5080" b="9525"/>
            <wp:docPr id="11" name="图片 11" descr="1698306885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98306885032"/>
                    <pic:cNvPicPr>
                      <a:picLocks noChangeAspect="1"/>
                    </pic:cNvPicPr>
                  </pic:nvPicPr>
                  <pic:blipFill>
                    <a:blip r:embed="rId11"/>
                    <a:stretch>
                      <a:fillRect/>
                    </a:stretch>
                  </pic:blipFill>
                  <pic:spPr>
                    <a:xfrm>
                      <a:off x="0" y="0"/>
                      <a:ext cx="8586470" cy="2600325"/>
                    </a:xfrm>
                    <a:prstGeom prst="rect">
                      <a:avLst/>
                    </a:prstGeom>
                  </pic:spPr>
                </pic:pic>
              </a:graphicData>
            </a:graphic>
          </wp:inline>
        </w:drawing>
      </w:r>
    </w:p>
    <w:p w14:paraId="5FD687D3">
      <w:pPr>
        <w:pStyle w:val="5"/>
        <w:keepNext w:val="0"/>
        <w:keepLines w:val="0"/>
        <w:widowControl/>
        <w:suppressLineNumbers w:val="0"/>
        <w:rPr>
          <w:rFonts w:hint="eastAsia" w:eastAsiaTheme="minorEastAsia"/>
          <w:lang w:eastAsia="zh-CN"/>
        </w:rPr>
      </w:pPr>
      <w:r>
        <w:t> </w:t>
      </w:r>
      <w:r>
        <w:rPr>
          <w:rFonts w:hint="eastAsia" w:eastAsiaTheme="minorEastAsia"/>
          <w:lang w:eastAsia="zh-CN"/>
        </w:rPr>
        <w:drawing>
          <wp:inline distT="0" distB="0" distL="114300" distR="114300">
            <wp:extent cx="8856345" cy="4096385"/>
            <wp:effectExtent l="0" t="0" r="1905" b="18415"/>
            <wp:docPr id="19" name="图片 19" descr="169830720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98307201661"/>
                    <pic:cNvPicPr>
                      <a:picLocks noChangeAspect="1"/>
                    </pic:cNvPicPr>
                  </pic:nvPicPr>
                  <pic:blipFill>
                    <a:blip r:embed="rId12"/>
                    <a:stretch>
                      <a:fillRect/>
                    </a:stretch>
                  </pic:blipFill>
                  <pic:spPr>
                    <a:xfrm>
                      <a:off x="0" y="0"/>
                      <a:ext cx="8856345" cy="4096385"/>
                    </a:xfrm>
                    <a:prstGeom prst="rect">
                      <a:avLst/>
                    </a:prstGeom>
                  </pic:spPr>
                </pic:pic>
              </a:graphicData>
            </a:graphic>
          </wp:inline>
        </w:drawing>
      </w:r>
    </w:p>
    <w:p w14:paraId="5E4812C5">
      <w:pPr>
        <w:pStyle w:val="5"/>
        <w:keepNext w:val="0"/>
        <w:keepLines w:val="0"/>
        <w:widowControl/>
        <w:suppressLineNumbers w:val="0"/>
      </w:pPr>
      <w:r>
        <w:t> </w:t>
      </w:r>
    </w:p>
    <w:p w14:paraId="506BBAE3">
      <w:pPr>
        <w:pStyle w:val="5"/>
        <w:keepNext w:val="0"/>
        <w:keepLines w:val="0"/>
        <w:widowControl/>
        <w:suppressLineNumbers w:val="0"/>
        <w:sectPr>
          <w:pgSz w:w="16838" w:h="11906" w:orient="landscape"/>
          <w:pgMar w:top="1803" w:right="1440" w:bottom="1803" w:left="1440" w:header="851" w:footer="992" w:gutter="0"/>
          <w:cols w:space="0" w:num="1"/>
          <w:rtlGutter w:val="0"/>
          <w:docGrid w:type="lines" w:linePitch="319" w:charSpace="0"/>
        </w:sectPr>
      </w:pPr>
      <w:r>
        <w:t> </w:t>
      </w:r>
    </w:p>
    <w:p w14:paraId="0EFED0AC">
      <w:pPr>
        <w:pStyle w:val="5"/>
        <w:keepNext w:val="0"/>
        <w:keepLines w:val="0"/>
        <w:widowControl/>
        <w:suppressLineNumbers w:val="0"/>
      </w:pPr>
    </w:p>
    <w:p w14:paraId="2AB4629C">
      <w:pPr>
        <w:pStyle w:val="5"/>
        <w:keepNext w:val="0"/>
        <w:keepLines w:val="0"/>
        <w:widowControl/>
        <w:suppressLineNumbers w:val="0"/>
      </w:pPr>
      <w:r>
        <w:t> </w:t>
      </w:r>
    </w:p>
    <w:p w14:paraId="08634384">
      <w:pPr>
        <w:pStyle w:val="5"/>
        <w:keepNext w:val="0"/>
        <w:keepLines w:val="0"/>
        <w:widowControl/>
        <w:suppressLineNumbers w:val="0"/>
      </w:pPr>
      <w:r>
        <w:t> </w:t>
      </w:r>
    </w:p>
    <w:p w14:paraId="3D70406B">
      <w:pPr>
        <w:pStyle w:val="5"/>
        <w:keepNext w:val="0"/>
        <w:keepLines w:val="0"/>
        <w:widowControl/>
        <w:suppressLineNumbers w:val="0"/>
      </w:pPr>
      <w:r>
        <w:t> </w:t>
      </w:r>
    </w:p>
    <w:p w14:paraId="2A0369B8">
      <w:pPr>
        <w:pStyle w:val="5"/>
        <w:keepNext w:val="0"/>
        <w:keepLines w:val="0"/>
        <w:widowControl/>
        <w:suppressLineNumbers w:val="0"/>
      </w:pPr>
      <w:r>
        <w:t> </w:t>
      </w:r>
    </w:p>
    <w:p w14:paraId="1975ADBD">
      <w:pPr>
        <w:pStyle w:val="5"/>
        <w:keepNext w:val="0"/>
        <w:keepLines w:val="0"/>
        <w:widowControl/>
        <w:suppressLineNumbers w:val="0"/>
      </w:pPr>
      <w:r>
        <w:t> </w:t>
      </w:r>
    </w:p>
    <w:p w14:paraId="70A18D29">
      <w:pPr>
        <w:pStyle w:val="5"/>
        <w:keepNext w:val="0"/>
        <w:keepLines w:val="0"/>
        <w:widowControl/>
        <w:suppressLineNumbers w:val="0"/>
      </w:pPr>
      <w:r>
        <w:t> </w:t>
      </w:r>
    </w:p>
    <w:p w14:paraId="62829988">
      <w:pPr>
        <w:pStyle w:val="5"/>
        <w:keepNext w:val="0"/>
        <w:keepLines w:val="0"/>
        <w:widowControl/>
        <w:suppressLineNumbers w:val="0"/>
      </w:pPr>
      <w:r>
        <w:t> </w:t>
      </w:r>
    </w:p>
    <w:p w14:paraId="4C1E06C4">
      <w:pPr>
        <w:pStyle w:val="5"/>
        <w:keepNext w:val="0"/>
        <w:keepLines w:val="0"/>
        <w:widowControl/>
        <w:suppressLineNumbers w:val="0"/>
      </w:pPr>
      <w:r>
        <w:t> </w:t>
      </w:r>
    </w:p>
    <w:p w14:paraId="0DDD1D02">
      <w:pPr>
        <w:pStyle w:val="5"/>
        <w:keepNext w:val="0"/>
        <w:keepLines w:val="0"/>
        <w:widowControl/>
        <w:suppressLineNumbers w:val="0"/>
        <w:jc w:val="center"/>
      </w:pPr>
      <w:r>
        <w:t> </w:t>
      </w:r>
    </w:p>
    <w:p w14:paraId="7B91A85D">
      <w:pPr>
        <w:pStyle w:val="5"/>
        <w:keepNext w:val="0"/>
        <w:keepLines w:val="0"/>
        <w:widowControl/>
        <w:suppressLineNumbers w:val="0"/>
        <w:jc w:val="center"/>
      </w:pPr>
      <w:r>
        <w:t> </w:t>
      </w:r>
    </w:p>
    <w:p w14:paraId="4C2E5198">
      <w:pPr>
        <w:pStyle w:val="5"/>
        <w:keepNext w:val="0"/>
        <w:keepLines w:val="0"/>
        <w:widowControl/>
        <w:suppressLineNumbers w:val="0"/>
        <w:jc w:val="center"/>
      </w:pPr>
      <w:r>
        <w:rPr>
          <w:sz w:val="57"/>
          <w:szCs w:val="57"/>
        </w:rPr>
        <w:t>第三部分</w:t>
      </w:r>
    </w:p>
    <w:p w14:paraId="7E071CD6">
      <w:pPr>
        <w:pStyle w:val="5"/>
        <w:keepNext w:val="0"/>
        <w:keepLines w:val="0"/>
        <w:widowControl/>
        <w:suppressLineNumbers w:val="0"/>
        <w:jc w:val="center"/>
      </w:pPr>
      <w:r>
        <w:t> </w:t>
      </w:r>
    </w:p>
    <w:p w14:paraId="52B5BB2D">
      <w:pPr>
        <w:pStyle w:val="5"/>
        <w:keepNext w:val="0"/>
        <w:keepLines w:val="0"/>
        <w:widowControl/>
        <w:suppressLineNumbers w:val="0"/>
        <w:jc w:val="center"/>
      </w:pPr>
      <w:r>
        <w:rPr>
          <w:sz w:val="57"/>
          <w:szCs w:val="57"/>
        </w:rPr>
        <w:t>2022年度部门决算情况说明</w:t>
      </w:r>
    </w:p>
    <w:p w14:paraId="434383C1">
      <w:pPr>
        <w:pStyle w:val="5"/>
        <w:keepNext w:val="0"/>
        <w:keepLines w:val="0"/>
        <w:widowControl/>
        <w:suppressLineNumbers w:val="0"/>
      </w:pPr>
      <w:r>
        <w:t> </w:t>
      </w:r>
    </w:p>
    <w:p w14:paraId="3BA694C7">
      <w:pPr>
        <w:pStyle w:val="5"/>
        <w:keepNext w:val="0"/>
        <w:keepLines w:val="0"/>
        <w:widowControl/>
        <w:suppressLineNumbers w:val="0"/>
      </w:pPr>
      <w:r>
        <w:rPr>
          <w:sz w:val="26"/>
          <w:szCs w:val="26"/>
        </w:rPr>
        <w:t>一、收入支出决算总体情况说明</w:t>
      </w:r>
    </w:p>
    <w:p w14:paraId="56706673">
      <w:pPr>
        <w:pStyle w:val="5"/>
        <w:keepNext w:val="0"/>
        <w:keepLines w:val="0"/>
        <w:widowControl/>
        <w:suppressLineNumbers w:val="0"/>
        <w:rPr>
          <w:rFonts w:hint="default" w:eastAsiaTheme="minorEastAsia"/>
          <w:lang w:val="en-US" w:eastAsia="zh-CN"/>
        </w:rPr>
      </w:pPr>
      <w:r>
        <w:rPr>
          <w:color w:val="auto"/>
          <w:sz w:val="24"/>
          <w:szCs w:val="24"/>
        </w:rPr>
        <w:t>  </w:t>
      </w:r>
      <w:r>
        <w:rPr>
          <w:color w:val="auto"/>
          <w:sz w:val="26"/>
          <w:szCs w:val="26"/>
        </w:rPr>
        <w:t>2022年度收、支总计2,023.78万元。与上年相比，减少2,576.14万元，减少56.00%，主要是因为</w:t>
      </w:r>
      <w:r>
        <w:rPr>
          <w:rFonts w:hint="eastAsia"/>
          <w:color w:val="auto"/>
          <w:sz w:val="26"/>
          <w:szCs w:val="26"/>
        </w:rPr>
        <w:t>《湘区丰碑》专题陈列项目</w:t>
      </w:r>
      <w:r>
        <w:rPr>
          <w:rFonts w:hint="eastAsia"/>
          <w:color w:val="auto"/>
          <w:sz w:val="26"/>
          <w:szCs w:val="26"/>
          <w:lang w:val="en-US" w:eastAsia="zh-CN"/>
        </w:rPr>
        <w:t>为2021年年中新增项目按合同支付到70%</w:t>
      </w:r>
      <w:r>
        <w:rPr>
          <w:rFonts w:hint="eastAsia"/>
          <w:color w:val="auto"/>
          <w:sz w:val="26"/>
          <w:szCs w:val="26"/>
          <w:lang w:eastAsia="zh-CN"/>
        </w:rPr>
        <w:t>、</w:t>
      </w:r>
      <w:r>
        <w:rPr>
          <w:rFonts w:hint="eastAsia"/>
          <w:color w:val="auto"/>
          <w:sz w:val="26"/>
          <w:szCs w:val="26"/>
        </w:rPr>
        <w:t>“湘区旧址养护、清水塘水体治理项目经费”为 2019 年开馆应急工程项目之一，2021 年度完成</w:t>
      </w:r>
      <w:r>
        <w:rPr>
          <w:rFonts w:hint="eastAsia"/>
          <w:color w:val="auto"/>
          <w:sz w:val="26"/>
          <w:szCs w:val="26"/>
          <w:lang w:val="en-US" w:eastAsia="zh-CN"/>
        </w:rPr>
        <w:t>竣工决算并支付尾款</w:t>
      </w:r>
      <w:r>
        <w:rPr>
          <w:rFonts w:hint="eastAsia"/>
          <w:color w:val="auto"/>
          <w:sz w:val="26"/>
          <w:szCs w:val="26"/>
        </w:rPr>
        <w:t>，</w:t>
      </w:r>
      <w:r>
        <w:rPr>
          <w:rFonts w:hint="eastAsia"/>
          <w:color w:val="auto"/>
          <w:sz w:val="26"/>
          <w:szCs w:val="26"/>
          <w:lang w:val="en-US" w:eastAsia="zh-CN"/>
        </w:rPr>
        <w:t>另2021年度开展</w:t>
      </w:r>
      <w:r>
        <w:rPr>
          <w:rFonts w:asciiTheme="minorHAnsi" w:hAnsiTheme="minorHAnsi" w:eastAsiaTheme="minorEastAsia" w:cstheme="minorBidi"/>
          <w:color w:val="auto"/>
          <w:kern w:val="0"/>
          <w:sz w:val="26"/>
          <w:szCs w:val="26"/>
          <w:lang w:val="en-US" w:eastAsia="zh-CN" w:bidi="ar"/>
        </w:rPr>
        <w:t>纪念中共湖南支部成立 100 周年学术研讨会</w:t>
      </w:r>
      <w:r>
        <w:rPr>
          <w:rFonts w:hint="eastAsia" w:cstheme="minorBidi"/>
          <w:color w:val="auto"/>
          <w:kern w:val="0"/>
          <w:sz w:val="26"/>
          <w:szCs w:val="26"/>
          <w:lang w:val="en-US" w:eastAsia="zh-CN" w:bidi="ar"/>
        </w:rPr>
        <w:t>，</w:t>
      </w:r>
      <w:r>
        <w:rPr>
          <w:rFonts w:hint="eastAsia"/>
          <w:color w:val="auto"/>
          <w:sz w:val="26"/>
          <w:szCs w:val="26"/>
          <w:lang w:val="en-US" w:eastAsia="zh-CN"/>
        </w:rPr>
        <w:t>而本年度无以上几项开支，故本年度支出比2021年度有所减少。</w:t>
      </w:r>
    </w:p>
    <w:p w14:paraId="1A4795D3">
      <w:pPr>
        <w:pStyle w:val="5"/>
        <w:keepNext w:val="0"/>
        <w:keepLines w:val="0"/>
        <w:widowControl/>
        <w:suppressLineNumbers w:val="0"/>
      </w:pPr>
      <w:r>
        <w:rPr>
          <w:sz w:val="26"/>
          <w:szCs w:val="26"/>
        </w:rPr>
        <w:t>二、收入决算情况说明</w:t>
      </w:r>
    </w:p>
    <w:p w14:paraId="23622836">
      <w:pPr>
        <w:pStyle w:val="5"/>
        <w:keepNext w:val="0"/>
        <w:keepLines w:val="0"/>
        <w:widowControl/>
        <w:suppressLineNumbers w:val="0"/>
      </w:pPr>
      <w:r>
        <w:rPr>
          <w:sz w:val="24"/>
          <w:szCs w:val="24"/>
        </w:rPr>
        <w:t>  </w:t>
      </w:r>
      <w:r>
        <w:rPr>
          <w:sz w:val="26"/>
          <w:szCs w:val="26"/>
        </w:rPr>
        <w:t>2022 年度收入合计2,023.78万元，其中：财政拨款收入2,023.78万元，占100.00%；上级补助收入0.00万元，占0.00%；事业收入 0.00万元，占0.00%；经营收入0.00万元，占0.00%；附属单位上缴收入0.00万元，占0.00%；其他收入0.00万元，占0.00%。</w:t>
      </w:r>
    </w:p>
    <w:p w14:paraId="4CDAB074">
      <w:pPr>
        <w:pStyle w:val="5"/>
        <w:keepNext w:val="0"/>
        <w:keepLines w:val="0"/>
        <w:widowControl/>
        <w:suppressLineNumbers w:val="0"/>
      </w:pPr>
      <w:r>
        <w:rPr>
          <w:sz w:val="26"/>
          <w:szCs w:val="26"/>
        </w:rPr>
        <w:t>三、支出决算情况说明</w:t>
      </w:r>
    </w:p>
    <w:p w14:paraId="3A0CBCD0">
      <w:pPr>
        <w:pStyle w:val="5"/>
        <w:keepNext w:val="0"/>
        <w:keepLines w:val="0"/>
        <w:widowControl/>
        <w:suppressLineNumbers w:val="0"/>
      </w:pPr>
      <w:r>
        <w:rPr>
          <w:sz w:val="24"/>
          <w:szCs w:val="24"/>
        </w:rPr>
        <w:t>  </w:t>
      </w:r>
      <w:r>
        <w:rPr>
          <w:sz w:val="26"/>
          <w:szCs w:val="26"/>
        </w:rPr>
        <w:t>2022 年度支出合计2,023.78万元，其中：基本支出1,210.38万元，占59.81%；项目支出813.39万元，占40.19%；上缴上级支出 0.00万元，占0.00%；经营支出0.00万元，占0.00%；对附属单位补助支出0.00万元，占0.00%。</w:t>
      </w:r>
    </w:p>
    <w:p w14:paraId="4EC7602F">
      <w:pPr>
        <w:pStyle w:val="5"/>
        <w:keepNext w:val="0"/>
        <w:keepLines w:val="0"/>
        <w:widowControl/>
        <w:suppressLineNumbers w:val="0"/>
        <w:rPr>
          <w:color w:val="auto"/>
        </w:rPr>
      </w:pPr>
      <w:r>
        <w:rPr>
          <w:color w:val="auto"/>
          <w:sz w:val="26"/>
          <w:szCs w:val="26"/>
        </w:rPr>
        <w:t>四、财政拨款收入支出决算总体情况说明</w:t>
      </w:r>
    </w:p>
    <w:p w14:paraId="5AAB60B4">
      <w:pPr>
        <w:pStyle w:val="5"/>
        <w:keepNext w:val="0"/>
        <w:keepLines w:val="0"/>
        <w:widowControl/>
        <w:suppressLineNumbers w:val="0"/>
        <w:rPr>
          <w:rFonts w:hint="default" w:eastAsiaTheme="minorEastAsia"/>
          <w:color w:val="auto"/>
          <w:lang w:val="en-US" w:eastAsia="zh-CN"/>
        </w:rPr>
      </w:pPr>
      <w:r>
        <w:rPr>
          <w:color w:val="auto"/>
          <w:sz w:val="24"/>
          <w:szCs w:val="24"/>
        </w:rPr>
        <w:t>  </w:t>
      </w:r>
      <w:r>
        <w:rPr>
          <w:color w:val="auto"/>
          <w:sz w:val="26"/>
          <w:szCs w:val="26"/>
        </w:rPr>
        <w:t>2022年度财政拨款收、支总计2,023.78万元，与上年相比，减少2,576.14万元,减少</w:t>
      </w:r>
      <w:r>
        <w:rPr>
          <w:rFonts w:hint="eastAsia"/>
          <w:color w:val="auto"/>
          <w:sz w:val="26"/>
          <w:szCs w:val="26"/>
          <w:lang w:val="en-US" w:eastAsia="zh-CN"/>
        </w:rPr>
        <w:t>56</w:t>
      </w:r>
      <w:r>
        <w:rPr>
          <w:color w:val="auto"/>
          <w:sz w:val="26"/>
          <w:szCs w:val="26"/>
        </w:rPr>
        <w:t>%，主要是因为因为</w:t>
      </w:r>
      <w:r>
        <w:rPr>
          <w:rFonts w:hint="eastAsia"/>
          <w:color w:val="auto"/>
          <w:sz w:val="26"/>
          <w:szCs w:val="26"/>
        </w:rPr>
        <w:t>《湘区丰碑》专题陈列项目</w:t>
      </w:r>
      <w:r>
        <w:rPr>
          <w:rFonts w:hint="eastAsia"/>
          <w:color w:val="auto"/>
          <w:sz w:val="26"/>
          <w:szCs w:val="26"/>
          <w:lang w:val="en-US" w:eastAsia="zh-CN"/>
        </w:rPr>
        <w:t>为2021年年中新增项目按合同支付到70%</w:t>
      </w:r>
      <w:r>
        <w:rPr>
          <w:rFonts w:hint="eastAsia"/>
          <w:color w:val="auto"/>
          <w:sz w:val="26"/>
          <w:szCs w:val="26"/>
          <w:lang w:eastAsia="zh-CN"/>
        </w:rPr>
        <w:t>、</w:t>
      </w:r>
      <w:r>
        <w:rPr>
          <w:rFonts w:hint="eastAsia"/>
          <w:color w:val="auto"/>
          <w:sz w:val="26"/>
          <w:szCs w:val="26"/>
        </w:rPr>
        <w:t>“湘区旧址养护、清水塘水体治理项目经费”为 2019 年开馆应急工程项目之一，2021 年度完成</w:t>
      </w:r>
      <w:r>
        <w:rPr>
          <w:rFonts w:hint="eastAsia"/>
          <w:color w:val="auto"/>
          <w:sz w:val="26"/>
          <w:szCs w:val="26"/>
          <w:lang w:val="en-US" w:eastAsia="zh-CN"/>
        </w:rPr>
        <w:t>竣工决算并支付尾款</w:t>
      </w:r>
      <w:r>
        <w:rPr>
          <w:rFonts w:hint="eastAsia"/>
          <w:color w:val="auto"/>
          <w:sz w:val="26"/>
          <w:szCs w:val="26"/>
        </w:rPr>
        <w:t>，</w:t>
      </w:r>
      <w:r>
        <w:rPr>
          <w:rFonts w:hint="eastAsia"/>
          <w:color w:val="auto"/>
          <w:sz w:val="26"/>
          <w:szCs w:val="26"/>
          <w:lang w:val="en-US" w:eastAsia="zh-CN"/>
        </w:rPr>
        <w:t>另2021年度开展</w:t>
      </w:r>
      <w:r>
        <w:rPr>
          <w:rFonts w:asciiTheme="minorHAnsi" w:hAnsiTheme="minorHAnsi" w:eastAsiaTheme="minorEastAsia" w:cstheme="minorBidi"/>
          <w:color w:val="auto"/>
          <w:kern w:val="0"/>
          <w:sz w:val="26"/>
          <w:szCs w:val="26"/>
          <w:lang w:val="en-US" w:eastAsia="zh-CN" w:bidi="ar"/>
        </w:rPr>
        <w:t>纪念中共湖南支部成立 100 周年学术研讨会</w:t>
      </w:r>
      <w:r>
        <w:rPr>
          <w:rFonts w:hint="eastAsia" w:cstheme="minorBidi"/>
          <w:color w:val="auto"/>
          <w:kern w:val="0"/>
          <w:sz w:val="26"/>
          <w:szCs w:val="26"/>
          <w:lang w:val="en-US" w:eastAsia="zh-CN" w:bidi="ar"/>
        </w:rPr>
        <w:t>，</w:t>
      </w:r>
      <w:r>
        <w:rPr>
          <w:rFonts w:hint="eastAsia"/>
          <w:color w:val="auto"/>
          <w:sz w:val="26"/>
          <w:szCs w:val="26"/>
          <w:lang w:val="en-US" w:eastAsia="zh-CN"/>
        </w:rPr>
        <w:t>而本年度无以上几项开支，故本年度支出比2021年度有所减少。</w:t>
      </w:r>
    </w:p>
    <w:p w14:paraId="62080D02">
      <w:pPr>
        <w:pStyle w:val="5"/>
        <w:keepNext w:val="0"/>
        <w:keepLines w:val="0"/>
        <w:widowControl/>
        <w:suppressLineNumbers w:val="0"/>
      </w:pPr>
    </w:p>
    <w:p w14:paraId="565E03D9">
      <w:pPr>
        <w:pStyle w:val="5"/>
        <w:keepNext w:val="0"/>
        <w:keepLines w:val="0"/>
        <w:widowControl/>
        <w:suppressLineNumbers w:val="0"/>
      </w:pPr>
      <w:r>
        <w:rPr>
          <w:sz w:val="26"/>
          <w:szCs w:val="26"/>
        </w:rPr>
        <w:t>五、一般公共预算财政拨款支出决算情况说明</w:t>
      </w:r>
    </w:p>
    <w:p w14:paraId="38EB9738">
      <w:pPr>
        <w:pStyle w:val="5"/>
        <w:keepNext w:val="0"/>
        <w:keepLines w:val="0"/>
        <w:widowControl/>
        <w:suppressLineNumbers w:val="0"/>
      </w:pPr>
      <w:r>
        <w:rPr>
          <w:sz w:val="24"/>
          <w:szCs w:val="24"/>
        </w:rPr>
        <w:t>  </w:t>
      </w:r>
      <w:r>
        <w:rPr>
          <w:sz w:val="26"/>
          <w:szCs w:val="26"/>
        </w:rPr>
        <w:t>（一）财政拨款支出决算总体情况</w:t>
      </w:r>
    </w:p>
    <w:p w14:paraId="501EFCEC">
      <w:pPr>
        <w:pStyle w:val="5"/>
        <w:keepNext w:val="0"/>
        <w:keepLines w:val="0"/>
        <w:widowControl/>
        <w:suppressLineNumbers w:val="0"/>
        <w:rPr>
          <w:rFonts w:hint="default" w:eastAsiaTheme="minorEastAsia"/>
          <w:lang w:val="en-US" w:eastAsia="zh-CN"/>
        </w:rPr>
      </w:pPr>
      <w:r>
        <w:rPr>
          <w:sz w:val="24"/>
          <w:szCs w:val="24"/>
        </w:rPr>
        <w:t>  </w:t>
      </w:r>
      <w:r>
        <w:rPr>
          <w:sz w:val="26"/>
          <w:szCs w:val="26"/>
        </w:rPr>
        <w:t>2022年度一般公共预算财政拨款支出2,023.78万元，占本年支出合计的100.00%，与上年相比，一般公共预算财政拨款支出减少2,576.14万元</w:t>
      </w:r>
      <w:r>
        <w:rPr>
          <w:rFonts w:hint="eastAsia"/>
          <w:sz w:val="26"/>
          <w:szCs w:val="26"/>
          <w:lang w:eastAsia="zh-CN"/>
        </w:rPr>
        <w:t>，</w:t>
      </w:r>
      <w:r>
        <w:rPr>
          <w:color w:val="auto"/>
          <w:sz w:val="26"/>
          <w:szCs w:val="26"/>
        </w:rPr>
        <w:t>减少56.00%，主要是因为</w:t>
      </w:r>
      <w:r>
        <w:rPr>
          <w:rFonts w:hint="eastAsia"/>
          <w:color w:val="auto"/>
          <w:sz w:val="26"/>
          <w:szCs w:val="26"/>
        </w:rPr>
        <w:t>《湘区丰碑》专题陈列项目</w:t>
      </w:r>
      <w:r>
        <w:rPr>
          <w:rFonts w:hint="eastAsia"/>
          <w:color w:val="auto"/>
          <w:sz w:val="26"/>
          <w:szCs w:val="26"/>
          <w:lang w:val="en-US" w:eastAsia="zh-CN"/>
        </w:rPr>
        <w:t>为2021年年中新增项目按合同支付到70%</w:t>
      </w:r>
      <w:r>
        <w:rPr>
          <w:rFonts w:hint="eastAsia"/>
          <w:color w:val="auto"/>
          <w:sz w:val="26"/>
          <w:szCs w:val="26"/>
          <w:lang w:eastAsia="zh-CN"/>
        </w:rPr>
        <w:t>、</w:t>
      </w:r>
      <w:r>
        <w:rPr>
          <w:rFonts w:hint="eastAsia"/>
          <w:color w:val="auto"/>
          <w:sz w:val="26"/>
          <w:szCs w:val="26"/>
        </w:rPr>
        <w:t>“湘区旧址养护、清水塘水体治理项目经费”为 2019 年开馆应急工程项目之一，2021 年度完成</w:t>
      </w:r>
      <w:r>
        <w:rPr>
          <w:rFonts w:hint="eastAsia"/>
          <w:color w:val="auto"/>
          <w:sz w:val="26"/>
          <w:szCs w:val="26"/>
          <w:lang w:val="en-US" w:eastAsia="zh-CN"/>
        </w:rPr>
        <w:t>竣工决算并支付尾款</w:t>
      </w:r>
      <w:r>
        <w:rPr>
          <w:rFonts w:hint="eastAsia"/>
          <w:color w:val="auto"/>
          <w:sz w:val="26"/>
          <w:szCs w:val="26"/>
        </w:rPr>
        <w:t>，</w:t>
      </w:r>
      <w:r>
        <w:rPr>
          <w:rFonts w:hint="eastAsia"/>
          <w:color w:val="auto"/>
          <w:sz w:val="26"/>
          <w:szCs w:val="26"/>
          <w:lang w:val="en-US" w:eastAsia="zh-CN"/>
        </w:rPr>
        <w:t>另2021年度开展</w:t>
      </w:r>
      <w:r>
        <w:rPr>
          <w:rFonts w:asciiTheme="minorHAnsi" w:hAnsiTheme="minorHAnsi" w:eastAsiaTheme="minorEastAsia" w:cstheme="minorBidi"/>
          <w:color w:val="auto"/>
          <w:kern w:val="0"/>
          <w:sz w:val="26"/>
          <w:szCs w:val="26"/>
          <w:lang w:val="en-US" w:eastAsia="zh-CN" w:bidi="ar"/>
        </w:rPr>
        <w:t>纪念中共湖南支部成立 100 周年学术研讨会</w:t>
      </w:r>
      <w:r>
        <w:rPr>
          <w:rFonts w:hint="eastAsia" w:cstheme="minorBidi"/>
          <w:color w:val="auto"/>
          <w:kern w:val="0"/>
          <w:sz w:val="26"/>
          <w:szCs w:val="26"/>
          <w:lang w:val="en-US" w:eastAsia="zh-CN" w:bidi="ar"/>
        </w:rPr>
        <w:t>，</w:t>
      </w:r>
      <w:r>
        <w:rPr>
          <w:rFonts w:hint="eastAsia"/>
          <w:color w:val="auto"/>
          <w:sz w:val="26"/>
          <w:szCs w:val="26"/>
          <w:lang w:val="en-US" w:eastAsia="zh-CN"/>
        </w:rPr>
        <w:t>而本年度无以上几项开支，故本年度支出比2021年度有所减少。</w:t>
      </w:r>
    </w:p>
    <w:p w14:paraId="508E3E1E">
      <w:pPr>
        <w:pStyle w:val="5"/>
        <w:keepNext w:val="0"/>
        <w:keepLines w:val="0"/>
        <w:widowControl/>
        <w:suppressLineNumbers w:val="0"/>
      </w:pPr>
      <w:r>
        <w:rPr>
          <w:sz w:val="24"/>
          <w:szCs w:val="24"/>
        </w:rPr>
        <w:t>  </w:t>
      </w:r>
      <w:r>
        <w:rPr>
          <w:sz w:val="26"/>
          <w:szCs w:val="26"/>
        </w:rPr>
        <w:t>（二）财政拨款支出决算结构情况</w:t>
      </w:r>
    </w:p>
    <w:p w14:paraId="04160B2C">
      <w:pPr>
        <w:pStyle w:val="5"/>
        <w:keepNext w:val="0"/>
        <w:keepLines w:val="0"/>
        <w:widowControl/>
        <w:suppressLineNumbers w:val="0"/>
      </w:pPr>
      <w:r>
        <w:rPr>
          <w:sz w:val="24"/>
          <w:szCs w:val="24"/>
        </w:rPr>
        <w:t>  </w:t>
      </w:r>
      <w:r>
        <w:rPr>
          <w:sz w:val="26"/>
          <w:szCs w:val="26"/>
        </w:rPr>
        <w:t>2022年度一般公共预算财政拨款支出2,023.78万元，主要用于以下方面：一般公共服务（类）支出</w:t>
      </w:r>
      <w:r>
        <w:rPr>
          <w:rFonts w:hint="eastAsia"/>
          <w:sz w:val="26"/>
          <w:szCs w:val="26"/>
          <w:lang w:val="en-US" w:eastAsia="zh-CN"/>
        </w:rPr>
        <w:t>923.85</w:t>
      </w:r>
      <w:r>
        <w:rPr>
          <w:sz w:val="26"/>
          <w:szCs w:val="26"/>
        </w:rPr>
        <w:t>万元，占</w:t>
      </w:r>
      <w:r>
        <w:rPr>
          <w:rFonts w:hint="eastAsia"/>
          <w:sz w:val="26"/>
          <w:szCs w:val="26"/>
          <w:lang w:val="en-US" w:eastAsia="zh-CN"/>
        </w:rPr>
        <w:t>45.65</w:t>
      </w:r>
      <w:r>
        <w:rPr>
          <w:sz w:val="26"/>
          <w:szCs w:val="26"/>
        </w:rPr>
        <w:t>%；</w:t>
      </w:r>
      <w:r>
        <w:rPr>
          <w:rFonts w:hint="eastAsia"/>
          <w:sz w:val="26"/>
          <w:szCs w:val="26"/>
        </w:rPr>
        <w:t>文化旅游体育与传媒</w:t>
      </w:r>
      <w:r>
        <w:rPr>
          <w:sz w:val="26"/>
          <w:szCs w:val="26"/>
        </w:rPr>
        <w:t>（类）支出</w:t>
      </w:r>
      <w:r>
        <w:rPr>
          <w:rFonts w:hint="eastAsia"/>
          <w:sz w:val="26"/>
          <w:szCs w:val="26"/>
        </w:rPr>
        <w:t>1099.93</w:t>
      </w:r>
      <w:r>
        <w:rPr>
          <w:rFonts w:hint="eastAsia"/>
          <w:sz w:val="26"/>
          <w:szCs w:val="26"/>
          <w:lang w:val="en-US" w:eastAsia="zh-CN"/>
        </w:rPr>
        <w:t>万元</w:t>
      </w:r>
      <w:r>
        <w:rPr>
          <w:rFonts w:hint="eastAsia"/>
          <w:sz w:val="26"/>
          <w:szCs w:val="26"/>
          <w:lang w:eastAsia="zh-CN"/>
        </w:rPr>
        <w:t>，</w:t>
      </w:r>
      <w:r>
        <w:rPr>
          <w:sz w:val="26"/>
          <w:szCs w:val="26"/>
        </w:rPr>
        <w:t>占</w:t>
      </w:r>
      <w:r>
        <w:rPr>
          <w:rFonts w:hint="eastAsia"/>
          <w:sz w:val="26"/>
          <w:szCs w:val="26"/>
          <w:lang w:val="en-US" w:eastAsia="zh-CN"/>
        </w:rPr>
        <w:t>54.35%。</w:t>
      </w:r>
    </w:p>
    <w:p w14:paraId="342F77D7">
      <w:pPr>
        <w:pStyle w:val="5"/>
        <w:keepNext w:val="0"/>
        <w:keepLines w:val="0"/>
        <w:widowControl/>
        <w:suppressLineNumbers w:val="0"/>
      </w:pPr>
      <w:r>
        <w:rPr>
          <w:sz w:val="24"/>
          <w:szCs w:val="24"/>
        </w:rPr>
        <w:t>  </w:t>
      </w:r>
      <w:r>
        <w:rPr>
          <w:sz w:val="26"/>
          <w:szCs w:val="26"/>
        </w:rPr>
        <w:t>（三）财政拨款支出决算具体情况</w:t>
      </w:r>
    </w:p>
    <w:p w14:paraId="7CE9FD79">
      <w:pPr>
        <w:pStyle w:val="5"/>
        <w:keepNext w:val="0"/>
        <w:keepLines w:val="0"/>
        <w:widowControl/>
        <w:suppressLineNumbers w:val="0"/>
      </w:pPr>
      <w:r>
        <w:rPr>
          <w:sz w:val="24"/>
          <w:szCs w:val="24"/>
        </w:rPr>
        <w:t>  </w:t>
      </w:r>
      <w:r>
        <w:rPr>
          <w:sz w:val="26"/>
          <w:szCs w:val="26"/>
        </w:rPr>
        <w:t>2022年度一般公共预算财政拨款支出年初预算数为1,762.39万元，支出决算数为2,023.78万元，完成年初预算的114.83%，其中：</w:t>
      </w:r>
    </w:p>
    <w:p w14:paraId="313028AB">
      <w:pPr>
        <w:pStyle w:val="5"/>
        <w:keepNext w:val="0"/>
        <w:keepLines w:val="0"/>
        <w:widowControl/>
        <w:suppressLineNumbers w:val="0"/>
      </w:pPr>
      <w:r>
        <w:rPr>
          <w:sz w:val="24"/>
          <w:szCs w:val="24"/>
        </w:rPr>
        <w:t>  </w:t>
      </w:r>
      <w:r>
        <w:rPr>
          <w:sz w:val="26"/>
          <w:szCs w:val="26"/>
        </w:rPr>
        <w:t>1、一般公共服务</w:t>
      </w:r>
      <w:r>
        <w:rPr>
          <w:rFonts w:hint="eastAsia"/>
          <w:sz w:val="26"/>
          <w:szCs w:val="26"/>
          <w:lang w:val="en-US" w:eastAsia="zh-CN"/>
        </w:rPr>
        <w:t>支出</w:t>
      </w:r>
      <w:r>
        <w:rPr>
          <w:sz w:val="26"/>
          <w:szCs w:val="26"/>
        </w:rPr>
        <w:t>（类）</w:t>
      </w:r>
      <w:r>
        <w:rPr>
          <w:rFonts w:hint="eastAsia"/>
          <w:sz w:val="26"/>
          <w:szCs w:val="26"/>
        </w:rPr>
        <w:t>人大事务</w:t>
      </w:r>
      <w:r>
        <w:rPr>
          <w:sz w:val="26"/>
          <w:szCs w:val="26"/>
        </w:rPr>
        <w:t>（款）</w:t>
      </w:r>
      <w:r>
        <w:rPr>
          <w:rFonts w:hint="eastAsia"/>
          <w:sz w:val="26"/>
          <w:szCs w:val="26"/>
        </w:rPr>
        <w:t>行政运行</w:t>
      </w:r>
      <w:r>
        <w:rPr>
          <w:sz w:val="26"/>
          <w:szCs w:val="26"/>
        </w:rPr>
        <w:t>（项）。</w:t>
      </w:r>
    </w:p>
    <w:p w14:paraId="7E6BC465">
      <w:pPr>
        <w:pStyle w:val="10"/>
        <w:ind w:left="0" w:leftChars="0" w:firstLine="0" w:firstLineChars="0"/>
        <w:rPr>
          <w:rFonts w:asciiTheme="minorHAnsi" w:hAnsiTheme="minorHAnsi" w:eastAsiaTheme="minorEastAsia" w:cstheme="minorBidi"/>
          <w:b w:val="0"/>
          <w:kern w:val="0"/>
          <w:sz w:val="26"/>
          <w:szCs w:val="26"/>
          <w:lang w:val="en-US" w:eastAsia="zh-CN" w:bidi="ar"/>
        </w:rPr>
      </w:pPr>
      <w:r>
        <w:rPr>
          <w:rFonts w:asciiTheme="minorHAnsi" w:hAnsiTheme="minorHAnsi" w:eastAsiaTheme="minorEastAsia" w:cstheme="minorBidi"/>
          <w:b w:val="0"/>
          <w:kern w:val="0"/>
          <w:sz w:val="26"/>
          <w:szCs w:val="26"/>
          <w:lang w:val="en-US" w:eastAsia="zh-CN" w:bidi="ar"/>
        </w:rPr>
        <w:t>  年初预算为</w:t>
      </w:r>
      <w:r>
        <w:rPr>
          <w:rFonts w:hint="eastAsia" w:asciiTheme="minorHAnsi" w:hAnsiTheme="minorHAnsi" w:eastAsiaTheme="minorEastAsia" w:cstheme="minorBidi"/>
          <w:b w:val="0"/>
          <w:kern w:val="0"/>
          <w:sz w:val="26"/>
          <w:szCs w:val="26"/>
          <w:lang w:val="en-US" w:eastAsia="zh-CN" w:bidi="ar"/>
        </w:rPr>
        <w:t>0</w:t>
      </w:r>
      <w:r>
        <w:rPr>
          <w:rFonts w:asciiTheme="minorHAnsi" w:hAnsiTheme="minorHAnsi" w:eastAsiaTheme="minorEastAsia" w:cstheme="minorBidi"/>
          <w:b w:val="0"/>
          <w:kern w:val="0"/>
          <w:sz w:val="26"/>
          <w:szCs w:val="26"/>
          <w:lang w:val="en-US" w:eastAsia="zh-CN" w:bidi="ar"/>
        </w:rPr>
        <w:t>万元，支出决算为</w:t>
      </w:r>
      <w:r>
        <w:rPr>
          <w:rFonts w:hint="eastAsia" w:asciiTheme="minorHAnsi" w:hAnsiTheme="minorHAnsi" w:eastAsiaTheme="minorEastAsia" w:cstheme="minorBidi"/>
          <w:b w:val="0"/>
          <w:kern w:val="0"/>
          <w:sz w:val="26"/>
          <w:szCs w:val="26"/>
          <w:lang w:val="en-US" w:eastAsia="zh-CN" w:bidi="ar"/>
        </w:rPr>
        <w:t>4.74</w:t>
      </w:r>
      <w:r>
        <w:rPr>
          <w:rFonts w:asciiTheme="minorHAnsi" w:hAnsiTheme="minorHAnsi" w:eastAsiaTheme="minorEastAsia" w:cstheme="minorBidi"/>
          <w:b w:val="0"/>
          <w:kern w:val="0"/>
          <w:sz w:val="26"/>
          <w:szCs w:val="26"/>
          <w:lang w:val="en-US" w:eastAsia="zh-CN" w:bidi="ar"/>
        </w:rPr>
        <w:t>万元，完成年初预算的</w:t>
      </w:r>
      <w:r>
        <w:rPr>
          <w:rFonts w:hint="eastAsia" w:asciiTheme="minorHAnsi" w:hAnsiTheme="minorHAnsi" w:eastAsiaTheme="minorEastAsia" w:cstheme="minorBidi"/>
          <w:b w:val="0"/>
          <w:kern w:val="0"/>
          <w:sz w:val="26"/>
          <w:szCs w:val="26"/>
          <w:lang w:val="en-US" w:eastAsia="zh-CN" w:bidi="ar"/>
        </w:rPr>
        <w:t>0.00</w:t>
      </w:r>
      <w:r>
        <w:rPr>
          <w:rFonts w:asciiTheme="minorHAnsi" w:hAnsiTheme="minorHAnsi" w:eastAsiaTheme="minorEastAsia" w:cstheme="minorBidi"/>
          <w:b w:val="0"/>
          <w:kern w:val="0"/>
          <w:sz w:val="26"/>
          <w:szCs w:val="26"/>
          <w:lang w:val="en-US" w:eastAsia="zh-CN" w:bidi="ar"/>
        </w:rPr>
        <w:t>%，决算数大于年初预算数的主要原因是：</w:t>
      </w:r>
      <w:r>
        <w:rPr>
          <w:rFonts w:hint="eastAsia" w:asciiTheme="minorHAnsi" w:hAnsiTheme="minorHAnsi" w:eastAsiaTheme="minorEastAsia" w:cstheme="minorBidi"/>
          <w:b w:val="0"/>
          <w:kern w:val="0"/>
          <w:sz w:val="26"/>
          <w:szCs w:val="26"/>
          <w:lang w:val="en-US" w:eastAsia="zh-CN" w:bidi="ar"/>
        </w:rPr>
        <w:t>根据长沙市人力资源和社会保障局有关要求，</w:t>
      </w:r>
      <w:r>
        <w:rPr>
          <w:rFonts w:hint="eastAsia" w:eastAsiaTheme="minorEastAsia" w:cstheme="minorBidi"/>
          <w:b w:val="0"/>
          <w:kern w:val="0"/>
          <w:sz w:val="26"/>
          <w:szCs w:val="26"/>
          <w:lang w:val="en-US" w:eastAsia="zh-CN" w:bidi="ar"/>
        </w:rPr>
        <w:t>中国共产党长沙历史馆</w:t>
      </w:r>
      <w:r>
        <w:rPr>
          <w:rFonts w:hint="eastAsia" w:asciiTheme="minorHAnsi" w:hAnsiTheme="minorHAnsi" w:eastAsiaTheme="minorEastAsia" w:cstheme="minorBidi"/>
          <w:b w:val="0"/>
          <w:kern w:val="0"/>
          <w:sz w:val="26"/>
          <w:szCs w:val="26"/>
          <w:lang w:val="en-US" w:eastAsia="zh-CN" w:bidi="ar"/>
        </w:rPr>
        <w:t>年中追加了在职员工的职业年金纪实费用4</w:t>
      </w:r>
      <w:r>
        <w:rPr>
          <w:rFonts w:asciiTheme="minorHAnsi" w:hAnsiTheme="minorHAnsi" w:eastAsiaTheme="minorEastAsia" w:cstheme="minorBidi"/>
          <w:b w:val="0"/>
          <w:kern w:val="0"/>
          <w:sz w:val="26"/>
          <w:szCs w:val="26"/>
          <w:lang w:val="en-US" w:eastAsia="zh-CN" w:bidi="ar"/>
        </w:rPr>
        <w:t>.74</w:t>
      </w:r>
      <w:r>
        <w:rPr>
          <w:rFonts w:hint="eastAsia" w:asciiTheme="minorHAnsi" w:hAnsiTheme="minorHAnsi" w:eastAsiaTheme="minorEastAsia" w:cstheme="minorBidi"/>
          <w:b w:val="0"/>
          <w:kern w:val="0"/>
          <w:sz w:val="26"/>
          <w:szCs w:val="26"/>
          <w:lang w:val="en-US" w:eastAsia="zh-CN" w:bidi="ar"/>
        </w:rPr>
        <w:t>万元</w:t>
      </w:r>
      <w:r>
        <w:rPr>
          <w:rFonts w:asciiTheme="minorHAnsi" w:hAnsiTheme="minorHAnsi" w:eastAsiaTheme="minorEastAsia" w:cstheme="minorBidi"/>
          <w:b w:val="0"/>
          <w:kern w:val="0"/>
          <w:sz w:val="26"/>
          <w:szCs w:val="26"/>
          <w:lang w:val="en-US" w:eastAsia="zh-CN" w:bidi="ar"/>
        </w:rPr>
        <w:t>。</w:t>
      </w:r>
    </w:p>
    <w:p w14:paraId="64F94ED6">
      <w:pPr>
        <w:pStyle w:val="5"/>
        <w:keepNext w:val="0"/>
        <w:keepLines w:val="0"/>
        <w:widowControl/>
        <w:suppressLineNumbers w:val="0"/>
        <w:rPr>
          <w:color w:val="000000" w:themeColor="text1"/>
          <w14:textFill>
            <w14:solidFill>
              <w14:schemeClr w14:val="tx1"/>
            </w14:solidFill>
          </w14:textFill>
        </w:rPr>
      </w:pPr>
      <w:r>
        <w:rPr>
          <w:color w:val="000000" w:themeColor="text1"/>
          <w:sz w:val="24"/>
          <w:szCs w:val="24"/>
          <w14:textFill>
            <w14:solidFill>
              <w14:schemeClr w14:val="tx1"/>
            </w14:solidFill>
          </w14:textFill>
        </w:rPr>
        <w:t>  </w:t>
      </w:r>
      <w:r>
        <w:rPr>
          <w:color w:val="000000" w:themeColor="text1"/>
          <w:sz w:val="26"/>
          <w:szCs w:val="26"/>
          <w14:textFill>
            <w14:solidFill>
              <w14:schemeClr w14:val="tx1"/>
            </w14:solidFill>
          </w14:textFill>
        </w:rPr>
        <w:t>2、一般公共服务</w:t>
      </w:r>
      <w:r>
        <w:rPr>
          <w:rFonts w:hint="eastAsia"/>
          <w:color w:val="000000" w:themeColor="text1"/>
          <w:sz w:val="26"/>
          <w:szCs w:val="26"/>
          <w:lang w:val="en-US" w:eastAsia="zh-CN"/>
          <w14:textFill>
            <w14:solidFill>
              <w14:schemeClr w14:val="tx1"/>
            </w14:solidFill>
          </w14:textFill>
        </w:rPr>
        <w:t>支出</w:t>
      </w:r>
      <w:r>
        <w:rPr>
          <w:color w:val="000000" w:themeColor="text1"/>
          <w:sz w:val="26"/>
          <w:szCs w:val="26"/>
          <w14:textFill>
            <w14:solidFill>
              <w14:schemeClr w14:val="tx1"/>
            </w14:solidFill>
          </w14:textFill>
        </w:rPr>
        <w:t>（类）</w:t>
      </w:r>
      <w:r>
        <w:rPr>
          <w:rFonts w:hint="eastAsia"/>
          <w:color w:val="000000" w:themeColor="text1"/>
          <w:sz w:val="26"/>
          <w:szCs w:val="26"/>
          <w14:textFill>
            <w14:solidFill>
              <w14:schemeClr w14:val="tx1"/>
            </w14:solidFill>
          </w14:textFill>
        </w:rPr>
        <w:t>党委办公厅（室）及相关机构事务</w:t>
      </w:r>
      <w:r>
        <w:rPr>
          <w:color w:val="000000" w:themeColor="text1"/>
          <w:sz w:val="26"/>
          <w:szCs w:val="26"/>
          <w14:textFill>
            <w14:solidFill>
              <w14:schemeClr w14:val="tx1"/>
            </w14:solidFill>
          </w14:textFill>
        </w:rPr>
        <w:t>（款）</w:t>
      </w:r>
      <w:r>
        <w:rPr>
          <w:rFonts w:hint="eastAsia"/>
          <w:color w:val="000000" w:themeColor="text1"/>
          <w:sz w:val="26"/>
          <w:szCs w:val="26"/>
          <w14:textFill>
            <w14:solidFill>
              <w14:schemeClr w14:val="tx1"/>
            </w14:solidFill>
          </w14:textFill>
        </w:rPr>
        <w:t xml:space="preserve"> 行政运行</w:t>
      </w:r>
      <w:r>
        <w:rPr>
          <w:color w:val="000000" w:themeColor="text1"/>
          <w:sz w:val="26"/>
          <w:szCs w:val="26"/>
          <w14:textFill>
            <w14:solidFill>
              <w14:schemeClr w14:val="tx1"/>
            </w14:solidFill>
          </w14:textFill>
        </w:rPr>
        <w:t>（项）。</w:t>
      </w:r>
    </w:p>
    <w:p w14:paraId="66C24E05">
      <w:pPr>
        <w:pStyle w:val="5"/>
        <w:keepNext w:val="0"/>
        <w:keepLines w:val="0"/>
        <w:widowControl/>
        <w:suppressLineNumbers w:val="0"/>
        <w:rPr>
          <w:rFonts w:hint="eastAsia" w:ascii="Times New Roman" w:hAnsi="Times New Roman"/>
          <w:color w:val="000000" w:themeColor="text1"/>
          <w:szCs w:val="32"/>
          <w:lang w:eastAsia="zh-CN"/>
          <w14:textFill>
            <w14:solidFill>
              <w14:schemeClr w14:val="tx1"/>
            </w14:solidFill>
          </w14:textFill>
        </w:rPr>
      </w:pPr>
      <w:r>
        <w:rPr>
          <w:color w:val="000000" w:themeColor="text1"/>
          <w:sz w:val="24"/>
          <w:szCs w:val="24"/>
          <w14:textFill>
            <w14:solidFill>
              <w14:schemeClr w14:val="tx1"/>
            </w14:solidFill>
          </w14:textFill>
        </w:rPr>
        <w:t>  </w:t>
      </w:r>
      <w:r>
        <w:rPr>
          <w:color w:val="000000" w:themeColor="text1"/>
          <w:sz w:val="26"/>
          <w:szCs w:val="26"/>
          <w14:textFill>
            <w14:solidFill>
              <w14:schemeClr w14:val="tx1"/>
            </w14:solidFill>
          </w14:textFill>
        </w:rPr>
        <w:t>年初预算为</w:t>
      </w:r>
      <w:r>
        <w:rPr>
          <w:rFonts w:hint="eastAsia"/>
          <w:color w:val="000000" w:themeColor="text1"/>
          <w:sz w:val="26"/>
          <w:szCs w:val="26"/>
          <w:lang w:val="en-US" w:eastAsia="zh-CN"/>
          <w14:textFill>
            <w14:solidFill>
              <w14:schemeClr w14:val="tx1"/>
            </w14:solidFill>
          </w14:textFill>
        </w:rPr>
        <w:t>602</w:t>
      </w:r>
      <w:r>
        <w:rPr>
          <w:color w:val="000000" w:themeColor="text1"/>
          <w:sz w:val="26"/>
          <w:szCs w:val="26"/>
          <w14:textFill>
            <w14:solidFill>
              <w14:schemeClr w14:val="tx1"/>
            </w14:solidFill>
          </w14:textFill>
        </w:rPr>
        <w:t>万元，支出决算为</w:t>
      </w:r>
      <w:r>
        <w:rPr>
          <w:rFonts w:hint="eastAsia"/>
          <w:color w:val="000000" w:themeColor="text1"/>
          <w:sz w:val="26"/>
          <w:szCs w:val="26"/>
          <w:lang w:val="en-US" w:eastAsia="zh-CN"/>
          <w14:textFill>
            <w14:solidFill>
              <w14:schemeClr w14:val="tx1"/>
            </w14:solidFill>
          </w14:textFill>
        </w:rPr>
        <w:t>697.61</w:t>
      </w:r>
      <w:r>
        <w:rPr>
          <w:color w:val="000000" w:themeColor="text1"/>
          <w:sz w:val="26"/>
          <w:szCs w:val="26"/>
          <w14:textFill>
            <w14:solidFill>
              <w14:schemeClr w14:val="tx1"/>
            </w14:solidFill>
          </w14:textFill>
        </w:rPr>
        <w:t>万元，完成年初预算的</w:t>
      </w:r>
      <w:r>
        <w:rPr>
          <w:rFonts w:hint="eastAsia"/>
          <w:color w:val="000000" w:themeColor="text1"/>
          <w:sz w:val="26"/>
          <w:szCs w:val="26"/>
          <w:lang w:val="en-US" w:eastAsia="zh-CN"/>
          <w14:textFill>
            <w14:solidFill>
              <w14:schemeClr w14:val="tx1"/>
            </w14:solidFill>
          </w14:textFill>
        </w:rPr>
        <w:t>115.88</w:t>
      </w:r>
      <w:r>
        <w:rPr>
          <w:color w:val="000000" w:themeColor="text1"/>
          <w:sz w:val="26"/>
          <w:szCs w:val="26"/>
          <w14:textFill>
            <w14:solidFill>
              <w14:schemeClr w14:val="tx1"/>
            </w14:solidFill>
          </w14:textFill>
        </w:rPr>
        <w:t>%，决算数大于年初预算数的主要原因是：</w:t>
      </w:r>
      <w:r>
        <w:rPr>
          <w:rFonts w:hint="eastAsia"/>
          <w:color w:val="000000" w:themeColor="text1"/>
          <w:sz w:val="26"/>
          <w:szCs w:val="26"/>
          <w:lang w:val="en-US" w:eastAsia="zh-CN"/>
          <w14:textFill>
            <w14:solidFill>
              <w14:schemeClr w14:val="tx1"/>
            </w14:solidFill>
          </w14:textFill>
        </w:rPr>
        <w:t>年中新增离退休干部生活补贴、慰问经费、宣传文化发展专项支出、</w:t>
      </w:r>
      <w:r>
        <w:rPr>
          <w:rFonts w:hint="eastAsia" w:ascii="Times New Roman" w:hAnsi="Times New Roman" w:cs="Times New Roman"/>
          <w:color w:val="000000" w:themeColor="text1"/>
          <w14:textFill>
            <w14:solidFill>
              <w14:schemeClr w14:val="tx1"/>
            </w14:solidFill>
          </w14:textFill>
        </w:rPr>
        <w:t>“中央补助地方博物馆纪念馆免费开放补助专项资金”</w:t>
      </w:r>
      <w:r>
        <w:rPr>
          <w:rFonts w:hint="eastAsia" w:ascii="Times New Roman" w:hAnsi="Times New Roman"/>
          <w:color w:val="000000" w:themeColor="text1"/>
          <w:szCs w:val="32"/>
          <w14:textFill>
            <w14:solidFill>
              <w14:schemeClr w14:val="tx1"/>
            </w14:solidFill>
          </w14:textFill>
        </w:rPr>
        <w:t>“公共服务设施”专项经费</w:t>
      </w:r>
      <w:r>
        <w:rPr>
          <w:rFonts w:hint="eastAsia" w:ascii="Times New Roman" w:hAnsi="Times New Roman"/>
          <w:color w:val="000000" w:themeColor="text1"/>
          <w:szCs w:val="32"/>
          <w:lang w:eastAsia="zh-CN"/>
          <w14:textFill>
            <w14:solidFill>
              <w14:schemeClr w14:val="tx1"/>
            </w14:solidFill>
          </w14:textFill>
        </w:rPr>
        <w:t>。</w:t>
      </w:r>
    </w:p>
    <w:p w14:paraId="19B210D6">
      <w:pPr>
        <w:pStyle w:val="5"/>
        <w:keepNext w:val="0"/>
        <w:keepLines w:val="0"/>
        <w:widowControl/>
        <w:numPr>
          <w:ilvl w:val="0"/>
          <w:numId w:val="4"/>
        </w:numPr>
        <w:suppressLineNumbers w:val="0"/>
        <w:rPr>
          <w:rFonts w:hint="default"/>
          <w:color w:val="000000" w:themeColor="text1"/>
          <w:sz w:val="26"/>
          <w:szCs w:val="26"/>
          <w:lang w:val="en-US" w:eastAsia="zh-CN"/>
          <w14:textFill>
            <w14:solidFill>
              <w14:schemeClr w14:val="tx1"/>
            </w14:solidFill>
          </w14:textFill>
        </w:rPr>
      </w:pPr>
      <w:r>
        <w:rPr>
          <w:color w:val="000000" w:themeColor="text1"/>
          <w:sz w:val="26"/>
          <w:szCs w:val="26"/>
          <w14:textFill>
            <w14:solidFill>
              <w14:schemeClr w14:val="tx1"/>
            </w14:solidFill>
          </w14:textFill>
        </w:rPr>
        <w:t>一般公共服务</w:t>
      </w:r>
      <w:r>
        <w:rPr>
          <w:rFonts w:hint="eastAsia"/>
          <w:color w:val="000000" w:themeColor="text1"/>
          <w:sz w:val="26"/>
          <w:szCs w:val="26"/>
          <w:lang w:val="en-US" w:eastAsia="zh-CN"/>
          <w14:textFill>
            <w14:solidFill>
              <w14:schemeClr w14:val="tx1"/>
            </w14:solidFill>
          </w14:textFill>
        </w:rPr>
        <w:t>支出</w:t>
      </w:r>
      <w:r>
        <w:rPr>
          <w:color w:val="000000" w:themeColor="text1"/>
          <w:sz w:val="26"/>
          <w:szCs w:val="26"/>
          <w14:textFill>
            <w14:solidFill>
              <w14:schemeClr w14:val="tx1"/>
            </w14:solidFill>
          </w14:textFill>
        </w:rPr>
        <w:t>（类）</w:t>
      </w:r>
      <w:r>
        <w:rPr>
          <w:rFonts w:hint="eastAsia"/>
          <w:color w:val="000000" w:themeColor="text1"/>
          <w:sz w:val="26"/>
          <w:szCs w:val="26"/>
          <w14:textFill>
            <w14:solidFill>
              <w14:schemeClr w14:val="tx1"/>
            </w14:solidFill>
          </w14:textFill>
        </w:rPr>
        <w:t>党委办公厅（室）及相关机构事务</w:t>
      </w:r>
      <w:r>
        <w:rPr>
          <w:color w:val="000000" w:themeColor="text1"/>
          <w:sz w:val="26"/>
          <w:szCs w:val="26"/>
          <w14:textFill>
            <w14:solidFill>
              <w14:schemeClr w14:val="tx1"/>
            </w14:solidFill>
          </w14:textFill>
        </w:rPr>
        <w:t>（款）</w:t>
      </w:r>
      <w:r>
        <w:rPr>
          <w:rFonts w:hint="eastAsia"/>
          <w:color w:val="000000" w:themeColor="text1"/>
          <w:sz w:val="26"/>
          <w:szCs w:val="26"/>
          <w14:textFill>
            <w14:solidFill>
              <w14:schemeClr w14:val="tx1"/>
            </w14:solidFill>
          </w14:textFill>
        </w:rPr>
        <w:t>专项业务</w:t>
      </w:r>
      <w:r>
        <w:rPr>
          <w:rFonts w:hint="eastAsia"/>
          <w:color w:val="000000" w:themeColor="text1"/>
          <w:sz w:val="26"/>
          <w:szCs w:val="26"/>
          <w:lang w:eastAsia="zh-CN"/>
          <w14:textFill>
            <w14:solidFill>
              <w14:schemeClr w14:val="tx1"/>
            </w14:solidFill>
          </w14:textFill>
        </w:rPr>
        <w:t>（</w:t>
      </w:r>
      <w:r>
        <w:rPr>
          <w:rFonts w:hint="eastAsia"/>
          <w:color w:val="000000" w:themeColor="text1"/>
          <w:sz w:val="26"/>
          <w:szCs w:val="26"/>
          <w:lang w:val="en-US" w:eastAsia="zh-CN"/>
          <w14:textFill>
            <w14:solidFill>
              <w14:schemeClr w14:val="tx1"/>
            </w14:solidFill>
          </w14:textFill>
        </w:rPr>
        <w:t>项</w:t>
      </w:r>
      <w:r>
        <w:rPr>
          <w:rFonts w:hint="eastAsia"/>
          <w:color w:val="000000" w:themeColor="text1"/>
          <w:sz w:val="26"/>
          <w:szCs w:val="26"/>
          <w:lang w:eastAsia="zh-CN"/>
          <w14:textFill>
            <w14:solidFill>
              <w14:schemeClr w14:val="tx1"/>
            </w14:solidFill>
          </w14:textFill>
        </w:rPr>
        <w:t>）</w:t>
      </w:r>
    </w:p>
    <w:p w14:paraId="22CFB041">
      <w:pPr>
        <w:pStyle w:val="5"/>
        <w:keepNext w:val="0"/>
        <w:keepLines w:val="0"/>
        <w:widowControl/>
        <w:suppressLineNumbers w:val="0"/>
        <w:rPr>
          <w:rFonts w:hint="eastAsia"/>
          <w:color w:val="000000" w:themeColor="text1"/>
          <w:sz w:val="26"/>
          <w:szCs w:val="26"/>
          <w:lang w:val="en-US" w:eastAsia="zh-CN"/>
          <w14:textFill>
            <w14:solidFill>
              <w14:schemeClr w14:val="tx1"/>
            </w14:solidFill>
          </w14:textFill>
        </w:rPr>
      </w:pPr>
      <w:r>
        <w:rPr>
          <w:rFonts w:hint="eastAsia"/>
          <w:color w:val="000000" w:themeColor="text1"/>
          <w:sz w:val="26"/>
          <w:szCs w:val="26"/>
          <w:lang w:val="en-US" w:eastAsia="zh-CN"/>
          <w14:textFill>
            <w14:solidFill>
              <w14:schemeClr w14:val="tx1"/>
            </w14:solidFill>
          </w14:textFill>
        </w:rPr>
        <w:t>年初预算为224.48万元，支出决算为208.01，完成预算的92.66%，决算数小于年初预算数的主要原因是：严格控制项目经费使用，今年有所节约。</w:t>
      </w:r>
    </w:p>
    <w:p w14:paraId="78A4E34B">
      <w:pPr>
        <w:pStyle w:val="5"/>
        <w:keepNext w:val="0"/>
        <w:keepLines w:val="0"/>
        <w:widowControl/>
        <w:numPr>
          <w:ilvl w:val="0"/>
          <w:numId w:val="4"/>
        </w:numPr>
        <w:suppressLineNumbers w:val="0"/>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pPr>
      <w:r>
        <w:rPr>
          <w:color w:val="000000" w:themeColor="text1"/>
          <w:sz w:val="26"/>
          <w:szCs w:val="26"/>
          <w14:textFill>
            <w14:solidFill>
              <w14:schemeClr w14:val="tx1"/>
            </w14:solidFill>
          </w14:textFill>
        </w:rPr>
        <w:t>一般公共服务</w:t>
      </w:r>
      <w:r>
        <w:rPr>
          <w:rFonts w:hint="eastAsia"/>
          <w:color w:val="000000" w:themeColor="text1"/>
          <w:sz w:val="26"/>
          <w:szCs w:val="26"/>
          <w14:textFill>
            <w14:solidFill>
              <w14:schemeClr w14:val="tx1"/>
            </w14:solidFill>
          </w14:textFill>
        </w:rPr>
        <w:t>支出</w:t>
      </w:r>
      <w:r>
        <w:rPr>
          <w:color w:val="000000" w:themeColor="text1"/>
          <w:sz w:val="26"/>
          <w:szCs w:val="26"/>
          <w14:textFill>
            <w14:solidFill>
              <w14:schemeClr w14:val="tx1"/>
            </w14:solidFill>
          </w14:textFill>
        </w:rPr>
        <w:t>（类）</w:t>
      </w:r>
      <w:r>
        <w:rPr>
          <w:rFonts w:hint="eastAsia"/>
          <w:color w:val="000000" w:themeColor="text1"/>
          <w:sz w:val="26"/>
          <w:szCs w:val="26"/>
          <w14:textFill>
            <w14:solidFill>
              <w14:schemeClr w14:val="tx1"/>
            </w14:solidFill>
          </w14:textFill>
        </w:rPr>
        <w:t>其他</w:t>
      </w:r>
      <w:r>
        <w:rPr>
          <w:color w:val="000000" w:themeColor="text1"/>
          <w:sz w:val="26"/>
          <w:szCs w:val="26"/>
          <w14:textFill>
            <w14:solidFill>
              <w14:schemeClr w14:val="tx1"/>
            </w14:solidFill>
          </w14:textFill>
        </w:rPr>
        <w:t>一般公共服务</w:t>
      </w:r>
      <w:r>
        <w:rPr>
          <w:rFonts w:hint="eastAsia"/>
          <w:color w:val="000000" w:themeColor="text1"/>
          <w:sz w:val="26"/>
          <w:szCs w:val="26"/>
          <w14:textFill>
            <w14:solidFill>
              <w14:schemeClr w14:val="tx1"/>
            </w14:solidFill>
          </w14:textFill>
        </w:rPr>
        <w:t>支出（款）其他</w:t>
      </w:r>
      <w:r>
        <w:rPr>
          <w:color w:val="000000" w:themeColor="text1"/>
          <w:sz w:val="26"/>
          <w:szCs w:val="26"/>
          <w14:textFill>
            <w14:solidFill>
              <w14:schemeClr w14:val="tx1"/>
            </w14:solidFill>
          </w14:textFill>
        </w:rPr>
        <w:t>一般公共服务</w:t>
      </w:r>
      <w:r>
        <w:rPr>
          <w:rFonts w:hint="eastAsia"/>
          <w:color w:val="000000" w:themeColor="text1"/>
          <w:sz w:val="26"/>
          <w:szCs w:val="26"/>
          <w14:textFill>
            <w14:solidFill>
              <w14:schemeClr w14:val="tx1"/>
            </w14:solidFill>
          </w14:textFill>
        </w:rPr>
        <w:t>支出（项）。</w:t>
      </w:r>
    </w:p>
    <w:p w14:paraId="6A7249CD">
      <w:pPr>
        <w:pStyle w:val="5"/>
        <w:keepNext w:val="0"/>
        <w:keepLines w:val="0"/>
        <w:widowControl/>
        <w:numPr>
          <w:ilvl w:val="0"/>
          <w:numId w:val="0"/>
        </w:numPr>
        <w:suppressLineNumbers w:val="0"/>
        <w:ind w:right="0" w:rightChars="0"/>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pP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年初预算为0.00万元，支出决算为</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13.40</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万元，完成年初预算的0.00%</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决算数</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大于</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年初预算数的主要原因是</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：年中追加“提质改造项目”专项经费，用于对碑廊、主席像周边亮化等开展提质改造，为观众提供更好更舒适的参观环境。</w:t>
      </w:r>
    </w:p>
    <w:p w14:paraId="6F2BDD4F">
      <w:pPr>
        <w:pStyle w:val="5"/>
        <w:keepNext w:val="0"/>
        <w:keepLines w:val="0"/>
        <w:widowControl/>
        <w:numPr>
          <w:ilvl w:val="0"/>
          <w:numId w:val="4"/>
        </w:numPr>
        <w:suppressLineNumbers w:val="0"/>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pPr>
      <w:r>
        <w:rPr>
          <w:color w:val="000000" w:themeColor="text1"/>
          <w:sz w:val="26"/>
          <w:szCs w:val="26"/>
          <w14:textFill>
            <w14:solidFill>
              <w14:schemeClr w14:val="tx1"/>
            </w14:solidFill>
          </w14:textFill>
        </w:rPr>
        <w:t>文化旅游体育与传媒支出（类）文物</w:t>
      </w:r>
      <w:r>
        <w:rPr>
          <w:rFonts w:hint="eastAsia"/>
          <w:color w:val="000000" w:themeColor="text1"/>
          <w:sz w:val="26"/>
          <w:szCs w:val="26"/>
          <w14:textFill>
            <w14:solidFill>
              <w14:schemeClr w14:val="tx1"/>
            </w14:solidFill>
          </w14:textFill>
        </w:rPr>
        <w:t>（款）博物馆（项）</w:t>
      </w:r>
      <w:r>
        <w:rPr>
          <w:color w:val="000000" w:themeColor="text1"/>
          <w:sz w:val="26"/>
          <w:szCs w:val="26"/>
          <w14:textFill>
            <w14:solidFill>
              <w14:schemeClr w14:val="tx1"/>
            </w14:solidFill>
          </w14:textFill>
        </w:rPr>
        <w:t>。</w:t>
      </w:r>
    </w:p>
    <w:p w14:paraId="3E6BBAAB">
      <w:pPr>
        <w:pStyle w:val="5"/>
        <w:keepNext w:val="0"/>
        <w:keepLines w:val="0"/>
        <w:widowControl/>
        <w:numPr>
          <w:ilvl w:val="0"/>
          <w:numId w:val="0"/>
        </w:numPr>
        <w:suppressLineNumbers w:val="0"/>
        <w:ind w:right="0" w:rightChars="0"/>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pP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年初预算为935.91万元，支出决算为</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1,069.93</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万元，完成年初预算的114.32%</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决算数</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大于</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年初预算数的主要原因</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是：年中收到2</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022</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年“中央补助地方博物馆纪念馆免费开放补助专项资金”</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40.97</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万元，用于馆内设立陈列展览及文物征集与文物保护等相关工作；追加“公共服务设施”专项经费9</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7.68</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万元，用于继续完善馆内公共服务基础设施</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w:t>
      </w:r>
    </w:p>
    <w:p w14:paraId="39555610">
      <w:pPr>
        <w:pStyle w:val="5"/>
        <w:keepNext w:val="0"/>
        <w:keepLines w:val="0"/>
        <w:widowControl/>
        <w:numPr>
          <w:ilvl w:val="0"/>
          <w:numId w:val="4"/>
        </w:numPr>
        <w:suppressLineNumbers w:val="0"/>
        <w:ind w:left="0" w:leftChars="0" w:right="0" w:rightChars="0" w:firstLine="0" w:firstLineChars="0"/>
        <w:rPr>
          <w:rFonts w:hint="eastAsia"/>
          <w:color w:val="000000" w:themeColor="text1"/>
          <w:sz w:val="26"/>
          <w:szCs w:val="26"/>
          <w:lang w:eastAsia="zh-CN"/>
          <w14:textFill>
            <w14:solidFill>
              <w14:schemeClr w14:val="tx1"/>
            </w14:solidFill>
          </w14:textFill>
        </w:rPr>
      </w:pPr>
      <w:r>
        <w:rPr>
          <w:color w:val="000000" w:themeColor="text1"/>
          <w:sz w:val="26"/>
          <w:szCs w:val="26"/>
          <w14:textFill>
            <w14:solidFill>
              <w14:schemeClr w14:val="tx1"/>
            </w14:solidFill>
          </w14:textFill>
        </w:rPr>
        <w:t>文化旅游体育与传媒支出（类）</w:t>
      </w:r>
      <w:r>
        <w:rPr>
          <w:rFonts w:hint="eastAsia"/>
          <w:color w:val="000000" w:themeColor="text1"/>
          <w:sz w:val="26"/>
          <w:szCs w:val="26"/>
          <w14:textFill>
            <w14:solidFill>
              <w14:schemeClr w14:val="tx1"/>
            </w14:solidFill>
          </w14:textFill>
        </w:rPr>
        <w:t>其他文化旅游体育与传媒支出</w:t>
      </w:r>
      <w:r>
        <w:rPr>
          <w:rFonts w:hint="eastAsia"/>
          <w:color w:val="000000" w:themeColor="text1"/>
          <w:sz w:val="26"/>
          <w:szCs w:val="26"/>
          <w:lang w:eastAsia="zh-CN"/>
          <w14:textFill>
            <w14:solidFill>
              <w14:schemeClr w14:val="tx1"/>
            </w14:solidFill>
          </w14:textFill>
        </w:rPr>
        <w:t>（</w:t>
      </w:r>
      <w:r>
        <w:rPr>
          <w:rFonts w:hint="eastAsia"/>
          <w:color w:val="000000" w:themeColor="text1"/>
          <w:sz w:val="26"/>
          <w:szCs w:val="26"/>
          <w:lang w:val="en-US" w:eastAsia="zh-CN"/>
          <w14:textFill>
            <w14:solidFill>
              <w14:schemeClr w14:val="tx1"/>
            </w14:solidFill>
          </w14:textFill>
        </w:rPr>
        <w:t>款</w:t>
      </w:r>
      <w:r>
        <w:rPr>
          <w:rFonts w:hint="eastAsia"/>
          <w:color w:val="000000" w:themeColor="text1"/>
          <w:sz w:val="26"/>
          <w:szCs w:val="26"/>
          <w:lang w:eastAsia="zh-CN"/>
          <w14:textFill>
            <w14:solidFill>
              <w14:schemeClr w14:val="tx1"/>
            </w14:solidFill>
          </w14:textFill>
        </w:rPr>
        <w:t>）</w:t>
      </w:r>
      <w:r>
        <w:rPr>
          <w:rFonts w:hint="eastAsia"/>
          <w:color w:val="000000" w:themeColor="text1"/>
          <w:sz w:val="26"/>
          <w:szCs w:val="26"/>
          <w:lang w:val="en-US" w:eastAsia="zh-CN"/>
          <w14:textFill>
            <w14:solidFill>
              <w14:schemeClr w14:val="tx1"/>
            </w14:solidFill>
          </w14:textFill>
        </w:rPr>
        <w:t>宣</w:t>
      </w:r>
      <w:r>
        <w:rPr>
          <w:rFonts w:hint="eastAsia"/>
          <w:color w:val="000000" w:themeColor="text1"/>
          <w:sz w:val="26"/>
          <w:szCs w:val="26"/>
          <w:lang w:eastAsia="zh-CN"/>
          <w14:textFill>
            <w14:solidFill>
              <w14:schemeClr w14:val="tx1"/>
            </w14:solidFill>
          </w14:textFill>
        </w:rPr>
        <w:t>传文化发展专项支出（</w:t>
      </w:r>
      <w:r>
        <w:rPr>
          <w:rFonts w:hint="eastAsia"/>
          <w:color w:val="000000" w:themeColor="text1"/>
          <w:sz w:val="26"/>
          <w:szCs w:val="26"/>
          <w:lang w:val="en-US" w:eastAsia="zh-CN"/>
          <w14:textFill>
            <w14:solidFill>
              <w14:schemeClr w14:val="tx1"/>
            </w14:solidFill>
          </w14:textFill>
        </w:rPr>
        <w:t>项</w:t>
      </w:r>
      <w:r>
        <w:rPr>
          <w:rFonts w:hint="eastAsia"/>
          <w:color w:val="000000" w:themeColor="text1"/>
          <w:sz w:val="26"/>
          <w:szCs w:val="26"/>
          <w:lang w:eastAsia="zh-CN"/>
          <w14:textFill>
            <w14:solidFill>
              <w14:schemeClr w14:val="tx1"/>
            </w14:solidFill>
          </w14:textFill>
        </w:rPr>
        <w:t>）。</w:t>
      </w:r>
    </w:p>
    <w:p w14:paraId="4C9E8EFF">
      <w:pPr>
        <w:pStyle w:val="5"/>
        <w:keepNext w:val="0"/>
        <w:keepLines w:val="0"/>
        <w:widowControl/>
        <w:numPr>
          <w:ilvl w:val="0"/>
          <w:numId w:val="0"/>
        </w:numPr>
        <w:suppressLineNumbers w:val="0"/>
        <w:ind w:leftChars="0" w:right="0" w:rightChars="0"/>
        <w:rPr>
          <w:rFonts w:hint="default"/>
          <w:color w:val="000000" w:themeColor="text1"/>
          <w:sz w:val="26"/>
          <w:szCs w:val="26"/>
          <w:lang w:val="en-US" w:eastAsia="zh-CN"/>
          <w14:textFill>
            <w14:solidFill>
              <w14:schemeClr w14:val="tx1"/>
            </w14:solidFill>
          </w14:textFill>
        </w:rPr>
      </w:pPr>
      <w:r>
        <w:rPr>
          <w:rFonts w:hint="eastAsia"/>
          <w:color w:val="000000" w:themeColor="text1"/>
          <w:sz w:val="26"/>
          <w:szCs w:val="26"/>
          <w:lang w:val="en-US" w:eastAsia="zh-CN"/>
          <w14:textFill>
            <w14:solidFill>
              <w14:schemeClr w14:val="tx1"/>
            </w14:solidFill>
          </w14:textFill>
        </w:rPr>
        <w:t>年初预算为0万元，支出决算为30万元，完成年初预算的0.00%，决算数大于年初数的主要原因是：年中新增出版书籍“长沙红”系列绘本礼拜烈士。</w:t>
      </w:r>
    </w:p>
    <w:p w14:paraId="5AF77BF0">
      <w:pPr>
        <w:pStyle w:val="5"/>
        <w:keepNext w:val="0"/>
        <w:keepLines w:val="0"/>
        <w:widowControl/>
        <w:suppressLineNumbers w:val="0"/>
      </w:pPr>
      <w:r>
        <w:rPr>
          <w:sz w:val="26"/>
          <w:szCs w:val="26"/>
        </w:rPr>
        <w:t>六、一般公共预算财政拨款基本支出决算情况说明</w:t>
      </w:r>
    </w:p>
    <w:p w14:paraId="5F9DB790">
      <w:pPr>
        <w:pStyle w:val="5"/>
        <w:keepNext w:val="0"/>
        <w:keepLines w:val="0"/>
        <w:widowControl/>
        <w:suppressLineNumbers w:val="0"/>
      </w:pPr>
      <w:r>
        <w:rPr>
          <w:sz w:val="24"/>
          <w:szCs w:val="24"/>
        </w:rPr>
        <w:t>  </w:t>
      </w:r>
      <w:r>
        <w:rPr>
          <w:sz w:val="26"/>
          <w:szCs w:val="26"/>
        </w:rPr>
        <w:t>2022年度一般公共预算财政拨款基本支出1,210.38万元，其中：</w:t>
      </w:r>
    </w:p>
    <w:p w14:paraId="509B3328">
      <w:pPr>
        <w:pStyle w:val="5"/>
        <w:keepNext w:val="0"/>
        <w:keepLines w:val="0"/>
        <w:widowControl/>
        <w:suppressLineNumbers w:val="0"/>
        <w:rPr>
          <w:rFonts w:hint="eastAsia" w:eastAsiaTheme="minorEastAsia"/>
          <w:lang w:eastAsia="zh-CN"/>
        </w:rPr>
      </w:pPr>
      <w:r>
        <w:rPr>
          <w:sz w:val="24"/>
          <w:szCs w:val="24"/>
        </w:rPr>
        <w:t>  </w:t>
      </w:r>
      <w:r>
        <w:rPr>
          <w:rStyle w:val="8"/>
          <w:sz w:val="26"/>
          <w:szCs w:val="26"/>
        </w:rPr>
        <w:t>人员经费</w:t>
      </w:r>
      <w:r>
        <w:rPr>
          <w:sz w:val="26"/>
          <w:szCs w:val="26"/>
        </w:rPr>
        <w:t>1,108.18万元，占基本支出的91.56%,主要包括基本工资、津贴补贴、绩效工资、机关事业单位基本养老保险缴费、职业年金缴费、其他社会保障缴费、其他工资福利支出、离休费、退休费、抚恤金、生活补助、医疗费、奖励金、住房公积金、其他对个人和家庭的补助支出等</w:t>
      </w:r>
      <w:r>
        <w:rPr>
          <w:rFonts w:hint="eastAsia"/>
          <w:sz w:val="26"/>
          <w:szCs w:val="26"/>
          <w:lang w:eastAsia="zh-CN"/>
        </w:rPr>
        <w:t>。</w:t>
      </w:r>
    </w:p>
    <w:p w14:paraId="7A078F34">
      <w:pPr>
        <w:pStyle w:val="5"/>
        <w:keepNext w:val="0"/>
        <w:keepLines w:val="0"/>
        <w:widowControl/>
        <w:suppressLineNumbers w:val="0"/>
        <w:rPr>
          <w:color w:val="FF0000"/>
        </w:rPr>
      </w:pPr>
      <w:r>
        <w:rPr>
          <w:sz w:val="24"/>
          <w:szCs w:val="24"/>
        </w:rPr>
        <w:t>  </w:t>
      </w:r>
      <w:r>
        <w:rPr>
          <w:rStyle w:val="8"/>
          <w:sz w:val="26"/>
          <w:szCs w:val="26"/>
        </w:rPr>
        <w:t>公用经费</w:t>
      </w:r>
      <w:r>
        <w:rPr>
          <w:sz w:val="26"/>
          <w:szCs w:val="26"/>
        </w:rPr>
        <w:t>102.20万元，占基本支出的8.44%，主要包括办公费、印刷费、咨询费、邮电费、物业管理费、差旅费、因公出国（境）费用、维修（护）费、租赁费、会议费、培训费、公务接待费、劳务费、委托业务费、工会经费、福利费、公务用车运行维护费、其他交通费用、其他商品和服务支出、办公设备购置、专用设备购置、信息网络及软件购置更新、其他资本性支出等。</w:t>
      </w:r>
    </w:p>
    <w:p w14:paraId="39157B73">
      <w:pPr>
        <w:pStyle w:val="5"/>
        <w:keepNext w:val="0"/>
        <w:keepLines w:val="0"/>
        <w:widowControl/>
        <w:suppressLineNumbers w:val="0"/>
        <w:rPr>
          <w:color w:val="000000" w:themeColor="text1"/>
          <w14:textFill>
            <w14:solidFill>
              <w14:schemeClr w14:val="tx1"/>
            </w14:solidFill>
          </w14:textFill>
        </w:rPr>
      </w:pPr>
      <w:r>
        <w:rPr>
          <w:color w:val="000000" w:themeColor="text1"/>
          <w:sz w:val="26"/>
          <w:szCs w:val="26"/>
          <w14:textFill>
            <w14:solidFill>
              <w14:schemeClr w14:val="tx1"/>
            </w14:solidFill>
          </w14:textFill>
        </w:rPr>
        <w:t>七、财政拨款三公经费支出决算情况说明</w:t>
      </w:r>
    </w:p>
    <w:p w14:paraId="51167A1F">
      <w:pPr>
        <w:pStyle w:val="5"/>
        <w:keepNext w:val="0"/>
        <w:keepLines w:val="0"/>
        <w:widowControl/>
        <w:suppressLineNumbers w:val="0"/>
      </w:pPr>
      <w:r>
        <w:rPr>
          <w:sz w:val="24"/>
          <w:szCs w:val="24"/>
        </w:rPr>
        <w:t>  </w:t>
      </w:r>
      <w:r>
        <w:rPr>
          <w:rStyle w:val="8"/>
          <w:sz w:val="26"/>
          <w:szCs w:val="26"/>
        </w:rPr>
        <w:t>（一）“三公”经费财政拨款支出决算总体情况说明</w:t>
      </w:r>
    </w:p>
    <w:p w14:paraId="11FADC64">
      <w:pPr>
        <w:pStyle w:val="5"/>
        <w:keepNext w:val="0"/>
        <w:keepLines w:val="0"/>
        <w:widowControl/>
        <w:suppressLineNumbers w:val="0"/>
      </w:pPr>
      <w:r>
        <w:rPr>
          <w:sz w:val="24"/>
          <w:szCs w:val="24"/>
        </w:rPr>
        <w:t>  </w:t>
      </w:r>
      <w:r>
        <w:rPr>
          <w:sz w:val="26"/>
          <w:szCs w:val="26"/>
        </w:rPr>
        <w:t>“三公”经费财政拨款支出预算为14.00万元，支出决算为9.04万元，完成预算的64.58%，其中：</w:t>
      </w:r>
    </w:p>
    <w:p w14:paraId="4050E224">
      <w:pPr>
        <w:pStyle w:val="5"/>
        <w:keepNext w:val="0"/>
        <w:keepLines w:val="0"/>
        <w:widowControl/>
        <w:suppressLineNumbers w:val="0"/>
      </w:pPr>
      <w:r>
        <w:rPr>
          <w:sz w:val="24"/>
          <w:szCs w:val="24"/>
        </w:rPr>
        <w:t>  </w:t>
      </w:r>
      <w:r>
        <w:rPr>
          <w:sz w:val="26"/>
          <w:szCs w:val="26"/>
        </w:rPr>
        <w:t>因公出国（境）费支出预算为0.00万元，支出决算为0.00万元，完成预算的</w:t>
      </w:r>
      <w:r>
        <w:rPr>
          <w:rFonts w:hint="eastAsia"/>
          <w:sz w:val="26"/>
          <w:szCs w:val="26"/>
          <w:lang w:val="en-US" w:eastAsia="zh-CN"/>
        </w:rPr>
        <w:t>0.00</w:t>
      </w:r>
      <w:r>
        <w:rPr>
          <w:sz w:val="26"/>
          <w:szCs w:val="26"/>
        </w:rPr>
        <w:t>%，</w:t>
      </w:r>
      <w:r>
        <w:rPr>
          <w:rFonts w:hint="eastAsia"/>
          <w:sz w:val="26"/>
          <w:szCs w:val="26"/>
        </w:rPr>
        <w:t>决算数等于预算数的主要原因是本年度没有因公出国（境）的安排，与上年相比持平</w:t>
      </w:r>
      <w:r>
        <w:rPr>
          <w:rFonts w:hint="eastAsia"/>
          <w:sz w:val="26"/>
          <w:szCs w:val="26"/>
          <w:lang w:eastAsia="zh-CN"/>
        </w:rPr>
        <w:t>。</w:t>
      </w:r>
    </w:p>
    <w:p w14:paraId="454FA587">
      <w:pPr>
        <w:pStyle w:val="5"/>
        <w:keepNext w:val="0"/>
        <w:keepLines w:val="0"/>
        <w:widowControl/>
        <w:suppressLineNumbers w:val="0"/>
        <w:rPr>
          <w:color w:val="auto"/>
        </w:rPr>
      </w:pPr>
      <w:r>
        <w:rPr>
          <w:color w:val="FF0000"/>
          <w:sz w:val="24"/>
          <w:szCs w:val="24"/>
        </w:rPr>
        <w:t>  </w:t>
      </w:r>
      <w:r>
        <w:rPr>
          <w:color w:val="auto"/>
          <w:sz w:val="26"/>
          <w:szCs w:val="26"/>
        </w:rPr>
        <w:t>公务接待费支出预算为4.00万元，支出决算为1.21万元，完成预算的30.</w:t>
      </w:r>
      <w:r>
        <w:rPr>
          <w:rFonts w:hint="eastAsia"/>
          <w:color w:val="auto"/>
          <w:sz w:val="26"/>
          <w:szCs w:val="26"/>
          <w:lang w:val="en-US" w:eastAsia="zh-CN"/>
        </w:rPr>
        <w:t>25</w:t>
      </w:r>
      <w:r>
        <w:rPr>
          <w:color w:val="auto"/>
          <w:sz w:val="26"/>
          <w:szCs w:val="26"/>
        </w:rPr>
        <w:t>%</w:t>
      </w:r>
      <w:r>
        <w:rPr>
          <w:color w:val="000000" w:themeColor="text1"/>
          <w:sz w:val="26"/>
          <w:szCs w:val="26"/>
          <w14:textFill>
            <w14:solidFill>
              <w14:schemeClr w14:val="tx1"/>
            </w14:solidFill>
          </w14:textFill>
        </w:rPr>
        <w:t>，决算数小于预算数的主要原因是疫情影响</w:t>
      </w:r>
      <w:r>
        <w:rPr>
          <w:rFonts w:hint="eastAsia"/>
          <w:color w:val="000000" w:themeColor="text1"/>
          <w:sz w:val="26"/>
          <w:szCs w:val="26"/>
          <w14:textFill>
            <w14:solidFill>
              <w14:schemeClr w14:val="tx1"/>
            </w14:solidFill>
          </w14:textFill>
        </w:rPr>
        <w:t>接待批次及人次减少</w:t>
      </w:r>
      <w:r>
        <w:rPr>
          <w:color w:val="000000" w:themeColor="text1"/>
          <w:sz w:val="26"/>
          <w:szCs w:val="26"/>
          <w14:textFill>
            <w14:solidFill>
              <w14:schemeClr w14:val="tx1"/>
            </w14:solidFill>
          </w14:textFill>
        </w:rPr>
        <w:t>，与上年相比减少0.8</w:t>
      </w:r>
      <w:r>
        <w:rPr>
          <w:rFonts w:hint="eastAsia"/>
          <w:color w:val="000000" w:themeColor="text1"/>
          <w:sz w:val="26"/>
          <w:szCs w:val="26"/>
          <w:lang w:val="en-US" w:eastAsia="zh-CN"/>
          <w14:textFill>
            <w14:solidFill>
              <w14:schemeClr w14:val="tx1"/>
            </w14:solidFill>
          </w14:textFill>
        </w:rPr>
        <w:t>7</w:t>
      </w:r>
      <w:r>
        <w:rPr>
          <w:color w:val="000000" w:themeColor="text1"/>
          <w:sz w:val="26"/>
          <w:szCs w:val="26"/>
          <w14:textFill>
            <w14:solidFill>
              <w14:schemeClr w14:val="tx1"/>
            </w14:solidFill>
          </w14:textFill>
        </w:rPr>
        <w:t>万元，减少</w:t>
      </w:r>
      <w:r>
        <w:rPr>
          <w:rFonts w:hint="eastAsia"/>
          <w:color w:val="000000" w:themeColor="text1"/>
          <w:sz w:val="26"/>
          <w:szCs w:val="26"/>
          <w:lang w:val="en-US" w:eastAsia="zh-CN"/>
          <w14:textFill>
            <w14:solidFill>
              <w14:schemeClr w14:val="tx1"/>
            </w14:solidFill>
          </w14:textFill>
        </w:rPr>
        <w:t>41.83</w:t>
      </w:r>
      <w:r>
        <w:rPr>
          <w:color w:val="000000" w:themeColor="text1"/>
          <w:sz w:val="26"/>
          <w:szCs w:val="26"/>
          <w14:textFill>
            <w14:solidFill>
              <w14:schemeClr w14:val="tx1"/>
            </w14:solidFill>
          </w14:textFill>
        </w:rPr>
        <w:t>%,减少的主要原因是疫情影响</w:t>
      </w:r>
      <w:r>
        <w:rPr>
          <w:rFonts w:hint="eastAsia"/>
          <w:color w:val="000000" w:themeColor="text1"/>
          <w:sz w:val="26"/>
          <w:szCs w:val="26"/>
          <w14:textFill>
            <w14:solidFill>
              <w14:schemeClr w14:val="tx1"/>
            </w14:solidFill>
          </w14:textFill>
        </w:rPr>
        <w:t>接待批次及人次减少</w:t>
      </w:r>
      <w:r>
        <w:rPr>
          <w:color w:val="000000" w:themeColor="text1"/>
          <w:sz w:val="26"/>
          <w:szCs w:val="26"/>
          <w14:textFill>
            <w14:solidFill>
              <w14:schemeClr w14:val="tx1"/>
            </w14:solidFill>
          </w14:textFill>
        </w:rPr>
        <w:t>。</w:t>
      </w:r>
    </w:p>
    <w:p w14:paraId="5C3CAFF9">
      <w:pPr>
        <w:pStyle w:val="5"/>
        <w:keepNext w:val="0"/>
        <w:keepLines w:val="0"/>
        <w:widowControl/>
        <w:suppressLineNumbers w:val="0"/>
        <w:rPr>
          <w:rFonts w:hint="eastAsia" w:eastAsiaTheme="minorEastAsia"/>
          <w:lang w:eastAsia="zh-CN"/>
        </w:rPr>
      </w:pPr>
      <w:r>
        <w:rPr>
          <w:sz w:val="24"/>
          <w:szCs w:val="24"/>
        </w:rPr>
        <w:t>  </w:t>
      </w:r>
      <w:r>
        <w:rPr>
          <w:sz w:val="26"/>
          <w:szCs w:val="26"/>
        </w:rPr>
        <w:t>公务用车购置费支出预算为0.00万元，支出决算为0.00万元，完成预算的0.00%，决算数等于预算数的主要原因是本年无公务用车购置费预算，与上</w:t>
      </w:r>
      <w:r>
        <w:rPr>
          <w:color w:val="000000" w:themeColor="text1"/>
          <w:sz w:val="26"/>
          <w:szCs w:val="26"/>
          <w14:textFill>
            <w14:solidFill>
              <w14:schemeClr w14:val="tx1"/>
            </w14:solidFill>
          </w14:textFill>
        </w:rPr>
        <w:t>年相比持平</w:t>
      </w:r>
      <w:r>
        <w:rPr>
          <w:rFonts w:hint="eastAsia"/>
          <w:color w:val="000000" w:themeColor="text1"/>
          <w:sz w:val="26"/>
          <w:szCs w:val="26"/>
          <w:lang w:eastAsia="zh-CN"/>
          <w14:textFill>
            <w14:solidFill>
              <w14:schemeClr w14:val="tx1"/>
            </w14:solidFill>
          </w14:textFill>
        </w:rPr>
        <w:t>。</w:t>
      </w:r>
    </w:p>
    <w:p w14:paraId="68333132">
      <w:pPr>
        <w:pStyle w:val="5"/>
        <w:keepNext w:val="0"/>
        <w:keepLines w:val="0"/>
        <w:widowControl/>
        <w:suppressLineNumbers w:val="0"/>
      </w:pPr>
      <w:r>
        <w:rPr>
          <w:sz w:val="24"/>
          <w:szCs w:val="24"/>
        </w:rPr>
        <w:t>  </w:t>
      </w:r>
      <w:r>
        <w:rPr>
          <w:sz w:val="26"/>
          <w:szCs w:val="26"/>
        </w:rPr>
        <w:t>公务用车运行维护费支出预算为10.00万元，支出决算为7.84万元，完成预算的78.</w:t>
      </w:r>
      <w:r>
        <w:rPr>
          <w:rFonts w:hint="eastAsia"/>
          <w:sz w:val="26"/>
          <w:szCs w:val="26"/>
          <w:lang w:val="en-US" w:eastAsia="zh-CN"/>
        </w:rPr>
        <w:t>4</w:t>
      </w:r>
      <w:r>
        <w:rPr>
          <w:sz w:val="26"/>
          <w:szCs w:val="26"/>
        </w:rPr>
        <w:t>%，决</w:t>
      </w:r>
      <w:r>
        <w:rPr>
          <w:color w:val="000000" w:themeColor="text1"/>
          <w:sz w:val="26"/>
          <w:szCs w:val="26"/>
          <w14:textFill>
            <w14:solidFill>
              <w14:schemeClr w14:val="tx1"/>
            </w14:solidFill>
          </w14:textFill>
        </w:rPr>
        <w:t>算数小于预算数的主要原因是</w:t>
      </w:r>
      <w:r>
        <w:rPr>
          <w:rFonts w:hint="eastAsia"/>
          <w:color w:val="000000" w:themeColor="text1"/>
          <w:sz w:val="26"/>
          <w:szCs w:val="26"/>
          <w14:textFill>
            <w14:solidFill>
              <w14:schemeClr w14:val="tx1"/>
            </w14:solidFill>
          </w14:textFill>
        </w:rPr>
        <w:t>严格控制公务出行</w:t>
      </w:r>
      <w:r>
        <w:rPr>
          <w:color w:val="000000" w:themeColor="text1"/>
          <w:sz w:val="26"/>
          <w:szCs w:val="26"/>
          <w14:textFill>
            <w14:solidFill>
              <w14:schemeClr w14:val="tx1"/>
            </w14:solidFill>
          </w14:textFill>
        </w:rPr>
        <w:t>，与上年相比减少0.30万元，减少3.</w:t>
      </w:r>
      <w:r>
        <w:rPr>
          <w:rFonts w:hint="eastAsia"/>
          <w:color w:val="000000" w:themeColor="text1"/>
          <w:sz w:val="26"/>
          <w:szCs w:val="26"/>
          <w:lang w:val="en-US" w:eastAsia="zh-CN"/>
          <w14:textFill>
            <w14:solidFill>
              <w14:schemeClr w14:val="tx1"/>
            </w14:solidFill>
          </w14:textFill>
        </w:rPr>
        <w:t>57</w:t>
      </w:r>
      <w:r>
        <w:rPr>
          <w:color w:val="000000" w:themeColor="text1"/>
          <w:sz w:val="26"/>
          <w:szCs w:val="26"/>
          <w14:textFill>
            <w14:solidFill>
              <w14:schemeClr w14:val="tx1"/>
            </w14:solidFill>
          </w14:textFill>
        </w:rPr>
        <w:t>%,减少的主要</w:t>
      </w:r>
      <w:r>
        <w:rPr>
          <w:sz w:val="26"/>
          <w:szCs w:val="26"/>
        </w:rPr>
        <w:t>原因是</w:t>
      </w:r>
      <w:r>
        <w:rPr>
          <w:rFonts w:hint="eastAsia"/>
          <w:sz w:val="26"/>
          <w:szCs w:val="26"/>
        </w:rPr>
        <w:t>认真贯彻落实中央“八项 规定 ”精神和厉行节约要求，进一步从严控制“三公”经费开支，全年实际支出比预算有所节约</w:t>
      </w:r>
      <w:r>
        <w:rPr>
          <w:sz w:val="26"/>
          <w:szCs w:val="26"/>
        </w:rPr>
        <w:t>。</w:t>
      </w:r>
    </w:p>
    <w:p w14:paraId="2297322C">
      <w:pPr>
        <w:pStyle w:val="5"/>
        <w:keepNext w:val="0"/>
        <w:keepLines w:val="0"/>
        <w:widowControl/>
        <w:suppressLineNumbers w:val="0"/>
      </w:pPr>
      <w:r>
        <w:rPr>
          <w:rStyle w:val="8"/>
          <w:sz w:val="26"/>
          <w:szCs w:val="26"/>
        </w:rPr>
        <w:t>（二）“三公”经费财政拨款支出决算具体情况说明</w:t>
      </w:r>
    </w:p>
    <w:p w14:paraId="7FB8A423">
      <w:pPr>
        <w:pStyle w:val="5"/>
        <w:keepNext w:val="0"/>
        <w:keepLines w:val="0"/>
        <w:widowControl/>
        <w:suppressLineNumbers w:val="0"/>
      </w:pPr>
      <w:r>
        <w:rPr>
          <w:sz w:val="24"/>
          <w:szCs w:val="24"/>
        </w:rPr>
        <w:t>  </w:t>
      </w:r>
      <w:r>
        <w:rPr>
          <w:sz w:val="26"/>
          <w:szCs w:val="26"/>
        </w:rPr>
        <w:t>2022年度“三公”经费财政拨款支出决算中，公务接待费支出决算1.21万元，占13.</w:t>
      </w:r>
      <w:r>
        <w:rPr>
          <w:rFonts w:hint="eastAsia"/>
          <w:sz w:val="26"/>
          <w:szCs w:val="26"/>
          <w:lang w:val="en-US" w:eastAsia="zh-CN"/>
        </w:rPr>
        <w:t>38</w:t>
      </w:r>
      <w:r>
        <w:rPr>
          <w:sz w:val="26"/>
          <w:szCs w:val="26"/>
        </w:rPr>
        <w:t>%,因公出国（境）费支出决算0.00万元，占0.00%,公务用车购置费及运行维护费支出决算7.8</w:t>
      </w:r>
      <w:r>
        <w:rPr>
          <w:rFonts w:hint="eastAsia"/>
          <w:sz w:val="26"/>
          <w:szCs w:val="26"/>
          <w:lang w:val="en-US" w:eastAsia="zh-CN"/>
        </w:rPr>
        <w:t>4</w:t>
      </w:r>
      <w:r>
        <w:rPr>
          <w:sz w:val="26"/>
          <w:szCs w:val="26"/>
        </w:rPr>
        <w:t>万元，占86.</w:t>
      </w:r>
      <w:r>
        <w:rPr>
          <w:rFonts w:hint="eastAsia"/>
          <w:sz w:val="26"/>
          <w:szCs w:val="26"/>
          <w:lang w:val="en-US" w:eastAsia="zh-CN"/>
        </w:rPr>
        <w:t xml:space="preserve"> 62</w:t>
      </w:r>
      <w:r>
        <w:rPr>
          <w:sz w:val="26"/>
          <w:szCs w:val="26"/>
        </w:rPr>
        <w:t>%。其中：</w:t>
      </w:r>
    </w:p>
    <w:p w14:paraId="6F9C8CC5">
      <w:pPr>
        <w:pStyle w:val="5"/>
        <w:keepNext w:val="0"/>
        <w:keepLines w:val="0"/>
        <w:widowControl/>
        <w:suppressLineNumbers w:val="0"/>
      </w:pPr>
      <w:r>
        <w:rPr>
          <w:sz w:val="24"/>
          <w:szCs w:val="24"/>
        </w:rPr>
        <w:t>  </w:t>
      </w:r>
      <w:r>
        <w:rPr>
          <w:sz w:val="26"/>
          <w:szCs w:val="26"/>
        </w:rPr>
        <w:t>1、因公出国（境）费支出决算为0.00万元，全年安排因公出国（境）团组</w:t>
      </w:r>
      <w:r>
        <w:rPr>
          <w:rFonts w:hint="eastAsia"/>
          <w:sz w:val="26"/>
          <w:szCs w:val="26"/>
          <w:lang w:val="en-US" w:eastAsia="zh-CN"/>
        </w:rPr>
        <w:t>0</w:t>
      </w:r>
      <w:r>
        <w:rPr>
          <w:sz w:val="26"/>
          <w:szCs w:val="26"/>
        </w:rPr>
        <w:t>个，累计</w:t>
      </w:r>
      <w:r>
        <w:rPr>
          <w:rFonts w:hint="eastAsia"/>
          <w:sz w:val="26"/>
          <w:szCs w:val="26"/>
          <w:lang w:val="en-US" w:eastAsia="zh-CN"/>
        </w:rPr>
        <w:t>0</w:t>
      </w:r>
      <w:r>
        <w:rPr>
          <w:sz w:val="26"/>
          <w:szCs w:val="26"/>
        </w:rPr>
        <w:t>人次,</w:t>
      </w:r>
      <w:r>
        <w:rPr>
          <w:rFonts w:hint="eastAsia"/>
          <w:sz w:val="26"/>
          <w:szCs w:val="26"/>
        </w:rPr>
        <w:t>决算数与年初预算数持平，与上年决算数。</w:t>
      </w:r>
    </w:p>
    <w:p w14:paraId="70DBD549">
      <w:pPr>
        <w:pStyle w:val="5"/>
        <w:keepNext w:val="0"/>
        <w:keepLines w:val="0"/>
        <w:widowControl/>
        <w:suppressLineNumbers w:val="0"/>
        <w:rPr>
          <w:rFonts w:hint="eastAsia"/>
          <w:sz w:val="26"/>
          <w:szCs w:val="26"/>
          <w:lang w:eastAsia="zh-CN"/>
        </w:rPr>
      </w:pPr>
      <w:r>
        <w:rPr>
          <w:color w:val="000000" w:themeColor="text1"/>
          <w:sz w:val="24"/>
          <w:szCs w:val="24"/>
          <w14:textFill>
            <w14:solidFill>
              <w14:schemeClr w14:val="tx1"/>
            </w14:solidFill>
          </w14:textFill>
        </w:rPr>
        <w:t>  </w:t>
      </w:r>
      <w:r>
        <w:rPr>
          <w:color w:val="000000" w:themeColor="text1"/>
          <w:sz w:val="26"/>
          <w:szCs w:val="26"/>
          <w14:textFill>
            <w14:solidFill>
              <w14:schemeClr w14:val="tx1"/>
            </w14:solidFill>
          </w14:textFill>
        </w:rPr>
        <w:t>2、公务接待费支出决算为1.21万元，全年共接待来访团组</w:t>
      </w:r>
      <w:r>
        <w:rPr>
          <w:rFonts w:hint="eastAsia"/>
          <w:color w:val="000000" w:themeColor="text1"/>
          <w:sz w:val="26"/>
          <w:szCs w:val="26"/>
          <w:lang w:val="en-US" w:eastAsia="zh-CN"/>
          <w14:textFill>
            <w14:solidFill>
              <w14:schemeClr w14:val="tx1"/>
            </w14:solidFill>
          </w14:textFill>
        </w:rPr>
        <w:t>11</w:t>
      </w:r>
      <w:r>
        <w:rPr>
          <w:color w:val="000000" w:themeColor="text1"/>
          <w:sz w:val="26"/>
          <w:szCs w:val="26"/>
          <w14:textFill>
            <w14:solidFill>
              <w14:schemeClr w14:val="tx1"/>
            </w14:solidFill>
          </w14:textFill>
        </w:rPr>
        <w:t>个、来宾</w:t>
      </w:r>
      <w:r>
        <w:rPr>
          <w:rFonts w:hint="eastAsia"/>
          <w:color w:val="000000" w:themeColor="text1"/>
          <w:sz w:val="26"/>
          <w:szCs w:val="26"/>
          <w:lang w:val="en-US" w:eastAsia="zh-CN"/>
          <w14:textFill>
            <w14:solidFill>
              <w14:schemeClr w14:val="tx1"/>
            </w14:solidFill>
          </w14:textFill>
        </w:rPr>
        <w:t>66</w:t>
      </w:r>
      <w:r>
        <w:rPr>
          <w:color w:val="000000" w:themeColor="text1"/>
          <w:sz w:val="26"/>
          <w:szCs w:val="26"/>
          <w14:textFill>
            <w14:solidFill>
              <w14:schemeClr w14:val="tx1"/>
            </w14:solidFill>
          </w14:textFill>
        </w:rPr>
        <w:t>人次，</w:t>
      </w:r>
      <w:r>
        <w:rPr>
          <w:rFonts w:hint="eastAsia"/>
          <w:sz w:val="26"/>
          <w:szCs w:val="26"/>
          <w:lang w:val="en-US" w:eastAsia="zh-CN"/>
        </w:rPr>
        <w:t>受疫情影响今年外地来长调研人数较上年有所减少导致公务接待决算数小于年初预算数，</w:t>
      </w:r>
      <w:r>
        <w:rPr>
          <w:sz w:val="26"/>
          <w:szCs w:val="26"/>
        </w:rPr>
        <w:t>主要是</w:t>
      </w:r>
      <w:r>
        <w:rPr>
          <w:rFonts w:hint="eastAsia"/>
          <w:sz w:val="26"/>
          <w:szCs w:val="26"/>
          <w:lang w:eastAsia="zh-CN"/>
        </w:rPr>
        <w:t>：</w:t>
      </w:r>
    </w:p>
    <w:p w14:paraId="009ADEFF">
      <w:pPr>
        <w:pStyle w:val="5"/>
        <w:keepNext w:val="0"/>
        <w:keepLines w:val="0"/>
        <w:widowControl/>
        <w:suppressLineNumbers w:val="0"/>
        <w:rPr>
          <w:rFonts w:hint="eastAsia"/>
          <w:sz w:val="26"/>
          <w:szCs w:val="26"/>
          <w:lang w:val="en-US" w:eastAsia="zh-CN"/>
        </w:rPr>
      </w:pPr>
      <w:r>
        <w:rPr>
          <w:rFonts w:hint="eastAsia"/>
          <w:sz w:val="26"/>
          <w:szCs w:val="26"/>
          <w:lang w:val="en-US" w:eastAsia="zh-CN"/>
        </w:rPr>
        <w:t>外宾接待支出0万元，2022 年共接待国（境）外来访团组0 个、来访外宾 0 人次（不包括陪同人员）。</w:t>
      </w:r>
    </w:p>
    <w:p w14:paraId="4980DB9C">
      <w:pPr>
        <w:pStyle w:val="5"/>
        <w:keepNext w:val="0"/>
        <w:keepLines w:val="0"/>
        <w:widowControl/>
        <w:suppressLineNumbers w:val="0"/>
        <w:rPr>
          <w:rFonts w:hint="eastAsia"/>
          <w:sz w:val="26"/>
          <w:szCs w:val="26"/>
          <w:lang w:eastAsia="zh-CN"/>
        </w:rPr>
      </w:pPr>
      <w:r>
        <w:rPr>
          <w:rFonts w:hint="eastAsia"/>
          <w:sz w:val="26"/>
          <w:szCs w:val="26"/>
          <w:lang w:val="en-US" w:eastAsia="zh-CN"/>
        </w:rPr>
        <w:t>其他公务接待支出1.21万元。主要用于接待外地来长调研接待，2022年共接待国内来访组团11个来宾66人次 （不包括陪同人员）。</w:t>
      </w:r>
    </w:p>
    <w:p w14:paraId="49D444D8">
      <w:pPr>
        <w:pStyle w:val="5"/>
        <w:keepNext w:val="0"/>
        <w:keepLines w:val="0"/>
        <w:widowControl/>
        <w:suppressLineNumbers w:val="0"/>
      </w:pPr>
      <w:r>
        <w:rPr>
          <w:sz w:val="24"/>
          <w:szCs w:val="24"/>
        </w:rPr>
        <w:t>  </w:t>
      </w:r>
      <w:r>
        <w:rPr>
          <w:sz w:val="26"/>
          <w:szCs w:val="26"/>
        </w:rPr>
        <w:t>3、公务用车购置费及运行维护费支出决算为7.84万元，</w:t>
      </w:r>
      <w:r>
        <w:rPr>
          <w:rFonts w:hint="eastAsia"/>
          <w:sz w:val="26"/>
          <w:szCs w:val="26"/>
        </w:rPr>
        <w:t>决算数与年初预算数存在差异的主要原因是认真贯彻落实中央</w:t>
      </w:r>
      <w:bookmarkStart w:id="10" w:name="_GoBack"/>
      <w:bookmarkEnd w:id="10"/>
      <w:r>
        <w:rPr>
          <w:rFonts w:hint="eastAsia"/>
          <w:sz w:val="26"/>
          <w:szCs w:val="26"/>
        </w:rPr>
        <w:t>八项规定精神和厉行节约要求，进一步从严控制“三公”经费开支，全年实际支出比预算有所节约。</w:t>
      </w:r>
      <w:r>
        <w:rPr>
          <w:sz w:val="26"/>
          <w:szCs w:val="26"/>
        </w:rPr>
        <w:t>其中：公务用车购</w:t>
      </w:r>
      <w:r>
        <w:rPr>
          <w:rFonts w:hint="eastAsia"/>
          <w:sz w:val="26"/>
          <w:szCs w:val="26"/>
        </w:rPr>
        <w:t>置费0.00万元，购置车辆0.00 万元，本年度没有公务用车购置的安排。公务用车运行维护费7.84万元，主要是于公务用车的燃料费、维修费、过路过桥费、保 险费、安全奖励费用等支出。</w:t>
      </w:r>
      <w:r>
        <w:rPr>
          <w:sz w:val="26"/>
          <w:szCs w:val="26"/>
        </w:rPr>
        <w:t>截止2022年12月31日，我单位开支财政拨款的公务用车保有量为</w:t>
      </w:r>
      <w:r>
        <w:rPr>
          <w:rFonts w:hint="eastAsia"/>
          <w:sz w:val="26"/>
          <w:szCs w:val="26"/>
          <w:lang w:val="en-US" w:eastAsia="zh-CN"/>
        </w:rPr>
        <w:t>2</w:t>
      </w:r>
      <w:r>
        <w:rPr>
          <w:sz w:val="26"/>
          <w:szCs w:val="26"/>
        </w:rPr>
        <w:t>辆。</w:t>
      </w:r>
    </w:p>
    <w:p w14:paraId="3812D2AD">
      <w:pPr>
        <w:pStyle w:val="5"/>
        <w:keepNext w:val="0"/>
        <w:keepLines w:val="0"/>
        <w:widowControl/>
        <w:suppressLineNumbers w:val="0"/>
        <w:rPr>
          <w:color w:val="auto"/>
        </w:rPr>
      </w:pPr>
      <w:r>
        <w:rPr>
          <w:color w:val="auto"/>
          <w:sz w:val="26"/>
          <w:szCs w:val="26"/>
        </w:rPr>
        <w:t>八、政府性基金预算收入支出决算情况</w:t>
      </w:r>
    </w:p>
    <w:p w14:paraId="4C053134">
      <w:pPr>
        <w:pStyle w:val="5"/>
        <w:keepNext w:val="0"/>
        <w:keepLines w:val="0"/>
        <w:widowControl/>
        <w:suppressLineNumbers w:val="0"/>
      </w:pPr>
      <w:r>
        <w:rPr>
          <w:sz w:val="24"/>
          <w:szCs w:val="24"/>
        </w:rPr>
        <w:t> </w:t>
      </w:r>
      <w:r>
        <w:rPr>
          <w:rFonts w:hint="eastAsia"/>
          <w:sz w:val="26"/>
          <w:szCs w:val="26"/>
        </w:rPr>
        <w:t>中共长沙市委党史研究室</w:t>
      </w:r>
      <w:r>
        <w:rPr>
          <w:rFonts w:hint="eastAsia"/>
          <w:sz w:val="26"/>
          <w:szCs w:val="26"/>
          <w:lang w:val="en-US" w:eastAsia="zh-CN"/>
        </w:rPr>
        <w:t>及中国共产党长沙历史馆</w:t>
      </w:r>
      <w:r>
        <w:rPr>
          <w:rFonts w:hint="eastAsia"/>
          <w:sz w:val="26"/>
          <w:szCs w:val="26"/>
        </w:rPr>
        <w:t xml:space="preserve"> 202</w:t>
      </w:r>
      <w:r>
        <w:rPr>
          <w:rFonts w:hint="eastAsia"/>
          <w:sz w:val="26"/>
          <w:szCs w:val="26"/>
          <w:lang w:val="en-US" w:eastAsia="zh-CN"/>
        </w:rPr>
        <w:t>2</w:t>
      </w:r>
      <w:r>
        <w:rPr>
          <w:rFonts w:hint="eastAsia"/>
          <w:sz w:val="26"/>
          <w:szCs w:val="26"/>
        </w:rPr>
        <w:t xml:space="preserve"> 年度无政府性基金预算收入支出。</w:t>
      </w:r>
      <w:r>
        <w:t> </w:t>
      </w:r>
    </w:p>
    <w:p w14:paraId="4AAB9AA5">
      <w:pPr>
        <w:pStyle w:val="5"/>
        <w:keepNext w:val="0"/>
        <w:keepLines w:val="0"/>
        <w:widowControl/>
        <w:suppressLineNumbers w:val="0"/>
        <w:rPr>
          <w:rFonts w:hint="eastAsia"/>
          <w:color w:val="auto"/>
          <w:sz w:val="26"/>
          <w:szCs w:val="26"/>
          <w:lang w:eastAsia="zh-CN"/>
        </w:rPr>
      </w:pPr>
      <w:r>
        <w:rPr>
          <w:rFonts w:hint="eastAsia"/>
          <w:color w:val="auto"/>
          <w:sz w:val="26"/>
          <w:szCs w:val="26"/>
        </w:rPr>
        <w:t>九、国有资本经营预算收入支出决算情况</w:t>
      </w:r>
    </w:p>
    <w:p w14:paraId="33A87B82">
      <w:pPr>
        <w:pStyle w:val="5"/>
        <w:keepNext w:val="0"/>
        <w:keepLines w:val="0"/>
        <w:widowControl/>
        <w:suppressLineNumbers w:val="0"/>
      </w:pPr>
      <w:r>
        <w:rPr>
          <w:rStyle w:val="8"/>
          <w:rFonts w:hint="eastAsia" w:ascii="宋体" w:hAnsi="宋体" w:eastAsia="宋体" w:cs="宋体"/>
          <w:sz w:val="26"/>
          <w:szCs w:val="26"/>
        </w:rPr>
        <w:t> </w:t>
      </w:r>
      <w:r>
        <w:rPr>
          <w:rFonts w:hint="eastAsia"/>
          <w:sz w:val="26"/>
          <w:szCs w:val="26"/>
        </w:rPr>
        <w:t>中共长沙市委党史研究室</w:t>
      </w:r>
      <w:r>
        <w:rPr>
          <w:rFonts w:hint="eastAsia"/>
          <w:sz w:val="26"/>
          <w:szCs w:val="26"/>
          <w:lang w:val="en-US" w:eastAsia="zh-CN"/>
        </w:rPr>
        <w:t>及中国共产党长沙历史馆</w:t>
      </w:r>
      <w:r>
        <w:rPr>
          <w:rFonts w:hint="eastAsia"/>
          <w:sz w:val="26"/>
          <w:szCs w:val="26"/>
        </w:rPr>
        <w:t xml:space="preserve"> 202</w:t>
      </w:r>
      <w:r>
        <w:rPr>
          <w:rFonts w:hint="eastAsia"/>
          <w:sz w:val="26"/>
          <w:szCs w:val="26"/>
          <w:lang w:val="en-US" w:eastAsia="zh-CN"/>
        </w:rPr>
        <w:t>2</w:t>
      </w:r>
      <w:r>
        <w:rPr>
          <w:rFonts w:hint="eastAsia"/>
          <w:sz w:val="26"/>
          <w:szCs w:val="26"/>
        </w:rPr>
        <w:t xml:space="preserve"> 年度无国有资本经营预算财政拨款支出</w:t>
      </w:r>
      <w:r>
        <w:rPr>
          <w:rFonts w:hint="eastAsia"/>
          <w:sz w:val="26"/>
          <w:szCs w:val="26"/>
          <w:lang w:eastAsia="zh-CN"/>
        </w:rPr>
        <w:t>。</w:t>
      </w:r>
      <w:r>
        <w:t> </w:t>
      </w:r>
    </w:p>
    <w:p w14:paraId="40A6F304">
      <w:pPr>
        <w:pStyle w:val="5"/>
        <w:keepNext w:val="0"/>
        <w:keepLines w:val="0"/>
        <w:widowControl/>
        <w:suppressLineNumbers w:val="0"/>
        <w:rPr>
          <w:rFonts w:hint="eastAsia"/>
          <w:color w:val="auto"/>
          <w:sz w:val="26"/>
          <w:szCs w:val="26"/>
        </w:rPr>
      </w:pPr>
      <w:r>
        <w:rPr>
          <w:rFonts w:hint="eastAsia"/>
          <w:color w:val="auto"/>
          <w:sz w:val="26"/>
          <w:szCs w:val="26"/>
        </w:rPr>
        <w:t>十、关于机关运行经费支出说明</w:t>
      </w:r>
    </w:p>
    <w:p w14:paraId="2761C5D4">
      <w:pPr>
        <w:pStyle w:val="5"/>
        <w:keepNext w:val="0"/>
        <w:keepLines w:val="0"/>
        <w:widowControl/>
        <w:suppressLineNumbers w:val="0"/>
      </w:pPr>
      <w:r>
        <w:rPr>
          <w:sz w:val="24"/>
          <w:szCs w:val="24"/>
        </w:rPr>
        <w:t>  </w:t>
      </w:r>
      <w:r>
        <w:rPr>
          <w:sz w:val="26"/>
          <w:szCs w:val="26"/>
        </w:rPr>
        <w:t>本</w:t>
      </w:r>
      <w:r>
        <w:rPr>
          <w:rFonts w:hint="eastAsia"/>
          <w:sz w:val="26"/>
          <w:szCs w:val="26"/>
          <w:lang w:val="en-US" w:eastAsia="zh-CN"/>
        </w:rPr>
        <w:t>单位</w:t>
      </w:r>
      <w:r>
        <w:rPr>
          <w:sz w:val="26"/>
          <w:szCs w:val="26"/>
        </w:rPr>
        <w:t>2022年度机关运行经费支出50.54万元，比年初预算数减少</w:t>
      </w:r>
      <w:r>
        <w:rPr>
          <w:rFonts w:hint="eastAsia"/>
          <w:sz w:val="26"/>
          <w:szCs w:val="26"/>
          <w:lang w:val="en-US" w:eastAsia="zh-CN"/>
        </w:rPr>
        <w:t>1.35</w:t>
      </w:r>
      <w:r>
        <w:rPr>
          <w:sz w:val="26"/>
          <w:szCs w:val="26"/>
        </w:rPr>
        <w:t xml:space="preserve"> 万元，降低</w:t>
      </w:r>
      <w:r>
        <w:rPr>
          <w:rFonts w:hint="eastAsia"/>
          <w:sz w:val="26"/>
          <w:szCs w:val="26"/>
          <w:lang w:val="en-US" w:eastAsia="zh-CN"/>
        </w:rPr>
        <w:t>2.67</w:t>
      </w:r>
      <w:r>
        <w:rPr>
          <w:sz w:val="26"/>
          <w:szCs w:val="26"/>
        </w:rPr>
        <w:t>%。主要原因是：落实市财</w:t>
      </w:r>
      <w:r>
        <w:rPr>
          <w:rFonts w:hint="eastAsia"/>
          <w:sz w:val="26"/>
          <w:szCs w:val="26"/>
          <w:lang w:val="en-US" w:eastAsia="zh-CN"/>
        </w:rPr>
        <w:t>政政策</w:t>
      </w:r>
      <w:r>
        <w:rPr>
          <w:sz w:val="26"/>
          <w:szCs w:val="26"/>
        </w:rPr>
        <w:t>过紧日子要求，厉行节约，严格规范经费支出。</w:t>
      </w:r>
    </w:p>
    <w:p w14:paraId="0E0000D0">
      <w:pPr>
        <w:pStyle w:val="5"/>
        <w:keepNext w:val="0"/>
        <w:keepLines w:val="0"/>
        <w:widowControl/>
        <w:suppressLineNumbers w:val="0"/>
      </w:pPr>
      <w:r>
        <w:rPr>
          <w:sz w:val="26"/>
          <w:szCs w:val="26"/>
        </w:rPr>
        <w:t>十一、一般性支出情况说明</w:t>
      </w:r>
    </w:p>
    <w:p w14:paraId="0EAD0494">
      <w:pPr>
        <w:pStyle w:val="10"/>
        <w:ind w:left="0" w:leftChars="0" w:firstLine="0" w:firstLineChars="0"/>
        <w:rPr>
          <w:rFonts w:hint="eastAsia" w:asciiTheme="minorHAnsi" w:hAnsiTheme="minorHAnsi" w:eastAsiaTheme="minorEastAsia" w:cstheme="minorBidi"/>
          <w:b w:val="0"/>
          <w:kern w:val="0"/>
          <w:sz w:val="26"/>
          <w:szCs w:val="26"/>
          <w:lang w:val="en-US" w:eastAsia="zh-CN" w:bidi="ar"/>
        </w:rPr>
      </w:pPr>
      <w:r>
        <w:rPr>
          <w:rFonts w:hint="eastAsia" w:asciiTheme="minorHAnsi" w:hAnsiTheme="minorHAnsi" w:eastAsiaTheme="minorEastAsia" w:cstheme="minorBidi"/>
          <w:b w:val="0"/>
          <w:kern w:val="0"/>
          <w:sz w:val="26"/>
          <w:szCs w:val="26"/>
          <w:lang w:val="en-US" w:eastAsia="zh-CN" w:bidi="ar"/>
        </w:rPr>
        <w:t>  2022年本单位开支会议费2.26万元，用于召开月度会暨务虚会、联络组工作会议、“伟大的足迹-我们的法兰西岁月”留法勤工俭学运动史料开幕仪式暨长沙党史联络工作会议、“长沙红”系列连环画册-李白烈士脚本会、“长沙红”系列连环画册-李白烈士脚本会评审会、学习宣传党的二十大精神暨领导班子理论学习中心组（扩大）会议、2021年度志愿者工作总结大会暨座谈会、2021年度志愿者工作总结、志愿者风采展示、优秀志愿者表彰及心得分享等会议，人数397人，内容为内容为会议期间按规定开支的伙食费、会议场地租金、交通费、文件印刷费等费用；开支培训费1.31万元，开支培训费1.31万元，用于：1.“2022年度事业单位工作人员线上培训”，人数14人，培训内容包含专业科目培训及公共科目培训，费用开支内容为：培训授课费0.40万元；2.事业单位新进人员岗前培训，人数6人，培训内容为：事业单位人事管理相关法律法规、公文处理与写作基础、公职人员礼仪、习近平新时代中国特色社会主义思想解读、公职人员道德建设与作风建设等知识，费用开支内容为：培训授课费0.34万元；3.“全国革命文物陈列展览线上培训”培训，人数19人，培训内容为学习革命文物陈列展览的经验和方法，费用开支内容为：培训授课费0.57万元。</w:t>
      </w:r>
    </w:p>
    <w:p w14:paraId="24E8C0D0">
      <w:pPr>
        <w:pStyle w:val="10"/>
        <w:ind w:left="0" w:leftChars="0" w:firstLine="0" w:firstLineChars="0"/>
        <w:rPr>
          <w:rFonts w:hint="eastAsia" w:asciiTheme="minorHAnsi" w:hAnsiTheme="minorHAnsi" w:eastAsiaTheme="minorEastAsia" w:cstheme="minorBidi"/>
          <w:b w:val="0"/>
          <w:kern w:val="0"/>
          <w:sz w:val="26"/>
          <w:szCs w:val="26"/>
          <w:lang w:val="en-US" w:eastAsia="zh-CN" w:bidi="ar"/>
        </w:rPr>
      </w:pPr>
      <w:r>
        <w:rPr>
          <w:rFonts w:hint="eastAsia" w:asciiTheme="minorHAnsi" w:hAnsiTheme="minorHAnsi" w:eastAsiaTheme="minorEastAsia" w:cstheme="minorBidi"/>
          <w:b w:val="0"/>
          <w:kern w:val="0"/>
          <w:sz w:val="26"/>
          <w:szCs w:val="26"/>
          <w:lang w:val="en-US" w:eastAsia="zh-CN" w:bidi="ar"/>
        </w:rPr>
        <w:t>2022年度本单位无举办节庆、晚会、论坛、赛事等活动支出。</w:t>
      </w:r>
    </w:p>
    <w:p w14:paraId="059092FA">
      <w:pPr>
        <w:pStyle w:val="5"/>
        <w:keepNext w:val="0"/>
        <w:keepLines w:val="0"/>
        <w:widowControl/>
        <w:suppressLineNumbers w:val="0"/>
        <w:rPr>
          <w:rFonts w:hint="eastAsia" w:asciiTheme="minorHAnsi" w:hAnsiTheme="minorHAnsi" w:eastAsiaTheme="minorEastAsia" w:cstheme="minorBidi"/>
          <w:b w:val="0"/>
          <w:kern w:val="0"/>
          <w:sz w:val="26"/>
          <w:szCs w:val="26"/>
          <w:lang w:val="en-US" w:eastAsia="zh-CN" w:bidi="ar"/>
        </w:rPr>
      </w:pPr>
    </w:p>
    <w:p w14:paraId="7A8A33CF">
      <w:pPr>
        <w:pStyle w:val="5"/>
        <w:keepNext w:val="0"/>
        <w:keepLines w:val="0"/>
        <w:widowControl/>
        <w:suppressLineNumbers w:val="0"/>
      </w:pPr>
      <w:r>
        <w:rPr>
          <w:sz w:val="26"/>
          <w:szCs w:val="26"/>
        </w:rPr>
        <w:t>十二、关于政府采购支出说明</w:t>
      </w:r>
    </w:p>
    <w:p w14:paraId="35CF9859">
      <w:pPr>
        <w:pStyle w:val="5"/>
        <w:keepNext w:val="0"/>
        <w:keepLines w:val="0"/>
        <w:widowControl/>
        <w:suppressLineNumbers w:val="0"/>
      </w:pPr>
      <w:r>
        <w:rPr>
          <w:sz w:val="24"/>
          <w:szCs w:val="24"/>
        </w:rPr>
        <w:t> </w:t>
      </w:r>
      <w:r>
        <w:rPr>
          <w:color w:val="000000" w:themeColor="text1"/>
          <w:sz w:val="24"/>
          <w:szCs w:val="24"/>
          <w14:textFill>
            <w14:solidFill>
              <w14:schemeClr w14:val="tx1"/>
            </w14:solidFill>
          </w14:textFill>
        </w:rPr>
        <w:t> </w:t>
      </w:r>
      <w:r>
        <w:rPr>
          <w:color w:val="000000" w:themeColor="text1"/>
          <w:sz w:val="26"/>
          <w:szCs w:val="26"/>
          <w14:textFill>
            <w14:solidFill>
              <w14:schemeClr w14:val="tx1"/>
            </w14:solidFill>
          </w14:textFill>
        </w:rPr>
        <w:t>本</w:t>
      </w:r>
      <w:r>
        <w:rPr>
          <w:rFonts w:hint="eastAsia"/>
          <w:color w:val="000000" w:themeColor="text1"/>
          <w:sz w:val="26"/>
          <w:szCs w:val="26"/>
          <w:lang w:val="en-US" w:eastAsia="zh-CN"/>
          <w14:textFill>
            <w14:solidFill>
              <w14:schemeClr w14:val="tx1"/>
            </w14:solidFill>
          </w14:textFill>
        </w:rPr>
        <w:t>单位</w:t>
      </w:r>
      <w:r>
        <w:rPr>
          <w:color w:val="000000" w:themeColor="text1"/>
          <w:sz w:val="26"/>
          <w:szCs w:val="26"/>
          <w14:textFill>
            <w14:solidFill>
              <w14:schemeClr w14:val="tx1"/>
            </w14:solidFill>
          </w14:textFill>
        </w:rPr>
        <w:t>2022年度政府采购支出总额398.44万元，其中：政府采购货物支出71.14 万元、政府采购工程支出0.00万元、政府采购服务支出327.30万元。授予中小企业合同金额31.53万元，占政府</w:t>
      </w:r>
      <w:r>
        <w:rPr>
          <w:sz w:val="26"/>
          <w:szCs w:val="26"/>
        </w:rPr>
        <w:t>采购支出总额的7.91%，其中： 授予小微企业合同金额9.45万元，占政府采购支出总额的2.37%。货物采购授予中小企业合同金额占货物支出金额的</w:t>
      </w:r>
      <w:r>
        <w:rPr>
          <w:rFonts w:hint="eastAsia"/>
          <w:sz w:val="26"/>
          <w:szCs w:val="26"/>
          <w:lang w:val="en-US" w:eastAsia="zh-CN"/>
        </w:rPr>
        <w:t>44.32</w:t>
      </w:r>
      <w:r>
        <w:rPr>
          <w:sz w:val="26"/>
          <w:szCs w:val="26"/>
        </w:rPr>
        <w:t>%，工程采购授予中小企业合同金额占工程支出金额的</w:t>
      </w:r>
      <w:r>
        <w:rPr>
          <w:rFonts w:hint="eastAsia"/>
          <w:sz w:val="26"/>
          <w:szCs w:val="26"/>
          <w:lang w:val="en-US" w:eastAsia="zh-CN"/>
        </w:rPr>
        <w:t>0.00</w:t>
      </w:r>
      <w:r>
        <w:rPr>
          <w:sz w:val="26"/>
          <w:szCs w:val="26"/>
        </w:rPr>
        <w:t>%，服务采购授予中小企业合同金额占服务支出金额的</w:t>
      </w:r>
      <w:r>
        <w:rPr>
          <w:rFonts w:hint="eastAsia"/>
          <w:sz w:val="26"/>
          <w:szCs w:val="26"/>
          <w:lang w:val="en-US" w:eastAsia="zh-CN"/>
        </w:rPr>
        <w:t>0.00</w:t>
      </w:r>
      <w:r>
        <w:rPr>
          <w:sz w:val="26"/>
          <w:szCs w:val="26"/>
        </w:rPr>
        <w:t>%。</w:t>
      </w:r>
    </w:p>
    <w:p w14:paraId="02B7CE3E">
      <w:pPr>
        <w:pStyle w:val="5"/>
        <w:keepNext w:val="0"/>
        <w:keepLines w:val="0"/>
        <w:widowControl/>
        <w:suppressLineNumbers w:val="0"/>
      </w:pPr>
      <w:r>
        <w:rPr>
          <w:sz w:val="26"/>
          <w:szCs w:val="26"/>
        </w:rPr>
        <w:t>十三、关于国有资产占用情况说明</w:t>
      </w:r>
    </w:p>
    <w:p w14:paraId="3DD8E957">
      <w:pPr>
        <w:pStyle w:val="5"/>
        <w:keepNext w:val="0"/>
        <w:keepLines w:val="0"/>
        <w:widowControl/>
        <w:suppressLineNumbers w:val="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截至2022年12月31日，</w:t>
      </w:r>
      <w:r>
        <w:rPr>
          <w:rFonts w:hint="eastAsia"/>
          <w:color w:val="000000" w:themeColor="text1"/>
          <w:sz w:val="26"/>
          <w:szCs w:val="26"/>
          <w14:textFill>
            <w14:solidFill>
              <w14:schemeClr w14:val="tx1"/>
            </w14:solidFill>
          </w14:textFill>
        </w:rPr>
        <w:t>本</w:t>
      </w:r>
      <w:r>
        <w:rPr>
          <w:rFonts w:hint="eastAsia"/>
          <w:color w:val="000000" w:themeColor="text1"/>
          <w:sz w:val="26"/>
          <w:szCs w:val="26"/>
          <w:lang w:val="en-US" w:eastAsia="zh-CN"/>
          <w14:textFill>
            <w14:solidFill>
              <w14:schemeClr w14:val="tx1"/>
            </w14:solidFill>
          </w14:textFill>
        </w:rPr>
        <w:t>单位</w:t>
      </w:r>
      <w:r>
        <w:rPr>
          <w:rFonts w:hint="eastAsia"/>
          <w:color w:val="000000" w:themeColor="text1"/>
          <w:sz w:val="26"/>
          <w:szCs w:val="26"/>
          <w14:textFill>
            <w14:solidFill>
              <w14:schemeClr w14:val="tx1"/>
            </w14:solidFill>
          </w14:textFill>
        </w:rPr>
        <w:t>共有公务用车2辆，</w:t>
      </w:r>
      <w:r>
        <w:rPr>
          <w:rFonts w:hint="eastAsia"/>
          <w:color w:val="000000" w:themeColor="text1"/>
          <w:sz w:val="26"/>
          <w:szCs w:val="26"/>
          <w:lang w:val="en-US" w:eastAsia="zh-CN"/>
          <w14:textFill>
            <w14:solidFill>
              <w14:schemeClr w14:val="tx1"/>
            </w14:solidFill>
          </w14:textFill>
        </w:rPr>
        <w:t>其中，</w:t>
      </w:r>
      <w:r>
        <w:rPr>
          <w:rFonts w:hint="eastAsia"/>
          <w:color w:val="000000" w:themeColor="text1"/>
          <w:sz w:val="26"/>
          <w:szCs w:val="26"/>
          <w14:textFill>
            <w14:solidFill>
              <w14:schemeClr w14:val="tx1"/>
            </w14:solidFill>
          </w14:textFill>
        </w:rPr>
        <w:t>机要通信用车2辆，应急保障用车0辆，执法执勤用车0辆，特种专业技术用车0辆，其他按照规定配备的公务用车0辆；单位价值50万元以上通用设备0台，单位价值100万元以上专用设备0台。</w:t>
      </w:r>
    </w:p>
    <w:p w14:paraId="23B63E70">
      <w:pPr>
        <w:pStyle w:val="5"/>
        <w:keepNext w:val="0"/>
        <w:keepLines w:val="0"/>
        <w:widowControl/>
        <w:suppressLineNumbers w:val="0"/>
      </w:pPr>
      <w:r>
        <w:rPr>
          <w:sz w:val="26"/>
          <w:szCs w:val="26"/>
        </w:rPr>
        <w:t>十四、关于2022年度预算绩效情况的说明</w:t>
      </w:r>
    </w:p>
    <w:p w14:paraId="4256C694">
      <w:pPr>
        <w:pStyle w:val="5"/>
        <w:keepNext w:val="0"/>
        <w:keepLines w:val="0"/>
        <w:widowControl/>
        <w:suppressLineNumbers w:val="0"/>
      </w:pPr>
      <w:r>
        <w:rPr>
          <w:sz w:val="24"/>
          <w:szCs w:val="24"/>
        </w:rPr>
        <w:t>  </w:t>
      </w:r>
      <w:r>
        <w:rPr>
          <w:rStyle w:val="8"/>
          <w:sz w:val="26"/>
          <w:szCs w:val="26"/>
        </w:rPr>
        <w:t>（一）部门整体支出绩效情况</w:t>
      </w:r>
    </w:p>
    <w:p w14:paraId="44B7E7F3">
      <w:pPr>
        <w:pStyle w:val="10"/>
        <w:ind w:left="0" w:leftChars="0" w:firstLine="0" w:firstLineChars="0"/>
        <w:rPr>
          <w:rFonts w:hint="default" w:ascii="宋体" w:hAnsi="宋体" w:eastAsia="宋体" w:cs="宋体"/>
          <w:i w:val="0"/>
          <w:iCs w:val="0"/>
          <w:caps w:val="0"/>
          <w:color w:val="333333"/>
          <w:spacing w:val="0"/>
          <w:sz w:val="28"/>
          <w:szCs w:val="28"/>
          <w:shd w:val="clear" w:fill="FFFFFF"/>
          <w:lang w:val="en-US" w:eastAsia="zh-CN"/>
        </w:rPr>
      </w:pPr>
      <w:r>
        <w:rPr>
          <w:sz w:val="24"/>
          <w:szCs w:val="24"/>
        </w:rPr>
        <w:t> </w:t>
      </w:r>
      <w:r>
        <w:rPr>
          <w:rFonts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 </w:t>
      </w: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根据长沙市财政局《关于开展2023年市直预算单位绩效自评工作的通知》（长财绩〔2023〕2号）预算绩效管理要求，我单位高度重视本次绩效自评工作，印发了绩效自评通知，成立了绩效自评工作领导小组。我单位组织对本室及二级机构进行了绩效自评，绩效自评从预算执行情况、产出完成情况、效益实现情况及服务对象满意度等方面进行评价打分，本次绩效自评等级为良好。</w:t>
      </w:r>
    </w:p>
    <w:p w14:paraId="2E1544DB">
      <w:pPr>
        <w:pStyle w:val="5"/>
        <w:keepNext w:val="0"/>
        <w:keepLines w:val="0"/>
        <w:widowControl/>
        <w:suppressLineNumbers w:val="0"/>
      </w:pPr>
      <w:r>
        <w:rPr>
          <w:sz w:val="24"/>
          <w:szCs w:val="24"/>
        </w:rPr>
        <w:t>  </w:t>
      </w:r>
      <w:r>
        <w:rPr>
          <w:rStyle w:val="8"/>
          <w:sz w:val="26"/>
          <w:szCs w:val="26"/>
        </w:rPr>
        <w:t>（二）存在的问题及原因分析</w:t>
      </w:r>
    </w:p>
    <w:p w14:paraId="631C413D">
      <w:pPr>
        <w:pStyle w:val="5"/>
        <w:keepNext w:val="0"/>
        <w:keepLines w:val="0"/>
        <w:widowControl/>
        <w:suppressLineNumbers w:val="0"/>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pP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从评价情况来看，我单位通过明确职责运用党史资料和党史研究成果，发挥党史资政育人的社会功能；参与组织重大党史事件、重要党史人物的纪念活动，会同有关部门征编审定全市重大党史题材出版物；承担反对历史虚无主义方面的业务管理职能;组织指导全市党史联络工作并指导区县党史业务工作。我单位基本遵循了国家的相关财务管理制度的规定，财务核算基本规范，依照计划管理使用资金，较好的完成了2022年整体绩效目标。详见附件绩效公开表。 </w:t>
      </w:r>
    </w:p>
    <w:p w14:paraId="1242F7DF">
      <w:pPr>
        <w:pStyle w:val="5"/>
        <w:keepNext w:val="0"/>
        <w:keepLines w:val="0"/>
        <w:widowControl/>
        <w:suppressLineNumbers w:val="0"/>
        <w:jc w:val="center"/>
      </w:pPr>
      <w:r>
        <w:t> </w:t>
      </w:r>
    </w:p>
    <w:p w14:paraId="4FDCE9BC">
      <w:pPr>
        <w:pStyle w:val="5"/>
        <w:keepNext w:val="0"/>
        <w:keepLines w:val="0"/>
        <w:widowControl/>
        <w:suppressLineNumbers w:val="0"/>
        <w:jc w:val="center"/>
      </w:pPr>
      <w:r>
        <w:t> </w:t>
      </w:r>
    </w:p>
    <w:p w14:paraId="15493FDD">
      <w:pPr>
        <w:pStyle w:val="5"/>
        <w:keepNext w:val="0"/>
        <w:keepLines w:val="0"/>
        <w:widowControl/>
        <w:suppressLineNumbers w:val="0"/>
        <w:jc w:val="center"/>
      </w:pPr>
      <w:r>
        <w:t> </w:t>
      </w:r>
    </w:p>
    <w:p w14:paraId="147E02F1">
      <w:pPr>
        <w:pStyle w:val="5"/>
        <w:keepNext w:val="0"/>
        <w:keepLines w:val="0"/>
        <w:widowControl/>
        <w:suppressLineNumbers w:val="0"/>
        <w:jc w:val="center"/>
      </w:pPr>
      <w:r>
        <w:t> </w:t>
      </w:r>
    </w:p>
    <w:p w14:paraId="73EEDF9F">
      <w:pPr>
        <w:pStyle w:val="5"/>
        <w:keepNext w:val="0"/>
        <w:keepLines w:val="0"/>
        <w:widowControl/>
        <w:suppressLineNumbers w:val="0"/>
        <w:jc w:val="center"/>
      </w:pPr>
      <w:r>
        <w:t> </w:t>
      </w:r>
    </w:p>
    <w:p w14:paraId="575DBBFE">
      <w:pPr>
        <w:pStyle w:val="5"/>
        <w:keepNext w:val="0"/>
        <w:keepLines w:val="0"/>
        <w:widowControl/>
        <w:suppressLineNumbers w:val="0"/>
        <w:jc w:val="both"/>
      </w:pPr>
      <w:r>
        <w:t> </w:t>
      </w:r>
    </w:p>
    <w:p w14:paraId="17B5D21E">
      <w:pPr>
        <w:pStyle w:val="5"/>
        <w:keepNext w:val="0"/>
        <w:keepLines w:val="0"/>
        <w:widowControl/>
        <w:suppressLineNumbers w:val="0"/>
        <w:jc w:val="center"/>
      </w:pPr>
      <w:r>
        <w:t> </w:t>
      </w:r>
    </w:p>
    <w:p w14:paraId="11955F3E">
      <w:pPr>
        <w:pStyle w:val="5"/>
        <w:keepNext w:val="0"/>
        <w:keepLines w:val="0"/>
        <w:widowControl/>
        <w:suppressLineNumbers w:val="0"/>
        <w:jc w:val="center"/>
      </w:pPr>
      <w:r>
        <w:rPr>
          <w:sz w:val="57"/>
          <w:szCs w:val="57"/>
        </w:rPr>
        <w:t>第四部分</w:t>
      </w:r>
    </w:p>
    <w:p w14:paraId="3F167386">
      <w:pPr>
        <w:pStyle w:val="5"/>
        <w:keepNext w:val="0"/>
        <w:keepLines w:val="0"/>
        <w:widowControl/>
        <w:suppressLineNumbers w:val="0"/>
        <w:jc w:val="center"/>
      </w:pPr>
      <w:r>
        <w:t> </w:t>
      </w:r>
    </w:p>
    <w:p w14:paraId="59FB7D07">
      <w:pPr>
        <w:pStyle w:val="5"/>
        <w:keepNext w:val="0"/>
        <w:keepLines w:val="0"/>
        <w:widowControl/>
        <w:suppressLineNumbers w:val="0"/>
        <w:jc w:val="center"/>
      </w:pPr>
      <w:r>
        <w:rPr>
          <w:sz w:val="57"/>
          <w:szCs w:val="57"/>
        </w:rPr>
        <w:t>名词解释</w:t>
      </w:r>
    </w:p>
    <w:p w14:paraId="66457CB1">
      <w:pPr>
        <w:pStyle w:val="5"/>
        <w:keepNext w:val="0"/>
        <w:keepLines w:val="0"/>
        <w:widowControl/>
        <w:suppressLineNumbers w:val="0"/>
      </w:pPr>
      <w:r>
        <w:t> </w:t>
      </w:r>
    </w:p>
    <w:p w14:paraId="7A04A10A">
      <w:pPr>
        <w:pStyle w:val="5"/>
        <w:keepNext w:val="0"/>
        <w:keepLines w:val="0"/>
        <w:widowControl/>
        <w:suppressLineNumbers w:val="0"/>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pP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一、基本支出：指单位为保障其机构正常运转、完成日常工作任务而发生的人员支出和公用支出</w:t>
      </w:r>
    </w:p>
    <w:p w14:paraId="3DD1C96A">
      <w:pPr>
        <w:pStyle w:val="5"/>
        <w:keepNext w:val="0"/>
        <w:keepLines w:val="0"/>
        <w:widowControl/>
        <w:suppressLineNumbers w:val="0"/>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pP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 xml:space="preserve">二、项目支出：指单位为完成特定行政任务和事业发展目标在基本支出之外所发生的支出。  </w:t>
      </w:r>
    </w:p>
    <w:p w14:paraId="54273199">
      <w:pPr>
        <w:pStyle w:val="5"/>
        <w:keepNext w:val="0"/>
        <w:keepLines w:val="0"/>
        <w:widowControl/>
        <w:suppressLineNumbers w:val="0"/>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pP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 xml:space="preserve">三、“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等支出。  </w:t>
      </w:r>
    </w:p>
    <w:p w14:paraId="215B24E2">
      <w:pPr>
        <w:pStyle w:val="5"/>
        <w:keepNext w:val="0"/>
        <w:keepLines w:val="0"/>
        <w:widowControl/>
        <w:suppressLineNumbers w:val="0"/>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pP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四、机关运行经费：为保障行政单位（包括参照公务员法管理的事业单位）运行，用当年财政拨款安排的用于购买货物和服务的各项资金，包括办公及印刷费、邮电费、差旅费、会议费、福利费、日常维修费、办公用房水电费、办公用房物业管理费、公务用车运行维护费以及其他费用。</w:t>
      </w:r>
    </w:p>
    <w:p w14:paraId="172AE685">
      <w:pPr>
        <w:pStyle w:val="5"/>
        <w:keepNext w:val="0"/>
        <w:keepLines w:val="0"/>
        <w:widowControl/>
        <w:suppressLineNumbers w:val="0"/>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pPr>
      <w:r>
        <w:rPr>
          <w:rFonts w:hint="eastAsia" w:asciiTheme="minorHAnsi" w:hAnsiTheme="minorHAnsi" w:eastAsiaTheme="minorEastAsia" w:cstheme="minorBidi"/>
          <w:b w:val="0"/>
          <w:color w:val="000000" w:themeColor="text1"/>
          <w:kern w:val="0"/>
          <w:sz w:val="26"/>
          <w:szCs w:val="26"/>
          <w:lang w:val="en-US" w:eastAsia="zh-CN" w:bidi="ar"/>
          <w14:textFill>
            <w14:solidFill>
              <w14:schemeClr w14:val="tx1"/>
            </w14:solidFill>
          </w14:textFill>
        </w:rPr>
        <w:t> </w:t>
      </w:r>
    </w:p>
    <w:p w14:paraId="59827036">
      <w:pPr>
        <w:pStyle w:val="5"/>
        <w:keepNext w:val="0"/>
        <w:keepLines w:val="0"/>
        <w:widowControl/>
        <w:suppressLineNumbers w:val="0"/>
        <w:jc w:val="center"/>
      </w:pPr>
      <w:r>
        <w:t> </w:t>
      </w:r>
    </w:p>
    <w:p w14:paraId="473ECF44">
      <w:pPr>
        <w:pStyle w:val="5"/>
        <w:keepNext w:val="0"/>
        <w:keepLines w:val="0"/>
        <w:widowControl/>
        <w:suppressLineNumbers w:val="0"/>
        <w:jc w:val="center"/>
      </w:pPr>
      <w:r>
        <w:t> </w:t>
      </w:r>
    </w:p>
    <w:p w14:paraId="695A2B23">
      <w:pPr>
        <w:pStyle w:val="5"/>
        <w:keepNext w:val="0"/>
        <w:keepLines w:val="0"/>
        <w:widowControl/>
        <w:suppressLineNumbers w:val="0"/>
        <w:jc w:val="center"/>
      </w:pPr>
      <w:r>
        <w:t> </w:t>
      </w:r>
    </w:p>
    <w:p w14:paraId="7437D713">
      <w:pPr>
        <w:pStyle w:val="5"/>
        <w:keepNext w:val="0"/>
        <w:keepLines w:val="0"/>
        <w:widowControl/>
        <w:suppressLineNumbers w:val="0"/>
        <w:jc w:val="center"/>
      </w:pPr>
      <w:r>
        <w:t> </w:t>
      </w:r>
    </w:p>
    <w:p w14:paraId="74F478B1">
      <w:pPr>
        <w:pStyle w:val="5"/>
        <w:keepNext w:val="0"/>
        <w:keepLines w:val="0"/>
        <w:widowControl/>
        <w:suppressLineNumbers w:val="0"/>
        <w:jc w:val="center"/>
      </w:pPr>
      <w:r>
        <w:t> </w:t>
      </w:r>
    </w:p>
    <w:p w14:paraId="3C302713">
      <w:pPr>
        <w:pStyle w:val="5"/>
        <w:keepNext w:val="0"/>
        <w:keepLines w:val="0"/>
        <w:widowControl/>
        <w:suppressLineNumbers w:val="0"/>
        <w:jc w:val="center"/>
      </w:pPr>
      <w:r>
        <w:rPr>
          <w:sz w:val="57"/>
          <w:szCs w:val="57"/>
        </w:rPr>
        <w:t>第</w:t>
      </w:r>
      <w:r>
        <w:rPr>
          <w:rFonts w:hint="eastAsia"/>
          <w:sz w:val="57"/>
          <w:szCs w:val="57"/>
          <w:lang w:val="en-US" w:eastAsia="zh-CN"/>
        </w:rPr>
        <w:t>五</w:t>
      </w:r>
      <w:r>
        <w:rPr>
          <w:sz w:val="57"/>
          <w:szCs w:val="57"/>
        </w:rPr>
        <w:t>部分</w:t>
      </w:r>
    </w:p>
    <w:p w14:paraId="5972AE50">
      <w:pPr>
        <w:pStyle w:val="5"/>
        <w:keepNext w:val="0"/>
        <w:keepLines w:val="0"/>
        <w:widowControl/>
        <w:suppressLineNumbers w:val="0"/>
        <w:jc w:val="center"/>
      </w:pPr>
      <w:r>
        <w:t> </w:t>
      </w:r>
    </w:p>
    <w:p w14:paraId="122A2E87">
      <w:pPr>
        <w:pStyle w:val="5"/>
        <w:keepNext w:val="0"/>
        <w:keepLines w:val="0"/>
        <w:widowControl/>
        <w:suppressLineNumbers w:val="0"/>
        <w:jc w:val="center"/>
      </w:pPr>
      <w:r>
        <w:rPr>
          <w:rFonts w:hint="eastAsia"/>
          <w:sz w:val="57"/>
          <w:szCs w:val="57"/>
          <w:lang w:val="en-US" w:eastAsia="zh-CN"/>
        </w:rPr>
        <w:t>附件</w:t>
      </w:r>
      <w:r>
        <w:t> </w:t>
      </w:r>
    </w:p>
    <w:p w14:paraId="483AC7A6">
      <w:pPr>
        <w:jc w:val="center"/>
        <w:rPr>
          <w:rFonts w:ascii="Times New Roman" w:hAnsi="Times New Roman" w:cs="Times New Roman" w:eastAsiaTheme="majorEastAsia"/>
          <w:b/>
          <w:kern w:val="0"/>
          <w:sz w:val="52"/>
          <w:szCs w:val="52"/>
        </w:rPr>
      </w:pPr>
      <w:r>
        <w:t> </w:t>
      </w:r>
      <w:r>
        <w:rPr>
          <w:rFonts w:ascii="Times New Roman" w:hAnsi="Times New Roman" w:cs="Times New Roman" w:eastAsiaTheme="majorEastAsia"/>
          <w:b/>
          <w:kern w:val="0"/>
          <w:sz w:val="52"/>
          <w:szCs w:val="52"/>
        </w:rPr>
        <w:t>20</w:t>
      </w:r>
      <w:r>
        <w:rPr>
          <w:rFonts w:hint="eastAsia" w:ascii="Times New Roman" w:hAnsi="Times New Roman" w:cs="Times New Roman" w:eastAsiaTheme="majorEastAsia"/>
          <w:b/>
          <w:kern w:val="0"/>
          <w:sz w:val="52"/>
          <w:szCs w:val="52"/>
        </w:rPr>
        <w:t>22</w:t>
      </w:r>
      <w:r>
        <w:rPr>
          <w:rFonts w:ascii="Times New Roman" w:hAnsi="Times New Roman" w:cs="Times New Roman" w:eastAsiaTheme="majorEastAsia"/>
          <w:b/>
          <w:kern w:val="0"/>
          <w:sz w:val="52"/>
          <w:szCs w:val="52"/>
        </w:rPr>
        <w:t>年度</w:t>
      </w:r>
      <w:r>
        <w:rPr>
          <w:rFonts w:hint="eastAsia" w:ascii="Times New Roman" w:hAnsi="Times New Roman" w:cs="Times New Roman" w:eastAsiaTheme="majorEastAsia"/>
          <w:b/>
          <w:kern w:val="0"/>
          <w:sz w:val="52"/>
          <w:szCs w:val="52"/>
        </w:rPr>
        <w:t>中共长沙市委党史研究室</w:t>
      </w:r>
    </w:p>
    <w:p w14:paraId="2558AFC5">
      <w:pPr>
        <w:jc w:val="center"/>
        <w:rPr>
          <w:rFonts w:ascii="Times New Roman" w:hAnsi="Times New Roman" w:cs="Times New Roman" w:eastAsiaTheme="majorEastAsia"/>
          <w:b/>
          <w:sz w:val="52"/>
          <w:szCs w:val="52"/>
        </w:rPr>
      </w:pPr>
      <w:r>
        <w:rPr>
          <w:rFonts w:ascii="Times New Roman" w:hAnsi="Times New Roman" w:cs="Times New Roman" w:eastAsiaTheme="majorEastAsia"/>
          <w:b/>
          <w:sz w:val="52"/>
          <w:szCs w:val="52"/>
        </w:rPr>
        <w:t>整体支出绩效</w:t>
      </w:r>
      <w:r>
        <w:rPr>
          <w:rFonts w:hint="eastAsia" w:ascii="Times New Roman" w:hAnsi="Times New Roman" w:cs="Times New Roman" w:eastAsiaTheme="majorEastAsia"/>
          <w:b/>
          <w:sz w:val="52"/>
          <w:szCs w:val="52"/>
        </w:rPr>
        <w:t>自评</w:t>
      </w:r>
      <w:r>
        <w:rPr>
          <w:rFonts w:ascii="Times New Roman" w:hAnsi="Times New Roman" w:cs="Times New Roman" w:eastAsiaTheme="majorEastAsia"/>
          <w:b/>
          <w:sz w:val="52"/>
          <w:szCs w:val="52"/>
        </w:rPr>
        <w:t>报告</w:t>
      </w:r>
    </w:p>
    <w:p w14:paraId="1E145C4D">
      <w:pPr>
        <w:jc w:val="center"/>
        <w:rPr>
          <w:rFonts w:ascii="Times New Roman" w:hAnsi="Times New Roman" w:cs="Times New Roman" w:eastAsiaTheme="majorEastAsia"/>
          <w:b/>
          <w:sz w:val="44"/>
          <w:szCs w:val="44"/>
        </w:rPr>
      </w:pPr>
    </w:p>
    <w:p w14:paraId="75269860">
      <w:pPr>
        <w:jc w:val="center"/>
        <w:rPr>
          <w:rFonts w:ascii="Times New Roman" w:hAnsi="Times New Roman" w:cs="Times New Roman" w:eastAsiaTheme="majorEastAsia"/>
          <w:b/>
          <w:sz w:val="44"/>
          <w:szCs w:val="44"/>
        </w:rPr>
      </w:pPr>
    </w:p>
    <w:p w14:paraId="4E450738">
      <w:pPr>
        <w:jc w:val="center"/>
        <w:rPr>
          <w:rFonts w:ascii="Times New Roman" w:hAnsi="Times New Roman" w:cs="Times New Roman" w:eastAsiaTheme="majorEastAsia"/>
          <w:b/>
          <w:sz w:val="44"/>
          <w:szCs w:val="44"/>
        </w:rPr>
      </w:pPr>
    </w:p>
    <w:p w14:paraId="38E203E7">
      <w:pPr>
        <w:jc w:val="center"/>
        <w:rPr>
          <w:rFonts w:ascii="Times New Roman" w:hAnsi="Times New Roman" w:cs="Times New Roman" w:eastAsiaTheme="majorEastAsia"/>
          <w:b/>
          <w:sz w:val="44"/>
          <w:szCs w:val="44"/>
        </w:rPr>
      </w:pPr>
    </w:p>
    <w:p w14:paraId="4B56B930">
      <w:pPr>
        <w:jc w:val="center"/>
        <w:rPr>
          <w:rFonts w:ascii="Times New Roman" w:hAnsi="Times New Roman" w:cs="Times New Roman" w:eastAsiaTheme="majorEastAsia"/>
          <w:b/>
          <w:sz w:val="44"/>
          <w:szCs w:val="44"/>
        </w:rPr>
      </w:pPr>
    </w:p>
    <w:p w14:paraId="14B44D46">
      <w:pPr>
        <w:jc w:val="center"/>
        <w:rPr>
          <w:rFonts w:ascii="Times New Roman" w:hAnsi="Times New Roman" w:cs="Times New Roman" w:eastAsiaTheme="majorEastAsia"/>
          <w:b/>
          <w:sz w:val="44"/>
          <w:szCs w:val="44"/>
        </w:rPr>
      </w:pPr>
    </w:p>
    <w:p w14:paraId="32033FE8">
      <w:pPr>
        <w:jc w:val="center"/>
        <w:rPr>
          <w:rFonts w:ascii="Times New Roman" w:hAnsi="Times New Roman" w:cs="Times New Roman" w:eastAsiaTheme="majorEastAsia"/>
          <w:b/>
          <w:sz w:val="44"/>
          <w:szCs w:val="44"/>
        </w:rPr>
      </w:pPr>
    </w:p>
    <w:p w14:paraId="769EB836">
      <w:pPr>
        <w:jc w:val="center"/>
        <w:rPr>
          <w:rFonts w:ascii="Times New Roman" w:hAnsi="Times New Roman" w:cs="Times New Roman" w:eastAsiaTheme="majorEastAsia"/>
          <w:b/>
          <w:sz w:val="44"/>
          <w:szCs w:val="44"/>
        </w:rPr>
      </w:pPr>
    </w:p>
    <w:p w14:paraId="61266919">
      <w:pPr>
        <w:jc w:val="center"/>
        <w:rPr>
          <w:rFonts w:ascii="Times New Roman" w:hAnsi="Times New Roman" w:cs="Times New Roman" w:eastAsiaTheme="majorEastAsia"/>
          <w:b/>
          <w:sz w:val="44"/>
          <w:szCs w:val="44"/>
        </w:rPr>
      </w:pPr>
    </w:p>
    <w:p w14:paraId="5586A7C7">
      <w:pPr>
        <w:jc w:val="center"/>
        <w:rPr>
          <w:rFonts w:ascii="Times New Roman" w:hAnsi="Times New Roman" w:cs="Times New Roman" w:eastAsiaTheme="majorEastAsia"/>
          <w:b/>
          <w:sz w:val="44"/>
          <w:szCs w:val="44"/>
        </w:rPr>
      </w:pPr>
    </w:p>
    <w:p w14:paraId="51E486B4">
      <w:pPr>
        <w:jc w:val="center"/>
        <w:rPr>
          <w:rFonts w:ascii="楷体" w:hAnsi="楷体" w:eastAsia="楷体" w:cs="Times New Roman"/>
          <w:sz w:val="36"/>
          <w:szCs w:val="36"/>
        </w:rPr>
      </w:pPr>
      <w:r>
        <w:rPr>
          <w:rFonts w:hint="eastAsia" w:ascii="楷体" w:hAnsi="楷体" w:eastAsia="楷体" w:cs="Times New Roman"/>
          <w:sz w:val="36"/>
          <w:szCs w:val="36"/>
        </w:rPr>
        <w:t>单位名称（盖章）：中共长沙市委党史研究室</w:t>
      </w:r>
    </w:p>
    <w:p w14:paraId="411C64AA">
      <w:pPr>
        <w:jc w:val="center"/>
        <w:rPr>
          <w:rFonts w:ascii="Times New Roman" w:hAnsi="Times New Roman" w:cs="Times New Roman" w:eastAsiaTheme="majorEastAsia"/>
          <w:b/>
          <w:sz w:val="44"/>
          <w:szCs w:val="44"/>
        </w:rPr>
      </w:pPr>
    </w:p>
    <w:p w14:paraId="4F9072B6">
      <w:pPr>
        <w:jc w:val="center"/>
        <w:rPr>
          <w:rFonts w:ascii="楷体" w:hAnsi="楷体" w:eastAsia="楷体" w:cs="Times New Roman"/>
          <w:sz w:val="36"/>
          <w:szCs w:val="36"/>
        </w:rPr>
      </w:pPr>
      <w:r>
        <w:rPr>
          <w:rFonts w:hint="eastAsia" w:ascii="楷体" w:hAnsi="楷体" w:eastAsia="楷体" w:cs="Times New Roman"/>
          <w:sz w:val="36"/>
          <w:szCs w:val="36"/>
        </w:rPr>
        <w:t>2023年</w:t>
      </w:r>
      <w:r>
        <w:rPr>
          <w:rFonts w:ascii="楷体" w:hAnsi="楷体" w:eastAsia="楷体" w:cs="Times New Roman"/>
          <w:sz w:val="36"/>
          <w:szCs w:val="36"/>
        </w:rPr>
        <w:t>4</w:t>
      </w:r>
      <w:r>
        <w:rPr>
          <w:rFonts w:hint="eastAsia" w:ascii="楷体" w:hAnsi="楷体" w:eastAsia="楷体" w:cs="Times New Roman"/>
          <w:sz w:val="36"/>
          <w:szCs w:val="36"/>
        </w:rPr>
        <w:t>月1</w:t>
      </w:r>
      <w:r>
        <w:rPr>
          <w:rFonts w:ascii="楷体" w:hAnsi="楷体" w:eastAsia="楷体" w:cs="Times New Roman"/>
          <w:sz w:val="36"/>
          <w:szCs w:val="36"/>
        </w:rPr>
        <w:t>7</w:t>
      </w:r>
      <w:r>
        <w:rPr>
          <w:rFonts w:hint="eastAsia" w:ascii="楷体" w:hAnsi="楷体" w:eastAsia="楷体" w:cs="Times New Roman"/>
          <w:sz w:val="36"/>
          <w:szCs w:val="36"/>
        </w:rPr>
        <w:t>日</w:t>
      </w:r>
    </w:p>
    <w:p w14:paraId="1F17D9D8">
      <w:pPr>
        <w:jc w:val="center"/>
        <w:rPr>
          <w:rFonts w:ascii="Times New Roman" w:hAnsi="Times New Roman" w:cs="Times New Roman" w:eastAsiaTheme="majorEastAsia"/>
          <w:b/>
          <w:sz w:val="44"/>
          <w:szCs w:val="44"/>
        </w:rPr>
      </w:pPr>
    </w:p>
    <w:p w14:paraId="37578452">
      <w:pPr>
        <w:jc w:val="center"/>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20</w:t>
      </w:r>
      <w:r>
        <w:rPr>
          <w:rFonts w:hint="eastAsia" w:ascii="Times New Roman" w:hAnsi="Times New Roman" w:cs="Times New Roman" w:eastAsiaTheme="majorEastAsia"/>
          <w:b/>
          <w:kern w:val="0"/>
          <w:sz w:val="44"/>
          <w:szCs w:val="44"/>
        </w:rPr>
        <w:t>22</w:t>
      </w:r>
      <w:r>
        <w:rPr>
          <w:rFonts w:ascii="Times New Roman" w:hAnsi="Times New Roman" w:cs="Times New Roman" w:eastAsiaTheme="majorEastAsia"/>
          <w:b/>
          <w:kern w:val="0"/>
          <w:sz w:val="44"/>
          <w:szCs w:val="44"/>
        </w:rPr>
        <w:t>年度</w:t>
      </w:r>
      <w:r>
        <w:rPr>
          <w:rFonts w:hint="eastAsia" w:ascii="Times New Roman" w:hAnsi="Times New Roman" w:cs="Times New Roman" w:eastAsiaTheme="majorEastAsia"/>
          <w:b/>
          <w:kern w:val="0"/>
          <w:sz w:val="44"/>
          <w:szCs w:val="44"/>
        </w:rPr>
        <w:t>中共长沙市委党史研究室</w:t>
      </w:r>
    </w:p>
    <w:p w14:paraId="04112783">
      <w:pPr>
        <w:jc w:val="center"/>
        <w:rPr>
          <w:rFonts w:ascii="Times New Roman" w:hAnsi="Times New Roman" w:eastAsia="黑体" w:cs="Times New Roman"/>
          <w:sz w:val="32"/>
          <w:szCs w:val="32"/>
        </w:rPr>
      </w:pPr>
      <w:r>
        <w:rPr>
          <w:rFonts w:ascii="Times New Roman" w:hAnsi="Times New Roman" w:cs="Times New Roman" w:eastAsiaTheme="majorEastAsia"/>
          <w:b/>
          <w:sz w:val="44"/>
          <w:szCs w:val="44"/>
        </w:rPr>
        <w:t>整体支出绩效</w:t>
      </w:r>
      <w:r>
        <w:rPr>
          <w:rFonts w:hint="eastAsia" w:ascii="Times New Roman" w:hAnsi="Times New Roman" w:cs="Times New Roman" w:eastAsiaTheme="majorEastAsia"/>
          <w:b/>
          <w:sz w:val="44"/>
          <w:szCs w:val="44"/>
        </w:rPr>
        <w:t>自评</w:t>
      </w:r>
      <w:r>
        <w:rPr>
          <w:rFonts w:ascii="Times New Roman" w:hAnsi="Times New Roman" w:cs="Times New Roman" w:eastAsiaTheme="majorEastAsia"/>
          <w:b/>
          <w:sz w:val="44"/>
          <w:szCs w:val="44"/>
        </w:rPr>
        <w:t>报告</w:t>
      </w:r>
    </w:p>
    <w:p w14:paraId="463CA1DB">
      <w:pPr>
        <w:spacing w:line="600" w:lineRule="exact"/>
        <w:ind w:firstLine="640" w:firstLineChars="200"/>
        <w:rPr>
          <w:rFonts w:ascii="Times New Roman" w:hAnsi="Times New Roman" w:eastAsia="仿宋" w:cs="Times New Roman"/>
          <w:sz w:val="32"/>
          <w:szCs w:val="32"/>
        </w:rPr>
      </w:pPr>
    </w:p>
    <w:p w14:paraId="4FA094B9">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为推进全过程绩效管理，压实支出责任，提高财政资金使用效益和管理水平，按照《关于全面实施预算绩效管理的意见》（中发〔2018〕34号）、《关于全面实施预算绩效管理的实施意见》（湘办发〔2019〕10号）</w:t>
      </w:r>
      <w:r>
        <w:rPr>
          <w:rFonts w:hint="eastAsia" w:ascii="Times New Roman" w:hAnsi="Times New Roman" w:eastAsia="仿宋" w:cs="Times New Roman"/>
          <w:sz w:val="32"/>
          <w:szCs w:val="32"/>
        </w:rPr>
        <w:t>、</w:t>
      </w:r>
      <w:r>
        <w:rPr>
          <w:rFonts w:ascii="Times New Roman" w:hAnsi="Times New Roman" w:eastAsia="仿宋" w:cs="Times New Roman"/>
          <w:sz w:val="32"/>
          <w:szCs w:val="32"/>
        </w:rPr>
        <w:t>《湖南省省级预算部门绩效自评操作规程》</w:t>
      </w:r>
      <w:r>
        <w:rPr>
          <w:rFonts w:hint="eastAsia" w:ascii="Times New Roman" w:hAnsi="Times New Roman" w:eastAsia="仿宋" w:cs="Times New Roman"/>
          <w:sz w:val="32"/>
          <w:szCs w:val="32"/>
        </w:rPr>
        <w:t>（</w:t>
      </w:r>
      <w:r>
        <w:rPr>
          <w:rFonts w:ascii="Times New Roman" w:hAnsi="Times New Roman" w:eastAsia="仿宋" w:cs="Times New Roman"/>
          <w:sz w:val="32"/>
          <w:szCs w:val="32"/>
        </w:rPr>
        <w:t>湘财绩〔2020〕5号</w:t>
      </w:r>
      <w:r>
        <w:rPr>
          <w:rFonts w:hint="eastAsia" w:ascii="Times New Roman" w:hAnsi="Times New Roman" w:eastAsia="仿宋" w:cs="Times New Roman"/>
          <w:sz w:val="32"/>
          <w:szCs w:val="32"/>
        </w:rPr>
        <w:t>）、《项目支出绩效评价管理办法》</w:t>
      </w:r>
      <w:r>
        <w:rPr>
          <w:rFonts w:ascii="Times New Roman" w:hAnsi="Times New Roman" w:eastAsia="仿宋" w:cs="Times New Roman"/>
          <w:sz w:val="32"/>
          <w:szCs w:val="32"/>
        </w:rPr>
        <w:t>（</w:t>
      </w:r>
      <w:r>
        <w:rPr>
          <w:rFonts w:hint="eastAsia" w:ascii="Times New Roman" w:hAnsi="Times New Roman" w:eastAsia="仿宋" w:cs="Times New Roman"/>
          <w:sz w:val="32"/>
          <w:szCs w:val="32"/>
        </w:rPr>
        <w:t>财预</w:t>
      </w:r>
      <w:r>
        <w:rPr>
          <w:rFonts w:ascii="Times New Roman" w:hAnsi="Times New Roman" w:eastAsia="仿宋" w:cs="Times New Roman"/>
          <w:sz w:val="32"/>
          <w:szCs w:val="32"/>
        </w:rPr>
        <w:t>〔2020〕10号）以及《关于开展2023年市直单位绩效自评工作的通知》（长财绩〔2023〕2号）等文件精神，</w:t>
      </w:r>
      <w:r>
        <w:rPr>
          <w:rFonts w:hint="eastAsia" w:ascii="Times New Roman" w:hAnsi="Times New Roman" w:eastAsia="仿宋" w:cs="Times New Roman"/>
          <w:sz w:val="32"/>
          <w:szCs w:val="32"/>
        </w:rPr>
        <w:t>中共长沙市委党史研究室围绕部门职能职责，以预算资金管理为主线，</w:t>
      </w:r>
      <w:r>
        <w:rPr>
          <w:rFonts w:ascii="Times New Roman" w:hAnsi="Times New Roman" w:eastAsia="仿宋" w:cs="Times New Roman"/>
          <w:sz w:val="32"/>
          <w:szCs w:val="32"/>
        </w:rPr>
        <w:t>采用定量分析和定性分析相结合的方法，</w:t>
      </w:r>
      <w:r>
        <w:rPr>
          <w:rFonts w:hint="eastAsia" w:ascii="Times New Roman" w:hAnsi="Times New Roman" w:eastAsia="仿宋" w:cs="Times New Roman"/>
          <w:sz w:val="32"/>
          <w:szCs w:val="32"/>
        </w:rPr>
        <w:t>自</w:t>
      </w:r>
      <w:r>
        <w:rPr>
          <w:rFonts w:ascii="Times New Roman" w:hAnsi="Times New Roman" w:eastAsia="仿宋" w:cs="Times New Roman"/>
          <w:sz w:val="32"/>
          <w:szCs w:val="32"/>
        </w:rPr>
        <w:t>2023年3月22日</w:t>
      </w:r>
      <w:r>
        <w:rPr>
          <w:rFonts w:hint="eastAsia" w:ascii="Times New Roman" w:hAnsi="Times New Roman" w:eastAsia="仿宋" w:cs="Times New Roman"/>
          <w:sz w:val="32"/>
          <w:szCs w:val="32"/>
        </w:rPr>
        <w:t>至4月1</w:t>
      </w:r>
      <w:r>
        <w:rPr>
          <w:rFonts w:ascii="Times New Roman" w:hAnsi="Times New Roman" w:eastAsia="仿宋" w:cs="Times New Roman"/>
          <w:sz w:val="32"/>
          <w:szCs w:val="32"/>
        </w:rPr>
        <w:t>7</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从</w:t>
      </w:r>
      <w:r>
        <w:rPr>
          <w:rFonts w:hint="eastAsia" w:ascii="Times New Roman" w:hAnsi="Times New Roman" w:eastAsia="仿宋" w:cs="Times New Roman"/>
          <w:sz w:val="32"/>
          <w:szCs w:val="32"/>
        </w:rPr>
        <w:t>预算执行率</w:t>
      </w:r>
      <w:r>
        <w:rPr>
          <w:rFonts w:ascii="Times New Roman" w:hAnsi="Times New Roman" w:eastAsia="仿宋" w:cs="Times New Roman"/>
          <w:sz w:val="32"/>
          <w:szCs w:val="32"/>
        </w:rPr>
        <w:t>、</w:t>
      </w:r>
      <w:r>
        <w:rPr>
          <w:rFonts w:hint="eastAsia" w:ascii="Times New Roman" w:hAnsi="Times New Roman" w:eastAsia="仿宋" w:cs="Times New Roman"/>
          <w:sz w:val="32"/>
          <w:szCs w:val="32"/>
        </w:rPr>
        <w:t>产出、效益、服务对象满意度</w:t>
      </w:r>
      <w:r>
        <w:rPr>
          <w:rFonts w:ascii="Times New Roman" w:hAnsi="Times New Roman" w:eastAsia="仿宋" w:cs="Times New Roman"/>
          <w:sz w:val="32"/>
          <w:szCs w:val="32"/>
        </w:rPr>
        <w:t>等方面对部门整体支出进行评价。此次评价资金总计935.71万元，其中：基本支出697.61万元，项目支出238.10</w:t>
      </w:r>
      <w:r>
        <w:rPr>
          <w:rFonts w:hint="eastAsia" w:ascii="Times New Roman" w:hAnsi="Times New Roman" w:eastAsia="仿宋" w:cs="Times New Roman"/>
          <w:sz w:val="32"/>
          <w:szCs w:val="32"/>
        </w:rPr>
        <w:t>万元</w:t>
      </w:r>
      <w:r>
        <w:rPr>
          <w:rFonts w:ascii="Times New Roman" w:hAnsi="Times New Roman" w:eastAsia="仿宋" w:cs="Times New Roman"/>
          <w:sz w:val="32"/>
          <w:szCs w:val="32"/>
        </w:rPr>
        <w:t>。现将整体支出绩效自评情况报告如下：</w:t>
      </w:r>
    </w:p>
    <w:p w14:paraId="3B2AB7EE">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一、部门概况 </w:t>
      </w:r>
    </w:p>
    <w:p w14:paraId="69BCC100">
      <w:pPr>
        <w:spacing w:line="60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（一）基本情况</w:t>
      </w:r>
    </w:p>
    <w:p w14:paraId="1B9B7474">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中共长沙市委党史研究室的主要职能是征集、整理中共长沙地方史资料，编写《中国共产党长沙历史》、中共长沙党史专题、党委工作纪事等；运用党史资料和党史研究成果，发挥党史资政育人的社会功能；参与组织重大党史事件、重要党史人物的纪念活动，会同有关部门征编审定全市重大党史题材出版物；承担反对历史虚无主义方面的业务管理职能；组织指导全市党史联络工作并指导区县（市）党史业务工作；主管长沙党史馆；主管和指导长沙市中共党史学会、长沙市中共党史专家智库、长沙市中共党史宣讲团；承办中央党史和文献研究院、省委党史研究室等有关部门和市委以及市委办公厅交办的其他事项。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年年末，现有在职人员</w:t>
      </w:r>
      <w:r>
        <w:rPr>
          <w:rFonts w:ascii="Times New Roman" w:hAnsi="Times New Roman" w:eastAsia="仿宋" w:cs="Times New Roman"/>
          <w:sz w:val="32"/>
          <w:szCs w:val="32"/>
        </w:rPr>
        <w:t>16</w:t>
      </w:r>
      <w:r>
        <w:rPr>
          <w:rFonts w:hint="eastAsia" w:ascii="Times New Roman" w:hAnsi="Times New Roman" w:eastAsia="仿宋" w:cs="Times New Roman"/>
          <w:sz w:val="32"/>
          <w:szCs w:val="32"/>
        </w:rPr>
        <w:t>人，内设机构为5个，分别为秘书处、机关党总支、征集研究处、联络指导处、宣传教育处（加挂《长沙市委工作纪事》编辑部）。</w:t>
      </w:r>
    </w:p>
    <w:p w14:paraId="58A5FCEC">
      <w:pPr>
        <w:spacing w:line="60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（二）整体支出规模、使用方向和主要内容、涉及范围等</w:t>
      </w:r>
    </w:p>
    <w:p w14:paraId="3438AFD0">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我室按照以收定支和综合平衡原则使用财政资金。</w:t>
      </w:r>
      <w:r>
        <w:rPr>
          <w:rFonts w:ascii="Times New Roman" w:hAnsi="Times New Roman" w:eastAsia="仿宋" w:cs="Times New Roman"/>
          <w:sz w:val="32"/>
          <w:szCs w:val="32"/>
        </w:rPr>
        <w:t>2022年财政批复</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下达预算指标971.20万元，</w:t>
      </w:r>
      <w:r>
        <w:rPr>
          <w:rFonts w:hint="eastAsia" w:ascii="Times New Roman" w:hAnsi="Times New Roman" w:eastAsia="仿宋" w:cs="Times New Roman"/>
          <w:sz w:val="32"/>
          <w:szCs w:val="32"/>
        </w:rPr>
        <w:t>实际执行</w:t>
      </w:r>
      <w:r>
        <w:rPr>
          <w:rFonts w:ascii="Times New Roman" w:hAnsi="Times New Roman" w:eastAsia="仿宋" w:cs="Times New Roman"/>
          <w:sz w:val="32"/>
          <w:szCs w:val="32"/>
        </w:rPr>
        <w:t>935.71万元。</w:t>
      </w:r>
    </w:p>
    <w:p w14:paraId="6CE3C0A5">
      <w:pPr>
        <w:spacing w:line="600" w:lineRule="exact"/>
        <w:ind w:firstLine="627" w:firstLineChars="196"/>
        <w:rPr>
          <w:rFonts w:ascii="Times New Roman" w:hAnsi="Times New Roman" w:eastAsia="仿宋" w:cs="Times New Roman"/>
          <w:sz w:val="32"/>
          <w:szCs w:val="32"/>
        </w:rPr>
      </w:pPr>
      <w:r>
        <w:rPr>
          <w:rFonts w:hint="eastAsia" w:ascii="Times New Roman" w:hAnsi="Times New Roman" w:eastAsia="仿宋" w:cs="Times New Roman"/>
          <w:sz w:val="32"/>
          <w:szCs w:val="32"/>
        </w:rPr>
        <w:t>1. 按支出功能分类</w:t>
      </w:r>
      <w:r>
        <w:rPr>
          <w:rFonts w:ascii="Times New Roman" w:hAnsi="Times New Roman" w:eastAsia="仿宋" w:cs="Times New Roman"/>
          <w:sz w:val="32"/>
          <w:szCs w:val="32"/>
        </w:rPr>
        <w:t>：一般公共服务支出905.71万元，占比96.79%；</w:t>
      </w:r>
      <w:r>
        <w:rPr>
          <w:rFonts w:hint="eastAsia" w:ascii="Times New Roman" w:hAnsi="Times New Roman" w:eastAsia="仿宋" w:cs="Times New Roman"/>
          <w:sz w:val="32"/>
          <w:szCs w:val="32"/>
        </w:rPr>
        <w:t>文化旅游体育与传媒支出</w:t>
      </w:r>
      <w:r>
        <w:rPr>
          <w:rFonts w:ascii="Times New Roman" w:hAnsi="Times New Roman" w:eastAsia="仿宋" w:cs="Times New Roman"/>
          <w:sz w:val="32"/>
          <w:szCs w:val="32"/>
        </w:rPr>
        <w:t>30</w:t>
      </w:r>
      <w:r>
        <w:rPr>
          <w:rFonts w:hint="eastAsia" w:ascii="Times New Roman" w:hAnsi="Times New Roman" w:eastAsia="仿宋" w:cs="Times New Roman"/>
          <w:sz w:val="32"/>
          <w:szCs w:val="32"/>
        </w:rPr>
        <w:t>万元，占</w:t>
      </w:r>
      <w:r>
        <w:rPr>
          <w:rFonts w:ascii="Times New Roman" w:hAnsi="Times New Roman" w:eastAsia="仿宋" w:cs="Times New Roman"/>
          <w:sz w:val="32"/>
          <w:szCs w:val="32"/>
        </w:rPr>
        <w:t>3.21</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p w14:paraId="6F2EBC46">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 按支出性质分类</w:t>
      </w:r>
      <w:r>
        <w:rPr>
          <w:rFonts w:ascii="Times New Roman" w:hAnsi="Times New Roman" w:eastAsia="仿宋" w:cs="Times New Roman"/>
          <w:sz w:val="32"/>
          <w:szCs w:val="32"/>
        </w:rPr>
        <w:t>：</w:t>
      </w:r>
      <w:r>
        <w:rPr>
          <w:rFonts w:hint="eastAsia" w:ascii="Times New Roman" w:hAnsi="Times New Roman" w:eastAsia="仿宋" w:cs="Times New Roman"/>
          <w:sz w:val="32"/>
          <w:szCs w:val="32"/>
        </w:rPr>
        <w:t>基本支出</w:t>
      </w:r>
      <w:r>
        <w:rPr>
          <w:rFonts w:ascii="Times New Roman" w:hAnsi="Times New Roman" w:eastAsia="仿宋" w:cs="Times New Roman"/>
          <w:sz w:val="32"/>
          <w:szCs w:val="32"/>
        </w:rPr>
        <w:t>697.61万元，占比74.55%</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主要用于基本工资</w:t>
      </w:r>
      <w:r>
        <w:rPr>
          <w:rFonts w:hint="eastAsia" w:ascii="Times New Roman" w:hAnsi="Times New Roman" w:eastAsia="仿宋" w:cs="Times New Roman"/>
          <w:sz w:val="32"/>
          <w:szCs w:val="32"/>
        </w:rPr>
        <w:t>、</w:t>
      </w:r>
      <w:r>
        <w:rPr>
          <w:rFonts w:ascii="Times New Roman" w:hAnsi="Times New Roman" w:eastAsia="仿宋" w:cs="Times New Roman"/>
          <w:sz w:val="32"/>
          <w:szCs w:val="32"/>
        </w:rPr>
        <w:t>津补贴</w:t>
      </w:r>
      <w:r>
        <w:rPr>
          <w:rFonts w:hint="eastAsia" w:ascii="Times New Roman" w:hAnsi="Times New Roman" w:eastAsia="仿宋" w:cs="Times New Roman"/>
          <w:sz w:val="32"/>
          <w:szCs w:val="32"/>
        </w:rPr>
        <w:t>、奖金</w:t>
      </w:r>
      <w:r>
        <w:rPr>
          <w:rFonts w:ascii="Times New Roman" w:hAnsi="Times New Roman" w:eastAsia="仿宋" w:cs="Times New Roman"/>
          <w:sz w:val="32"/>
          <w:szCs w:val="32"/>
        </w:rPr>
        <w:t>、社保缴费</w:t>
      </w:r>
      <w:r>
        <w:rPr>
          <w:rFonts w:hint="eastAsia" w:ascii="Times New Roman" w:hAnsi="Times New Roman" w:eastAsia="仿宋" w:cs="Times New Roman"/>
          <w:sz w:val="32"/>
          <w:szCs w:val="32"/>
        </w:rPr>
        <w:t>和日常公用经费</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项目支出</w:t>
      </w:r>
      <w:r>
        <w:rPr>
          <w:rFonts w:ascii="Times New Roman" w:hAnsi="Times New Roman" w:eastAsia="仿宋" w:cs="Times New Roman"/>
          <w:sz w:val="32"/>
          <w:szCs w:val="32"/>
        </w:rPr>
        <w:t>238.10</w:t>
      </w:r>
      <w:r>
        <w:rPr>
          <w:rFonts w:hint="eastAsia" w:ascii="Times New Roman" w:hAnsi="Times New Roman" w:eastAsia="仿宋" w:cs="Times New Roman"/>
          <w:sz w:val="32"/>
          <w:szCs w:val="32"/>
        </w:rPr>
        <w:t>万元，占比</w:t>
      </w:r>
      <w:r>
        <w:rPr>
          <w:rFonts w:ascii="Times New Roman" w:hAnsi="Times New Roman" w:eastAsia="仿宋" w:cs="Times New Roman"/>
          <w:sz w:val="32"/>
          <w:szCs w:val="32"/>
        </w:rPr>
        <w:t>25.45</w:t>
      </w:r>
      <w:r>
        <w:rPr>
          <w:rFonts w:hint="eastAsia" w:ascii="Times New Roman" w:hAnsi="Times New Roman" w:eastAsia="仿宋" w:cs="Times New Roman"/>
          <w:sz w:val="32"/>
          <w:szCs w:val="32"/>
        </w:rPr>
        <w:t>%，主要用</w:t>
      </w:r>
      <w:r>
        <w:rPr>
          <w:rFonts w:ascii="Times New Roman" w:hAnsi="Times New Roman" w:eastAsia="仿宋" w:cs="Times New Roman"/>
          <w:sz w:val="32"/>
          <w:szCs w:val="32"/>
        </w:rPr>
        <w:t>于</w:t>
      </w:r>
      <w:r>
        <w:rPr>
          <w:rFonts w:hint="eastAsia" w:ascii="Times New Roman" w:hAnsi="Times New Roman" w:eastAsia="仿宋" w:cs="Times New Roman"/>
          <w:sz w:val="32"/>
          <w:szCs w:val="32"/>
        </w:rPr>
        <w:t>为完成特定行政工作任务或事业发展目标而发生的支出。</w:t>
      </w:r>
    </w:p>
    <w:p w14:paraId="346E8478">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 按支出经济分类：工资福利支出</w:t>
      </w:r>
      <w:r>
        <w:rPr>
          <w:rFonts w:ascii="Times New Roman" w:hAnsi="Times New Roman" w:eastAsia="仿宋" w:cs="Times New Roman"/>
          <w:sz w:val="32"/>
          <w:szCs w:val="32"/>
        </w:rPr>
        <w:t>532.21</w:t>
      </w:r>
      <w:r>
        <w:rPr>
          <w:rFonts w:hint="eastAsia" w:ascii="Times New Roman" w:hAnsi="Times New Roman" w:eastAsia="仿宋" w:cs="Times New Roman"/>
          <w:sz w:val="32"/>
          <w:szCs w:val="32"/>
        </w:rPr>
        <w:t>万元，占比</w:t>
      </w:r>
      <w:r>
        <w:rPr>
          <w:rFonts w:ascii="Times New Roman" w:hAnsi="Times New Roman" w:eastAsia="仿宋" w:cs="Times New Roman"/>
          <w:sz w:val="32"/>
          <w:szCs w:val="32"/>
        </w:rPr>
        <w:t>56.88</w:t>
      </w:r>
      <w:r>
        <w:rPr>
          <w:rFonts w:hint="eastAsia" w:ascii="Times New Roman" w:hAnsi="Times New Roman" w:eastAsia="仿宋" w:cs="Times New Roman"/>
          <w:sz w:val="32"/>
          <w:szCs w:val="32"/>
        </w:rPr>
        <w:t>%；商品服务支出</w:t>
      </w:r>
      <w:r>
        <w:rPr>
          <w:rFonts w:ascii="Times New Roman" w:hAnsi="Times New Roman" w:eastAsia="仿宋" w:cs="Times New Roman"/>
          <w:sz w:val="32"/>
          <w:szCs w:val="32"/>
        </w:rPr>
        <w:t>273.19</w:t>
      </w:r>
      <w:r>
        <w:rPr>
          <w:rFonts w:hint="eastAsia" w:ascii="Times New Roman" w:hAnsi="Times New Roman" w:eastAsia="仿宋" w:cs="Times New Roman"/>
          <w:sz w:val="32"/>
          <w:szCs w:val="32"/>
        </w:rPr>
        <w:t>万元，占比</w:t>
      </w:r>
      <w:r>
        <w:rPr>
          <w:rFonts w:ascii="Times New Roman" w:hAnsi="Times New Roman" w:eastAsia="仿宋" w:cs="Times New Roman"/>
          <w:sz w:val="32"/>
          <w:szCs w:val="32"/>
        </w:rPr>
        <w:t>29.20</w:t>
      </w:r>
      <w:r>
        <w:rPr>
          <w:rFonts w:hint="eastAsia" w:ascii="Times New Roman" w:hAnsi="Times New Roman" w:eastAsia="仿宋" w:cs="Times New Roman"/>
          <w:sz w:val="32"/>
          <w:szCs w:val="32"/>
        </w:rPr>
        <w:t>%；对个人和家庭的补助</w:t>
      </w:r>
      <w:r>
        <w:rPr>
          <w:rFonts w:ascii="Times New Roman" w:hAnsi="Times New Roman" w:eastAsia="仿宋" w:cs="Times New Roman"/>
          <w:sz w:val="32"/>
          <w:szCs w:val="32"/>
        </w:rPr>
        <w:t>115.26</w:t>
      </w:r>
      <w:r>
        <w:rPr>
          <w:rFonts w:hint="eastAsia" w:ascii="Times New Roman" w:hAnsi="Times New Roman" w:eastAsia="仿宋" w:cs="Times New Roman"/>
          <w:sz w:val="32"/>
          <w:szCs w:val="32"/>
        </w:rPr>
        <w:t>万元，占比</w:t>
      </w:r>
      <w:r>
        <w:rPr>
          <w:rFonts w:ascii="Times New Roman" w:hAnsi="Times New Roman" w:eastAsia="仿宋" w:cs="Times New Roman"/>
          <w:sz w:val="32"/>
          <w:szCs w:val="32"/>
        </w:rPr>
        <w:t>12.31</w:t>
      </w:r>
      <w:r>
        <w:rPr>
          <w:rFonts w:hint="eastAsia" w:ascii="Times New Roman" w:hAnsi="Times New Roman" w:eastAsia="仿宋" w:cs="Times New Roman"/>
          <w:sz w:val="32"/>
          <w:szCs w:val="32"/>
        </w:rPr>
        <w:t>%；资本性支出</w:t>
      </w:r>
      <w:r>
        <w:rPr>
          <w:rFonts w:ascii="Times New Roman" w:hAnsi="Times New Roman" w:eastAsia="仿宋" w:cs="Times New Roman"/>
          <w:sz w:val="32"/>
          <w:szCs w:val="32"/>
        </w:rPr>
        <w:t>15.05</w:t>
      </w:r>
      <w:r>
        <w:rPr>
          <w:rFonts w:hint="eastAsia" w:ascii="Times New Roman" w:hAnsi="Times New Roman" w:eastAsia="仿宋" w:cs="Times New Roman"/>
          <w:sz w:val="32"/>
          <w:szCs w:val="32"/>
        </w:rPr>
        <w:t>万元，占比</w:t>
      </w:r>
      <w:r>
        <w:rPr>
          <w:rFonts w:ascii="Times New Roman" w:hAnsi="Times New Roman" w:eastAsia="仿宋" w:cs="Times New Roman"/>
          <w:sz w:val="32"/>
          <w:szCs w:val="32"/>
        </w:rPr>
        <w:t>1.61</w:t>
      </w:r>
      <w:r>
        <w:rPr>
          <w:rFonts w:hint="eastAsia" w:ascii="Times New Roman" w:hAnsi="Times New Roman" w:eastAsia="仿宋" w:cs="Times New Roman"/>
          <w:sz w:val="32"/>
          <w:szCs w:val="32"/>
        </w:rPr>
        <w:t>%。</w:t>
      </w:r>
    </w:p>
    <w:p w14:paraId="1072D400">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一般公共预算</w:t>
      </w:r>
      <w:r>
        <w:rPr>
          <w:rFonts w:ascii="Times New Roman" w:hAnsi="Times New Roman" w:eastAsia="黑体" w:cs="Times New Roman"/>
          <w:sz w:val="32"/>
          <w:szCs w:val="32"/>
        </w:rPr>
        <w:t xml:space="preserve">支出情况 </w:t>
      </w:r>
    </w:p>
    <w:p w14:paraId="20A5BC43">
      <w:pPr>
        <w:spacing w:line="60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（一）基本支出</w:t>
      </w:r>
    </w:p>
    <w:p w14:paraId="28EA5FEB">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w:t>
      </w:r>
      <w:r>
        <w:rPr>
          <w:rFonts w:hint="eastAsia" w:ascii="Times New Roman" w:hAnsi="Times New Roman" w:eastAsia="仿宋" w:cs="Times New Roman"/>
          <w:sz w:val="32"/>
          <w:szCs w:val="32"/>
        </w:rPr>
        <w:t>22</w:t>
      </w:r>
      <w:r>
        <w:rPr>
          <w:rFonts w:ascii="Times New Roman" w:hAnsi="Times New Roman" w:eastAsia="仿宋" w:cs="Times New Roman"/>
          <w:sz w:val="32"/>
          <w:szCs w:val="32"/>
        </w:rPr>
        <w:t>年度基本支出697.61万元，</w:t>
      </w:r>
      <w:r>
        <w:rPr>
          <w:rFonts w:hint="eastAsia" w:ascii="Times New Roman" w:hAnsi="Times New Roman" w:eastAsia="仿宋" w:cs="Times New Roman"/>
          <w:sz w:val="32"/>
          <w:szCs w:val="32"/>
        </w:rPr>
        <w:t>主要用于</w:t>
      </w:r>
      <w:r>
        <w:rPr>
          <w:rFonts w:ascii="Times New Roman" w:hAnsi="Times New Roman" w:eastAsia="仿宋" w:cs="Times New Roman"/>
          <w:sz w:val="32"/>
          <w:szCs w:val="32"/>
        </w:rPr>
        <w:t>为保障机构正常运转、完成日常工作任务而发生的</w:t>
      </w:r>
      <w:r>
        <w:rPr>
          <w:rFonts w:hint="eastAsia" w:ascii="Times New Roman" w:hAnsi="Times New Roman" w:eastAsia="仿宋" w:cs="Times New Roman"/>
          <w:sz w:val="32"/>
          <w:szCs w:val="32"/>
        </w:rPr>
        <w:t>人员经费和公用经费，</w:t>
      </w:r>
      <w:r>
        <w:rPr>
          <w:rFonts w:ascii="Times New Roman" w:hAnsi="Times New Roman" w:eastAsia="仿宋" w:cs="Times New Roman"/>
          <w:sz w:val="32"/>
          <w:szCs w:val="32"/>
        </w:rPr>
        <w:t>其中：人员经费支出647.07万元，占比92.76%；日常公用经费支出50.54万元，占比7.24%。</w:t>
      </w:r>
      <w:r>
        <w:rPr>
          <w:rFonts w:hint="eastAsia" w:ascii="Times New Roman" w:hAnsi="Times New Roman" w:eastAsia="仿宋" w:cs="Times New Roman"/>
          <w:sz w:val="32"/>
          <w:szCs w:val="32"/>
        </w:rPr>
        <w:t>人员经费严格按照核定的标准和规定的时间发放，公用经费严格按照内部控制制度及财政相关规定开支。</w:t>
      </w:r>
    </w:p>
    <w:p w14:paraId="55FF1AD8">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“三公”经费支出8.25万元</w:t>
      </w:r>
      <w:r>
        <w:rPr>
          <w:rFonts w:hint="eastAsia" w:ascii="Times New Roman" w:hAnsi="Times New Roman" w:eastAsia="仿宋" w:cs="Times New Roman"/>
          <w:sz w:val="32"/>
          <w:szCs w:val="32"/>
        </w:rPr>
        <w:t>，其中</w:t>
      </w:r>
      <w:r>
        <w:rPr>
          <w:rFonts w:ascii="Times New Roman" w:hAnsi="Times New Roman" w:eastAsia="仿宋" w:cs="Times New Roman"/>
          <w:sz w:val="32"/>
          <w:szCs w:val="32"/>
        </w:rPr>
        <w:t>：</w:t>
      </w:r>
      <w:r>
        <w:rPr>
          <w:rFonts w:hint="eastAsia" w:ascii="Times New Roman" w:hAnsi="Times New Roman" w:eastAsia="仿宋" w:cs="Times New Roman"/>
          <w:sz w:val="32"/>
          <w:szCs w:val="32"/>
        </w:rPr>
        <w:t>因公出国（境）费支出0元，</w:t>
      </w:r>
      <w:r>
        <w:rPr>
          <w:rFonts w:ascii="Times New Roman" w:hAnsi="Times New Roman" w:eastAsia="仿宋" w:cs="Times New Roman"/>
          <w:sz w:val="32"/>
          <w:szCs w:val="32"/>
        </w:rPr>
        <w:t>公务接待费支出0.41万元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公务用车购置及运行维护费支出7.84万元</w:t>
      </w:r>
      <w:r>
        <w:rPr>
          <w:rFonts w:hint="eastAsia" w:ascii="Times New Roman" w:hAnsi="Times New Roman" w:eastAsia="仿宋" w:cs="Times New Roman"/>
          <w:sz w:val="32"/>
          <w:szCs w:val="32"/>
        </w:rPr>
        <w:t>（公务用车购置支出</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万元，公务用车运行维护支出</w:t>
      </w:r>
      <w:r>
        <w:rPr>
          <w:rFonts w:ascii="Times New Roman" w:hAnsi="Times New Roman" w:eastAsia="仿宋" w:cs="Times New Roman"/>
          <w:sz w:val="32"/>
          <w:szCs w:val="32"/>
        </w:rPr>
        <w:t>7.84</w:t>
      </w:r>
      <w:r>
        <w:rPr>
          <w:rFonts w:hint="eastAsia" w:ascii="Times New Roman" w:hAnsi="Times New Roman" w:eastAsia="仿宋" w:cs="Times New Roman"/>
          <w:sz w:val="32"/>
          <w:szCs w:val="32"/>
        </w:rPr>
        <w:t>万元）。公务接待费严格按照长沙市公务接待的相关要求及内部控制制度开支。公务用车运行维护实行财政定点服务管理。</w:t>
      </w:r>
    </w:p>
    <w:p w14:paraId="7BC6355F">
      <w:pPr>
        <w:spacing w:line="60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（二）项</w:t>
      </w:r>
      <w:r>
        <w:rPr>
          <w:rFonts w:hint="eastAsia" w:ascii="Times New Roman" w:hAnsi="Times New Roman" w:eastAsia="楷体" w:cs="Times New Roman"/>
          <w:sz w:val="32"/>
          <w:szCs w:val="32"/>
        </w:rPr>
        <w:t>目</w:t>
      </w:r>
      <w:r>
        <w:rPr>
          <w:rFonts w:ascii="Times New Roman" w:hAnsi="Times New Roman" w:eastAsia="楷体" w:cs="Times New Roman"/>
          <w:sz w:val="32"/>
          <w:szCs w:val="32"/>
        </w:rPr>
        <w:t xml:space="preserve">支出 </w:t>
      </w:r>
    </w:p>
    <w:p w14:paraId="1DD43210">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1．项</w:t>
      </w:r>
      <w:r>
        <w:rPr>
          <w:rFonts w:hint="eastAsia" w:ascii="Times New Roman" w:hAnsi="Times New Roman" w:eastAsia="仿宋" w:cs="Times New Roman"/>
          <w:sz w:val="32"/>
          <w:szCs w:val="32"/>
        </w:rPr>
        <w:t>目</w:t>
      </w:r>
      <w:r>
        <w:rPr>
          <w:rFonts w:ascii="Times New Roman" w:hAnsi="Times New Roman" w:eastAsia="仿宋" w:cs="Times New Roman"/>
          <w:sz w:val="32"/>
          <w:szCs w:val="32"/>
        </w:rPr>
        <w:t>资金安排落实、总投入等情况分析</w:t>
      </w:r>
    </w:p>
    <w:p w14:paraId="7E8C27DE">
      <w:pPr>
        <w:spacing w:line="600" w:lineRule="exact"/>
        <w:ind w:firstLine="640" w:firstLineChars="200"/>
        <w:jc w:val="left"/>
        <w:rPr>
          <w:rFonts w:ascii="Times New Roman" w:hAnsi="Times New Roman" w:eastAsia="仿宋_GB2312"/>
          <w:sz w:val="32"/>
          <w:szCs w:val="32"/>
        </w:rPr>
      </w:pPr>
      <w:bookmarkStart w:id="0" w:name="_Hlk131588473"/>
      <w:r>
        <w:rPr>
          <w:rFonts w:hint="eastAsia" w:ascii="Times New Roman" w:hAnsi="Times New Roman" w:eastAsia="仿宋" w:cs="Times New Roman"/>
          <w:sz w:val="32"/>
          <w:szCs w:val="32"/>
        </w:rPr>
        <w:t>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年项目支出年初预算批复</w:t>
      </w:r>
      <w:bookmarkEnd w:id="0"/>
      <w:r>
        <w:rPr>
          <w:rFonts w:ascii="Times New Roman" w:hAnsi="Times New Roman" w:eastAsia="仿宋" w:cs="Times New Roman"/>
          <w:sz w:val="32"/>
          <w:szCs w:val="32"/>
        </w:rPr>
        <w:t>224.48</w:t>
      </w:r>
      <w:r>
        <w:rPr>
          <w:rFonts w:hint="eastAsia" w:ascii="Times New Roman" w:hAnsi="Times New Roman" w:eastAsia="仿宋" w:cs="Times New Roman"/>
          <w:sz w:val="32"/>
          <w:szCs w:val="32"/>
        </w:rPr>
        <w:t>万元，年中预算调整</w:t>
      </w:r>
      <w:r>
        <w:rPr>
          <w:rFonts w:ascii="Times New Roman" w:hAnsi="Times New Roman" w:eastAsia="仿宋" w:cs="Times New Roman"/>
          <w:sz w:val="32"/>
          <w:szCs w:val="32"/>
        </w:rPr>
        <w:t>27.40</w:t>
      </w:r>
      <w:r>
        <w:rPr>
          <w:rFonts w:hint="eastAsia" w:ascii="Times New Roman" w:hAnsi="Times New Roman" w:eastAsia="仿宋" w:cs="Times New Roman"/>
          <w:sz w:val="32"/>
          <w:szCs w:val="32"/>
        </w:rPr>
        <w:t>万元，全年预算共计</w:t>
      </w:r>
      <w:r>
        <w:rPr>
          <w:rFonts w:ascii="Times New Roman" w:hAnsi="Times New Roman" w:eastAsia="仿宋" w:cs="Times New Roman"/>
          <w:sz w:val="32"/>
          <w:szCs w:val="32"/>
        </w:rPr>
        <w:t>251.88</w:t>
      </w:r>
      <w:r>
        <w:rPr>
          <w:rFonts w:hint="eastAsia" w:ascii="Times New Roman" w:hAnsi="Times New Roman" w:eastAsia="仿宋" w:cs="Times New Roman"/>
          <w:sz w:val="32"/>
          <w:szCs w:val="32"/>
        </w:rPr>
        <w:t>万元，以上预算资金指标由财政全部下达，实际使用</w:t>
      </w:r>
      <w:r>
        <w:rPr>
          <w:rFonts w:ascii="Times New Roman" w:hAnsi="Times New Roman" w:eastAsia="仿宋" w:cs="Times New Roman"/>
          <w:sz w:val="32"/>
          <w:szCs w:val="32"/>
        </w:rPr>
        <w:t>238.10</w:t>
      </w:r>
      <w:r>
        <w:rPr>
          <w:rFonts w:hint="eastAsia" w:ascii="Times New Roman" w:hAnsi="Times New Roman" w:eastAsia="仿宋" w:cs="Times New Roman"/>
          <w:sz w:val="32"/>
          <w:szCs w:val="32"/>
        </w:rPr>
        <w:t>万元，预算执行率为</w:t>
      </w:r>
      <w:r>
        <w:rPr>
          <w:rFonts w:ascii="Times New Roman" w:hAnsi="Times New Roman" w:eastAsia="仿宋" w:cs="Times New Roman"/>
          <w:sz w:val="32"/>
          <w:szCs w:val="32"/>
        </w:rPr>
        <w:t>94.53%</w:t>
      </w:r>
      <w:r>
        <w:rPr>
          <w:rFonts w:hint="eastAsia" w:ascii="Times New Roman" w:hAnsi="Times New Roman" w:eastAsia="仿宋" w:cs="Times New Roman"/>
          <w:sz w:val="32"/>
          <w:szCs w:val="32"/>
        </w:rPr>
        <w:t>。</w:t>
      </w:r>
    </w:p>
    <w:p w14:paraId="4E71C8C1">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2．项</w:t>
      </w:r>
      <w:r>
        <w:rPr>
          <w:rFonts w:hint="eastAsia" w:ascii="Times New Roman" w:hAnsi="Times New Roman" w:eastAsia="仿宋" w:cs="Times New Roman"/>
          <w:sz w:val="32"/>
          <w:szCs w:val="32"/>
        </w:rPr>
        <w:t>目</w:t>
      </w:r>
      <w:r>
        <w:rPr>
          <w:rFonts w:ascii="Times New Roman" w:hAnsi="Times New Roman" w:eastAsia="仿宋" w:cs="Times New Roman"/>
          <w:sz w:val="32"/>
          <w:szCs w:val="32"/>
        </w:rPr>
        <w:t>资金实际使用情况分析</w:t>
      </w:r>
    </w:p>
    <w:p w14:paraId="31394043">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2022年度下达专项预算</w:t>
      </w:r>
      <w:r>
        <w:rPr>
          <w:rFonts w:ascii="Times New Roman" w:hAnsi="Times New Roman" w:eastAsia="仿宋" w:cs="Times New Roman"/>
          <w:sz w:val="32"/>
          <w:szCs w:val="32"/>
        </w:rPr>
        <w:t>6</w:t>
      </w:r>
      <w:r>
        <w:rPr>
          <w:rFonts w:hint="eastAsia" w:ascii="Times New Roman" w:hAnsi="Times New Roman" w:eastAsia="仿宋" w:cs="Times New Roman"/>
          <w:sz w:val="32"/>
          <w:szCs w:val="32"/>
        </w:rPr>
        <w:t>个，实际使用</w:t>
      </w:r>
      <w:r>
        <w:rPr>
          <w:rFonts w:ascii="Times New Roman" w:hAnsi="Times New Roman" w:eastAsia="仿宋" w:cs="Times New Roman"/>
          <w:sz w:val="32"/>
          <w:szCs w:val="32"/>
        </w:rPr>
        <w:t>6</w:t>
      </w:r>
      <w:r>
        <w:rPr>
          <w:rFonts w:hint="eastAsia" w:ascii="Times New Roman" w:hAnsi="Times New Roman" w:eastAsia="仿宋" w:cs="Times New Roman"/>
          <w:sz w:val="32"/>
          <w:szCs w:val="32"/>
        </w:rPr>
        <w:t>个，明细如下：</w:t>
      </w:r>
    </w:p>
    <w:p w14:paraId="4831A03E">
      <w:pPr>
        <w:spacing w:line="600" w:lineRule="exact"/>
        <w:ind w:left="701" w:leftChars="334" w:firstLine="6300" w:firstLineChars="2250"/>
        <w:rPr>
          <w:rFonts w:ascii="Times New Roman" w:hAnsi="Times New Roman" w:eastAsia="仿宋" w:cs="Times New Roman"/>
          <w:sz w:val="28"/>
          <w:szCs w:val="28"/>
        </w:rPr>
      </w:pPr>
      <w:bookmarkStart w:id="1" w:name="_Hlk132053781"/>
      <w:r>
        <w:rPr>
          <w:rFonts w:ascii="Times New Roman" w:hAnsi="Times New Roman" w:eastAsia="仿宋" w:cs="Times New Roman"/>
          <w:sz w:val="28"/>
          <w:szCs w:val="28"/>
        </w:rPr>
        <w:t>金额单位：万元</w:t>
      </w:r>
    </w:p>
    <w:tbl>
      <w:tblPr>
        <w:tblStyle w:val="6"/>
        <w:tblW w:w="8800" w:type="dxa"/>
        <w:tblInd w:w="108" w:type="dxa"/>
        <w:tblLayout w:type="autofit"/>
        <w:tblCellMar>
          <w:top w:w="0" w:type="dxa"/>
          <w:left w:w="108" w:type="dxa"/>
          <w:bottom w:w="0" w:type="dxa"/>
          <w:right w:w="108" w:type="dxa"/>
        </w:tblCellMar>
      </w:tblPr>
      <w:tblGrid>
        <w:gridCol w:w="3828"/>
        <w:gridCol w:w="1842"/>
        <w:gridCol w:w="1701"/>
        <w:gridCol w:w="1429"/>
      </w:tblGrid>
      <w:tr w14:paraId="5D09FCE6">
        <w:tblPrEx>
          <w:tblCellMar>
            <w:top w:w="0" w:type="dxa"/>
            <w:left w:w="108" w:type="dxa"/>
            <w:bottom w:w="0" w:type="dxa"/>
            <w:right w:w="108" w:type="dxa"/>
          </w:tblCellMar>
        </w:tblPrEx>
        <w:trPr>
          <w:trHeight w:val="449" w:hRule="atLeast"/>
          <w:tblHeader/>
        </w:trPr>
        <w:tc>
          <w:tcPr>
            <w:tcW w:w="3828" w:type="dxa"/>
            <w:tcBorders>
              <w:top w:val="double" w:color="auto" w:sz="6" w:space="0"/>
              <w:left w:val="nil"/>
              <w:bottom w:val="dotted" w:color="auto" w:sz="4" w:space="0"/>
              <w:right w:val="dotted" w:color="auto" w:sz="4" w:space="0"/>
            </w:tcBorders>
            <w:shd w:val="clear" w:color="auto" w:fill="auto"/>
            <w:vAlign w:val="center"/>
          </w:tcPr>
          <w:p w14:paraId="5F1A3F52">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项目名称</w:t>
            </w:r>
          </w:p>
        </w:tc>
        <w:tc>
          <w:tcPr>
            <w:tcW w:w="1842" w:type="dxa"/>
            <w:tcBorders>
              <w:top w:val="double" w:color="auto" w:sz="6" w:space="0"/>
              <w:left w:val="nil"/>
              <w:bottom w:val="dotted" w:color="auto" w:sz="4" w:space="0"/>
              <w:right w:val="dotted" w:color="auto" w:sz="4" w:space="0"/>
            </w:tcBorders>
            <w:shd w:val="clear" w:color="auto" w:fill="auto"/>
            <w:vAlign w:val="center"/>
          </w:tcPr>
          <w:p w14:paraId="6C47FA5C">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全年预算数</w:t>
            </w:r>
          </w:p>
        </w:tc>
        <w:tc>
          <w:tcPr>
            <w:tcW w:w="1701" w:type="dxa"/>
            <w:tcBorders>
              <w:top w:val="double" w:color="auto" w:sz="6" w:space="0"/>
              <w:left w:val="nil"/>
              <w:bottom w:val="dotted" w:color="auto" w:sz="4" w:space="0"/>
              <w:right w:val="dotted" w:color="auto" w:sz="4" w:space="0"/>
            </w:tcBorders>
            <w:shd w:val="clear" w:color="auto" w:fill="auto"/>
            <w:vAlign w:val="center"/>
          </w:tcPr>
          <w:p w14:paraId="389451F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实际支出数</w:t>
            </w:r>
          </w:p>
        </w:tc>
        <w:tc>
          <w:tcPr>
            <w:tcW w:w="1429" w:type="dxa"/>
            <w:tcBorders>
              <w:top w:val="double" w:color="auto" w:sz="6" w:space="0"/>
              <w:left w:val="nil"/>
              <w:bottom w:val="dotted" w:color="auto" w:sz="4" w:space="0"/>
              <w:right w:val="nil"/>
            </w:tcBorders>
            <w:shd w:val="clear" w:color="auto" w:fill="auto"/>
            <w:vAlign w:val="center"/>
          </w:tcPr>
          <w:p w14:paraId="1C718A8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预算执行率</w:t>
            </w:r>
          </w:p>
        </w:tc>
      </w:tr>
      <w:tr w14:paraId="046ABF80">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41A55615">
            <w:pPr>
              <w:widowControl/>
              <w:jc w:val="left"/>
              <w:rPr>
                <w:rFonts w:ascii="仿宋" w:hAnsi="仿宋" w:eastAsia="仿宋" w:cs="Times New Roman"/>
                <w:color w:val="000000"/>
                <w:kern w:val="0"/>
                <w:sz w:val="24"/>
                <w:szCs w:val="24"/>
              </w:rPr>
            </w:pPr>
            <w:r>
              <w:rPr>
                <w:rFonts w:hint="eastAsia" w:ascii="仿宋" w:hAnsi="仿宋" w:eastAsia="仿宋" w:cs="Arial"/>
                <w:sz w:val="24"/>
                <w:szCs w:val="24"/>
              </w:rPr>
              <w:t>春节离退休干部慰问经费</w:t>
            </w:r>
          </w:p>
        </w:tc>
        <w:tc>
          <w:tcPr>
            <w:tcW w:w="1842" w:type="dxa"/>
            <w:tcBorders>
              <w:top w:val="nil"/>
              <w:left w:val="nil"/>
              <w:bottom w:val="dotted" w:color="auto" w:sz="4" w:space="0"/>
              <w:right w:val="dotted" w:color="auto" w:sz="4" w:space="0"/>
            </w:tcBorders>
            <w:shd w:val="clear" w:color="auto" w:fill="auto"/>
            <w:vAlign w:val="center"/>
          </w:tcPr>
          <w:p w14:paraId="779B4F50">
            <w:pPr>
              <w:widowControl/>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0</w:t>
            </w:r>
            <w:r>
              <w:rPr>
                <w:rFonts w:ascii="仿宋" w:hAnsi="仿宋" w:eastAsia="仿宋" w:cs="Times New Roman"/>
                <w:color w:val="000000"/>
                <w:kern w:val="0"/>
                <w:sz w:val="24"/>
                <w:szCs w:val="24"/>
              </w:rPr>
              <w:t>.2</w:t>
            </w:r>
          </w:p>
        </w:tc>
        <w:tc>
          <w:tcPr>
            <w:tcW w:w="1701" w:type="dxa"/>
            <w:tcBorders>
              <w:top w:val="nil"/>
              <w:left w:val="nil"/>
              <w:bottom w:val="dotted" w:color="auto" w:sz="4" w:space="0"/>
              <w:right w:val="dotted" w:color="auto" w:sz="4" w:space="0"/>
            </w:tcBorders>
            <w:shd w:val="clear" w:color="auto" w:fill="auto"/>
            <w:vAlign w:val="center"/>
          </w:tcPr>
          <w:p w14:paraId="468266EE">
            <w:pPr>
              <w:widowControl/>
              <w:jc w:val="center"/>
              <w:rPr>
                <w:rFonts w:ascii="仿宋" w:hAnsi="仿宋" w:eastAsia="仿宋" w:cs="Times New Roman"/>
                <w:color w:val="000000"/>
                <w:kern w:val="0"/>
                <w:sz w:val="24"/>
                <w:szCs w:val="24"/>
              </w:rPr>
            </w:pPr>
            <w:r>
              <w:rPr>
                <w:rFonts w:hint="eastAsia" w:ascii="仿宋" w:hAnsi="仿宋" w:eastAsia="仿宋" w:cs="Arial"/>
                <w:sz w:val="24"/>
                <w:szCs w:val="24"/>
              </w:rPr>
              <w:t>0.2</w:t>
            </w:r>
          </w:p>
        </w:tc>
        <w:tc>
          <w:tcPr>
            <w:tcW w:w="1429" w:type="dxa"/>
            <w:tcBorders>
              <w:top w:val="nil"/>
              <w:left w:val="nil"/>
              <w:bottom w:val="dotted" w:color="auto" w:sz="4" w:space="0"/>
              <w:right w:val="nil"/>
            </w:tcBorders>
            <w:shd w:val="clear" w:color="auto" w:fill="auto"/>
            <w:vAlign w:val="center"/>
          </w:tcPr>
          <w:p w14:paraId="2F2A10F1">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100%</w:t>
            </w:r>
          </w:p>
        </w:tc>
      </w:tr>
      <w:tr w14:paraId="16E96BD1">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1208BA2B">
            <w:pPr>
              <w:widowControl/>
              <w:jc w:val="left"/>
              <w:rPr>
                <w:rFonts w:ascii="仿宋" w:hAnsi="仿宋" w:eastAsia="仿宋" w:cs="Times New Roman"/>
                <w:color w:val="000000"/>
                <w:kern w:val="0"/>
                <w:sz w:val="24"/>
                <w:szCs w:val="24"/>
              </w:rPr>
            </w:pPr>
            <w:r>
              <w:rPr>
                <w:rFonts w:hint="eastAsia" w:ascii="仿宋" w:hAnsi="仿宋" w:eastAsia="仿宋" w:cs="Arial"/>
                <w:sz w:val="24"/>
                <w:szCs w:val="24"/>
              </w:rPr>
              <w:t>党史联络专项</w:t>
            </w:r>
          </w:p>
        </w:tc>
        <w:tc>
          <w:tcPr>
            <w:tcW w:w="1842" w:type="dxa"/>
            <w:tcBorders>
              <w:top w:val="nil"/>
              <w:left w:val="nil"/>
              <w:bottom w:val="dotted" w:color="auto" w:sz="4" w:space="0"/>
              <w:right w:val="dotted" w:color="auto" w:sz="4" w:space="0"/>
            </w:tcBorders>
            <w:shd w:val="clear" w:color="auto" w:fill="auto"/>
            <w:vAlign w:val="center"/>
          </w:tcPr>
          <w:p w14:paraId="609CDCB3">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37</w:t>
            </w:r>
          </w:p>
        </w:tc>
        <w:tc>
          <w:tcPr>
            <w:tcW w:w="1701" w:type="dxa"/>
            <w:tcBorders>
              <w:top w:val="nil"/>
              <w:left w:val="nil"/>
              <w:bottom w:val="dotted" w:color="auto" w:sz="4" w:space="0"/>
              <w:right w:val="dotted" w:color="auto" w:sz="4" w:space="0"/>
            </w:tcBorders>
            <w:shd w:val="clear" w:color="auto" w:fill="auto"/>
            <w:vAlign w:val="center"/>
          </w:tcPr>
          <w:p w14:paraId="6CEE7505">
            <w:pPr>
              <w:widowControl/>
              <w:jc w:val="center"/>
              <w:rPr>
                <w:rFonts w:ascii="仿宋" w:hAnsi="仿宋" w:eastAsia="仿宋" w:cs="Times New Roman"/>
                <w:color w:val="000000"/>
                <w:kern w:val="0"/>
                <w:sz w:val="24"/>
                <w:szCs w:val="24"/>
              </w:rPr>
            </w:pPr>
            <w:r>
              <w:rPr>
                <w:rFonts w:hint="eastAsia" w:ascii="仿宋" w:hAnsi="仿宋" w:eastAsia="仿宋" w:cs="Arial"/>
                <w:sz w:val="24"/>
                <w:szCs w:val="24"/>
              </w:rPr>
              <w:t>34.92</w:t>
            </w:r>
          </w:p>
        </w:tc>
        <w:tc>
          <w:tcPr>
            <w:tcW w:w="1429" w:type="dxa"/>
            <w:tcBorders>
              <w:top w:val="nil"/>
              <w:left w:val="nil"/>
              <w:bottom w:val="dotted" w:color="auto" w:sz="4" w:space="0"/>
              <w:right w:val="nil"/>
            </w:tcBorders>
            <w:shd w:val="clear" w:color="auto" w:fill="auto"/>
            <w:vAlign w:val="center"/>
          </w:tcPr>
          <w:p w14:paraId="0DCFE029">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94.38%</w:t>
            </w:r>
          </w:p>
        </w:tc>
      </w:tr>
      <w:tr w14:paraId="43261A02">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696D7694">
            <w:pPr>
              <w:widowControl/>
              <w:jc w:val="left"/>
              <w:rPr>
                <w:rFonts w:ascii="仿宋" w:hAnsi="仿宋" w:eastAsia="仿宋" w:cs="Times New Roman"/>
                <w:color w:val="000000"/>
                <w:kern w:val="0"/>
                <w:sz w:val="24"/>
                <w:szCs w:val="24"/>
              </w:rPr>
            </w:pPr>
            <w:r>
              <w:rPr>
                <w:rFonts w:hint="eastAsia" w:ascii="仿宋" w:hAnsi="仿宋" w:eastAsia="仿宋" w:cs="Arial"/>
                <w:sz w:val="24"/>
                <w:szCs w:val="24"/>
              </w:rPr>
              <w:t>党史研究等项目专项</w:t>
            </w:r>
          </w:p>
        </w:tc>
        <w:tc>
          <w:tcPr>
            <w:tcW w:w="1842" w:type="dxa"/>
            <w:tcBorders>
              <w:top w:val="nil"/>
              <w:left w:val="nil"/>
              <w:bottom w:val="dotted" w:color="auto" w:sz="4" w:space="0"/>
              <w:right w:val="dotted" w:color="auto" w:sz="4" w:space="0"/>
            </w:tcBorders>
            <w:shd w:val="clear" w:color="auto" w:fill="auto"/>
            <w:vAlign w:val="center"/>
          </w:tcPr>
          <w:p w14:paraId="200A09A9">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169.06</w:t>
            </w:r>
          </w:p>
        </w:tc>
        <w:tc>
          <w:tcPr>
            <w:tcW w:w="1701" w:type="dxa"/>
            <w:tcBorders>
              <w:top w:val="nil"/>
              <w:left w:val="nil"/>
              <w:bottom w:val="dotted" w:color="auto" w:sz="4" w:space="0"/>
              <w:right w:val="dotted" w:color="auto" w:sz="4" w:space="0"/>
            </w:tcBorders>
            <w:shd w:val="clear" w:color="auto" w:fill="auto"/>
            <w:vAlign w:val="center"/>
          </w:tcPr>
          <w:p w14:paraId="5568E180">
            <w:pPr>
              <w:widowControl/>
              <w:jc w:val="center"/>
              <w:rPr>
                <w:rFonts w:ascii="仿宋" w:hAnsi="仿宋" w:eastAsia="仿宋" w:cs="Times New Roman"/>
                <w:color w:val="000000"/>
                <w:kern w:val="0"/>
                <w:sz w:val="24"/>
                <w:szCs w:val="24"/>
              </w:rPr>
            </w:pPr>
            <w:r>
              <w:rPr>
                <w:rFonts w:hint="eastAsia" w:ascii="仿宋" w:hAnsi="仿宋" w:eastAsia="仿宋" w:cs="Arial"/>
                <w:sz w:val="24"/>
                <w:szCs w:val="24"/>
              </w:rPr>
              <w:t>162.21</w:t>
            </w:r>
          </w:p>
        </w:tc>
        <w:tc>
          <w:tcPr>
            <w:tcW w:w="1429" w:type="dxa"/>
            <w:tcBorders>
              <w:top w:val="nil"/>
              <w:left w:val="nil"/>
              <w:bottom w:val="dotted" w:color="auto" w:sz="4" w:space="0"/>
              <w:right w:val="nil"/>
            </w:tcBorders>
            <w:shd w:val="clear" w:color="auto" w:fill="auto"/>
            <w:vAlign w:val="center"/>
          </w:tcPr>
          <w:p w14:paraId="240CDEEA">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95.95%</w:t>
            </w:r>
          </w:p>
        </w:tc>
      </w:tr>
      <w:tr w14:paraId="3363B59D">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6100B838">
            <w:pPr>
              <w:widowControl/>
              <w:jc w:val="left"/>
              <w:rPr>
                <w:rFonts w:ascii="仿宋" w:hAnsi="仿宋" w:eastAsia="仿宋" w:cs="Times New Roman"/>
                <w:color w:val="000000"/>
                <w:kern w:val="0"/>
                <w:sz w:val="24"/>
                <w:szCs w:val="24"/>
              </w:rPr>
            </w:pPr>
            <w:r>
              <w:rPr>
                <w:rFonts w:hint="eastAsia" w:ascii="仿宋" w:hAnsi="仿宋" w:eastAsia="仿宋" w:cs="Arial"/>
                <w:sz w:val="24"/>
                <w:szCs w:val="24"/>
              </w:rPr>
              <w:t>离退休干部生活补贴、慰问经费</w:t>
            </w:r>
          </w:p>
        </w:tc>
        <w:tc>
          <w:tcPr>
            <w:tcW w:w="1842" w:type="dxa"/>
            <w:tcBorders>
              <w:top w:val="nil"/>
              <w:left w:val="nil"/>
              <w:bottom w:val="dotted" w:color="auto" w:sz="4" w:space="0"/>
              <w:right w:val="dotted" w:color="auto" w:sz="4" w:space="0"/>
            </w:tcBorders>
            <w:shd w:val="clear" w:color="auto" w:fill="auto"/>
            <w:vAlign w:val="center"/>
          </w:tcPr>
          <w:p w14:paraId="0FCF34C2">
            <w:pPr>
              <w:widowControl/>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0</w:t>
            </w:r>
            <w:r>
              <w:rPr>
                <w:rFonts w:ascii="仿宋" w:hAnsi="仿宋" w:eastAsia="仿宋" w:cs="Times New Roman"/>
                <w:color w:val="000000"/>
                <w:kern w:val="0"/>
                <w:sz w:val="24"/>
                <w:szCs w:val="24"/>
              </w:rPr>
              <w:t>.2</w:t>
            </w:r>
          </w:p>
        </w:tc>
        <w:tc>
          <w:tcPr>
            <w:tcW w:w="1701" w:type="dxa"/>
            <w:tcBorders>
              <w:top w:val="nil"/>
              <w:left w:val="nil"/>
              <w:bottom w:val="dotted" w:color="auto" w:sz="4" w:space="0"/>
              <w:right w:val="dotted" w:color="auto" w:sz="4" w:space="0"/>
            </w:tcBorders>
            <w:shd w:val="clear" w:color="auto" w:fill="auto"/>
            <w:vAlign w:val="center"/>
          </w:tcPr>
          <w:p w14:paraId="227A1985">
            <w:pPr>
              <w:widowControl/>
              <w:jc w:val="center"/>
              <w:rPr>
                <w:rFonts w:ascii="仿宋" w:hAnsi="仿宋" w:eastAsia="仿宋" w:cs="Times New Roman"/>
                <w:color w:val="000000"/>
                <w:kern w:val="0"/>
                <w:sz w:val="24"/>
                <w:szCs w:val="24"/>
              </w:rPr>
            </w:pPr>
            <w:r>
              <w:rPr>
                <w:rFonts w:hint="eastAsia" w:ascii="仿宋" w:hAnsi="仿宋" w:eastAsia="仿宋" w:cs="Arial"/>
                <w:sz w:val="24"/>
                <w:szCs w:val="24"/>
              </w:rPr>
              <w:t>0.20</w:t>
            </w:r>
          </w:p>
        </w:tc>
        <w:tc>
          <w:tcPr>
            <w:tcW w:w="1429" w:type="dxa"/>
            <w:tcBorders>
              <w:top w:val="nil"/>
              <w:left w:val="nil"/>
              <w:bottom w:val="dotted" w:color="auto" w:sz="4" w:space="0"/>
              <w:right w:val="nil"/>
            </w:tcBorders>
            <w:shd w:val="clear" w:color="auto" w:fill="auto"/>
            <w:vAlign w:val="center"/>
          </w:tcPr>
          <w:p w14:paraId="1A03243A">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100%</w:t>
            </w:r>
          </w:p>
        </w:tc>
      </w:tr>
      <w:tr w14:paraId="224D6194">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2D7967FD">
            <w:pPr>
              <w:widowControl/>
              <w:jc w:val="left"/>
              <w:rPr>
                <w:rFonts w:ascii="仿宋" w:hAnsi="仿宋" w:eastAsia="仿宋" w:cs="Times New Roman"/>
                <w:color w:val="000000"/>
                <w:kern w:val="0"/>
                <w:sz w:val="24"/>
                <w:szCs w:val="24"/>
              </w:rPr>
            </w:pPr>
            <w:r>
              <w:rPr>
                <w:rFonts w:hint="eastAsia" w:ascii="仿宋" w:hAnsi="仿宋" w:eastAsia="仿宋" w:cs="Arial"/>
                <w:sz w:val="24"/>
                <w:szCs w:val="24"/>
              </w:rPr>
              <w:t>纪念中共湖南支部成立100周年学术研讨会相关经费</w:t>
            </w:r>
          </w:p>
        </w:tc>
        <w:tc>
          <w:tcPr>
            <w:tcW w:w="1842" w:type="dxa"/>
            <w:tcBorders>
              <w:top w:val="nil"/>
              <w:left w:val="nil"/>
              <w:bottom w:val="dotted" w:color="auto" w:sz="4" w:space="0"/>
              <w:right w:val="dotted" w:color="auto" w:sz="4" w:space="0"/>
            </w:tcBorders>
            <w:shd w:val="clear" w:color="auto" w:fill="auto"/>
            <w:vAlign w:val="center"/>
          </w:tcPr>
          <w:p w14:paraId="707761CD">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15.42</w:t>
            </w:r>
          </w:p>
        </w:tc>
        <w:tc>
          <w:tcPr>
            <w:tcW w:w="1701" w:type="dxa"/>
            <w:tcBorders>
              <w:top w:val="nil"/>
              <w:left w:val="nil"/>
              <w:bottom w:val="dotted" w:color="auto" w:sz="4" w:space="0"/>
              <w:right w:val="dotted" w:color="auto" w:sz="4" w:space="0"/>
            </w:tcBorders>
            <w:shd w:val="clear" w:color="auto" w:fill="auto"/>
            <w:vAlign w:val="center"/>
          </w:tcPr>
          <w:p w14:paraId="021A79B8">
            <w:pPr>
              <w:widowControl/>
              <w:jc w:val="center"/>
              <w:rPr>
                <w:rFonts w:ascii="仿宋" w:hAnsi="仿宋" w:eastAsia="仿宋" w:cs="Times New Roman"/>
                <w:color w:val="000000"/>
                <w:kern w:val="0"/>
                <w:sz w:val="24"/>
                <w:szCs w:val="24"/>
              </w:rPr>
            </w:pPr>
            <w:r>
              <w:rPr>
                <w:rFonts w:hint="eastAsia" w:ascii="仿宋" w:hAnsi="仿宋" w:eastAsia="仿宋" w:cs="Arial"/>
                <w:sz w:val="24"/>
                <w:szCs w:val="24"/>
              </w:rPr>
              <w:t>10.57</w:t>
            </w:r>
          </w:p>
        </w:tc>
        <w:tc>
          <w:tcPr>
            <w:tcW w:w="1429" w:type="dxa"/>
            <w:tcBorders>
              <w:top w:val="nil"/>
              <w:left w:val="nil"/>
              <w:bottom w:val="dotted" w:color="auto" w:sz="4" w:space="0"/>
              <w:right w:val="nil"/>
            </w:tcBorders>
            <w:shd w:val="clear" w:color="auto" w:fill="auto"/>
            <w:vAlign w:val="center"/>
          </w:tcPr>
          <w:p w14:paraId="2988BFB4">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68.55%</w:t>
            </w:r>
          </w:p>
        </w:tc>
      </w:tr>
      <w:tr w14:paraId="0122F970">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02B538DD">
            <w:pPr>
              <w:widowControl/>
              <w:jc w:val="left"/>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文化事业建设发展专项-宣传思想工作平台建设</w:t>
            </w:r>
          </w:p>
        </w:tc>
        <w:tc>
          <w:tcPr>
            <w:tcW w:w="1842" w:type="dxa"/>
            <w:tcBorders>
              <w:top w:val="nil"/>
              <w:left w:val="nil"/>
              <w:bottom w:val="dotted" w:color="auto" w:sz="4" w:space="0"/>
              <w:right w:val="dotted" w:color="auto" w:sz="4" w:space="0"/>
            </w:tcBorders>
            <w:shd w:val="clear" w:color="auto" w:fill="auto"/>
            <w:vAlign w:val="center"/>
          </w:tcPr>
          <w:p w14:paraId="06EFF030">
            <w:pPr>
              <w:widowControl/>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r>
              <w:rPr>
                <w:rFonts w:ascii="仿宋" w:hAnsi="仿宋" w:eastAsia="仿宋" w:cs="Times New Roman"/>
                <w:color w:val="000000"/>
                <w:kern w:val="0"/>
                <w:sz w:val="24"/>
                <w:szCs w:val="24"/>
              </w:rPr>
              <w:t>0</w:t>
            </w:r>
          </w:p>
        </w:tc>
        <w:tc>
          <w:tcPr>
            <w:tcW w:w="1701" w:type="dxa"/>
            <w:tcBorders>
              <w:top w:val="nil"/>
              <w:left w:val="nil"/>
              <w:bottom w:val="dotted" w:color="auto" w:sz="4" w:space="0"/>
              <w:right w:val="dotted" w:color="auto" w:sz="4" w:space="0"/>
            </w:tcBorders>
            <w:shd w:val="clear" w:color="auto" w:fill="auto"/>
            <w:vAlign w:val="center"/>
          </w:tcPr>
          <w:p w14:paraId="03F5B593">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30</w:t>
            </w:r>
          </w:p>
        </w:tc>
        <w:tc>
          <w:tcPr>
            <w:tcW w:w="1429" w:type="dxa"/>
            <w:tcBorders>
              <w:top w:val="nil"/>
              <w:left w:val="nil"/>
              <w:bottom w:val="dotted" w:color="auto" w:sz="4" w:space="0"/>
              <w:right w:val="nil"/>
            </w:tcBorders>
            <w:shd w:val="clear" w:color="auto" w:fill="auto"/>
            <w:vAlign w:val="center"/>
          </w:tcPr>
          <w:p w14:paraId="54134AAC">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100%</w:t>
            </w:r>
          </w:p>
        </w:tc>
      </w:tr>
      <w:tr w14:paraId="5B01F0EE">
        <w:tblPrEx>
          <w:tblCellMar>
            <w:top w:w="0" w:type="dxa"/>
            <w:left w:w="108" w:type="dxa"/>
            <w:bottom w:w="0" w:type="dxa"/>
            <w:right w:w="108" w:type="dxa"/>
          </w:tblCellMar>
        </w:tblPrEx>
        <w:trPr>
          <w:trHeight w:val="417" w:hRule="atLeast"/>
        </w:trPr>
        <w:tc>
          <w:tcPr>
            <w:tcW w:w="3828" w:type="dxa"/>
            <w:tcBorders>
              <w:top w:val="nil"/>
              <w:left w:val="nil"/>
              <w:bottom w:val="double" w:color="auto" w:sz="6" w:space="0"/>
              <w:right w:val="dotted" w:color="auto" w:sz="4" w:space="0"/>
            </w:tcBorders>
            <w:shd w:val="clear" w:color="auto" w:fill="auto"/>
            <w:vAlign w:val="center"/>
          </w:tcPr>
          <w:p w14:paraId="2EF3970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 xml:space="preserve"> 合    计 </w:t>
            </w:r>
          </w:p>
        </w:tc>
        <w:tc>
          <w:tcPr>
            <w:tcW w:w="1842" w:type="dxa"/>
            <w:tcBorders>
              <w:top w:val="nil"/>
              <w:left w:val="nil"/>
              <w:bottom w:val="double" w:color="auto" w:sz="6" w:space="0"/>
              <w:right w:val="dotted" w:color="auto" w:sz="4" w:space="0"/>
            </w:tcBorders>
            <w:shd w:val="clear" w:color="auto" w:fill="auto"/>
            <w:vAlign w:val="center"/>
          </w:tcPr>
          <w:p w14:paraId="7E09DCBE">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251.88</w:t>
            </w:r>
          </w:p>
        </w:tc>
        <w:tc>
          <w:tcPr>
            <w:tcW w:w="1701" w:type="dxa"/>
            <w:tcBorders>
              <w:top w:val="nil"/>
              <w:left w:val="nil"/>
              <w:bottom w:val="double" w:color="auto" w:sz="6" w:space="0"/>
              <w:right w:val="dotted" w:color="auto" w:sz="4" w:space="0"/>
            </w:tcBorders>
            <w:shd w:val="clear" w:color="auto" w:fill="auto"/>
            <w:vAlign w:val="center"/>
          </w:tcPr>
          <w:p w14:paraId="7001D68C">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238.10</w:t>
            </w:r>
          </w:p>
        </w:tc>
        <w:tc>
          <w:tcPr>
            <w:tcW w:w="1429" w:type="dxa"/>
            <w:tcBorders>
              <w:top w:val="nil"/>
              <w:left w:val="nil"/>
              <w:bottom w:val="double" w:color="auto" w:sz="6" w:space="0"/>
              <w:right w:val="nil"/>
            </w:tcBorders>
            <w:shd w:val="clear" w:color="auto" w:fill="auto"/>
            <w:vAlign w:val="center"/>
          </w:tcPr>
          <w:p w14:paraId="34F50D40">
            <w:pPr>
              <w:widowControl/>
              <w:jc w:val="center"/>
              <w:rPr>
                <w:rFonts w:ascii="Times New Roman" w:hAnsi="Times New Roman" w:eastAsia="仿宋" w:cs="Times New Roman"/>
                <w:b/>
                <w:bCs/>
                <w:color w:val="000000"/>
                <w:kern w:val="0"/>
                <w:sz w:val="24"/>
                <w:szCs w:val="24"/>
              </w:rPr>
            </w:pPr>
            <w:r>
              <w:rPr>
                <w:rFonts w:hint="eastAsia" w:ascii="Times New Roman" w:hAnsi="Times New Roman" w:eastAsia="仿宋" w:cs="Times New Roman"/>
                <w:b/>
                <w:bCs/>
                <w:color w:val="000000"/>
                <w:kern w:val="0"/>
                <w:sz w:val="24"/>
                <w:szCs w:val="24"/>
              </w:rPr>
              <w:t>9</w:t>
            </w:r>
            <w:r>
              <w:rPr>
                <w:rFonts w:ascii="Times New Roman" w:hAnsi="Times New Roman" w:eastAsia="仿宋" w:cs="Times New Roman"/>
                <w:b/>
                <w:bCs/>
                <w:color w:val="000000"/>
                <w:kern w:val="0"/>
                <w:sz w:val="24"/>
                <w:szCs w:val="24"/>
              </w:rPr>
              <w:t>4.53%</w:t>
            </w:r>
          </w:p>
        </w:tc>
      </w:tr>
    </w:tbl>
    <w:p w14:paraId="2A1EAA83">
      <w:pPr>
        <w:spacing w:line="600" w:lineRule="exact"/>
        <w:ind w:left="701" w:leftChars="334"/>
        <w:rPr>
          <w:rFonts w:ascii="Times New Roman" w:hAnsi="Times New Roman" w:eastAsia="仿宋" w:cs="Times New Roman"/>
          <w:sz w:val="32"/>
          <w:szCs w:val="32"/>
        </w:rPr>
      </w:pPr>
      <w:r>
        <w:rPr>
          <w:rFonts w:ascii="Times New Roman" w:hAnsi="Times New Roman" w:eastAsia="仿宋" w:cs="Times New Roman"/>
          <w:sz w:val="32"/>
          <w:szCs w:val="32"/>
        </w:rPr>
        <w:t>3．项</w:t>
      </w:r>
      <w:r>
        <w:rPr>
          <w:rFonts w:hint="eastAsia" w:ascii="Times New Roman" w:hAnsi="Times New Roman" w:eastAsia="仿宋" w:cs="Times New Roman"/>
          <w:sz w:val="32"/>
          <w:szCs w:val="32"/>
        </w:rPr>
        <w:t>目</w:t>
      </w:r>
      <w:r>
        <w:rPr>
          <w:rFonts w:ascii="Times New Roman" w:hAnsi="Times New Roman" w:eastAsia="仿宋" w:cs="Times New Roman"/>
          <w:sz w:val="32"/>
          <w:szCs w:val="32"/>
        </w:rPr>
        <w:t>资金管理情况分析</w:t>
      </w:r>
    </w:p>
    <w:bookmarkEnd w:id="1"/>
    <w:p w14:paraId="109AAEFB">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为了进一步加强财务管理，健全财务制度，严肃财经纪律，提高资金使用效益，保障</w:t>
      </w:r>
      <w:r>
        <w:rPr>
          <w:rFonts w:hint="eastAsia" w:ascii="Times New Roman" w:hAnsi="Times New Roman" w:eastAsia="仿宋" w:cs="Times New Roman"/>
          <w:sz w:val="32"/>
          <w:szCs w:val="32"/>
        </w:rPr>
        <w:t>我室</w:t>
      </w:r>
      <w:r>
        <w:rPr>
          <w:rFonts w:ascii="Times New Roman" w:hAnsi="Times New Roman" w:eastAsia="仿宋" w:cs="Times New Roman"/>
          <w:sz w:val="32"/>
          <w:szCs w:val="32"/>
        </w:rPr>
        <w:t>工作正常有序运转，</w:t>
      </w:r>
      <w:r>
        <w:rPr>
          <w:rFonts w:hint="eastAsia" w:ascii="Times New Roman" w:hAnsi="Times New Roman" w:eastAsia="仿宋" w:cs="Times New Roman"/>
          <w:sz w:val="32"/>
          <w:szCs w:val="32"/>
        </w:rPr>
        <w:t>我室建立了《内部控制管理手册》。</w:t>
      </w:r>
      <w:bookmarkStart w:id="2" w:name="_Hlk132053968"/>
      <w:r>
        <w:rPr>
          <w:rFonts w:hint="eastAsia" w:ascii="Times New Roman" w:hAnsi="Times New Roman" w:eastAsia="仿宋" w:cs="Times New Roman"/>
          <w:sz w:val="32"/>
          <w:szCs w:val="32"/>
        </w:rPr>
        <w:t>严格按照专项资金管理制度及支出业务流程等要求办理资金支付，切实做到</w:t>
      </w:r>
      <w:r>
        <w:rPr>
          <w:rFonts w:ascii="Times New Roman" w:hAnsi="Times New Roman" w:eastAsia="仿宋" w:cs="Times New Roman"/>
          <w:sz w:val="32"/>
          <w:szCs w:val="32"/>
        </w:rPr>
        <w:t>专款专用。</w:t>
      </w:r>
      <w:bookmarkEnd w:id="2"/>
      <w:r>
        <w:rPr>
          <w:rFonts w:hint="eastAsia" w:ascii="Times New Roman" w:hAnsi="Times New Roman" w:eastAsia="仿宋" w:cs="Times New Roman"/>
          <w:sz w:val="32"/>
          <w:szCs w:val="32"/>
        </w:rPr>
        <w:t>相关处室对照项目支出核心绩效和指标设置指引，在项目实施前设置了项目绩效目标，在项目实施过程中严格以绩效目标为导向落实各项目标完成情况。</w:t>
      </w:r>
    </w:p>
    <w:p w14:paraId="48DF6058">
      <w:pPr>
        <w:spacing w:line="60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三、部门项</w:t>
      </w:r>
      <w:r>
        <w:rPr>
          <w:rFonts w:hint="eastAsia" w:ascii="Times New Roman" w:hAnsi="Times New Roman" w:eastAsia="黑体" w:cs="Times New Roman"/>
          <w:sz w:val="32"/>
          <w:szCs w:val="32"/>
        </w:rPr>
        <w:t>目</w:t>
      </w:r>
      <w:r>
        <w:rPr>
          <w:rFonts w:ascii="Times New Roman" w:hAnsi="Times New Roman" w:eastAsia="黑体" w:cs="Times New Roman"/>
          <w:sz w:val="32"/>
          <w:szCs w:val="32"/>
        </w:rPr>
        <w:t xml:space="preserve">组织实施情况 </w:t>
      </w:r>
    </w:p>
    <w:p w14:paraId="0C69BC72">
      <w:pPr>
        <w:spacing w:line="60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（一）项</w:t>
      </w:r>
      <w:r>
        <w:rPr>
          <w:rFonts w:hint="eastAsia" w:ascii="Times New Roman" w:hAnsi="Times New Roman" w:eastAsia="楷体" w:cs="Times New Roman"/>
          <w:sz w:val="32"/>
          <w:szCs w:val="32"/>
        </w:rPr>
        <w:t>目</w:t>
      </w:r>
      <w:r>
        <w:rPr>
          <w:rFonts w:ascii="Times New Roman" w:hAnsi="Times New Roman" w:eastAsia="楷体" w:cs="Times New Roman"/>
          <w:sz w:val="32"/>
          <w:szCs w:val="32"/>
        </w:rPr>
        <w:t>组织情况分析</w:t>
      </w:r>
    </w:p>
    <w:p w14:paraId="21B027A3">
      <w:pPr>
        <w:spacing w:line="600" w:lineRule="exact"/>
        <w:ind w:firstLine="640" w:firstLineChars="200"/>
        <w:rPr>
          <w:rFonts w:ascii="Times New Roman" w:hAnsi="Times New Roman" w:eastAsia="仿宋" w:cs="Times New Roman"/>
          <w:sz w:val="32"/>
          <w:szCs w:val="32"/>
        </w:rPr>
      </w:pPr>
      <w:bookmarkStart w:id="3" w:name="_Hlk132054331"/>
      <w:r>
        <w:rPr>
          <w:rFonts w:hint="eastAsia" w:ascii="Times New Roman" w:hAnsi="Times New Roman" w:eastAsia="仿宋" w:cs="Times New Roman"/>
          <w:sz w:val="32"/>
          <w:szCs w:val="32"/>
        </w:rPr>
        <w:t>对于金额较大的业务专项，按照我室内控要求及项目管理流程要求，进行了事前集体决策、招标、事后验收等工作。</w:t>
      </w:r>
      <w:bookmarkEnd w:id="3"/>
    </w:p>
    <w:p w14:paraId="460EE7FE">
      <w:pPr>
        <w:spacing w:line="600" w:lineRule="exact"/>
        <w:ind w:firstLine="640" w:firstLineChars="200"/>
        <w:rPr>
          <w:rFonts w:ascii="Times New Roman" w:hAnsi="Times New Roman" w:eastAsia="楷体" w:cs="Times New Roman"/>
          <w:sz w:val="32"/>
          <w:szCs w:val="32"/>
          <w:u w:val="single"/>
        </w:rPr>
      </w:pPr>
      <w:r>
        <w:rPr>
          <w:rFonts w:ascii="Times New Roman" w:hAnsi="Times New Roman" w:eastAsia="楷体" w:cs="Times New Roman"/>
          <w:sz w:val="32"/>
          <w:szCs w:val="32"/>
        </w:rPr>
        <w:t>（二）项</w:t>
      </w:r>
      <w:r>
        <w:rPr>
          <w:rFonts w:hint="eastAsia" w:ascii="Times New Roman" w:hAnsi="Times New Roman" w:eastAsia="楷体" w:cs="Times New Roman"/>
          <w:sz w:val="32"/>
          <w:szCs w:val="32"/>
        </w:rPr>
        <w:t>目</w:t>
      </w:r>
      <w:r>
        <w:rPr>
          <w:rFonts w:ascii="Times New Roman" w:hAnsi="Times New Roman" w:eastAsia="楷体" w:cs="Times New Roman"/>
          <w:sz w:val="32"/>
          <w:szCs w:val="32"/>
        </w:rPr>
        <w:t>管理情况分析</w:t>
      </w:r>
    </w:p>
    <w:p w14:paraId="2140A57F">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 根据我室《采购管理规定》，在项目实施过程中，由相关业务处室按照政府采购的相关规定实行公示制、招标投标制、合同管理制、廉政监督制等，秘书处负责资金管理，严格按合同约定支付进度款项并进行相应账务处理。</w:t>
      </w:r>
    </w:p>
    <w:p w14:paraId="1DF9B1EB">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2. </w:t>
      </w:r>
      <w:bookmarkStart w:id="4" w:name="_Hlk131626529"/>
      <w:r>
        <w:rPr>
          <w:rFonts w:hint="eastAsia" w:ascii="Times New Roman" w:hAnsi="Times New Roman" w:eastAsia="仿宋" w:cs="Times New Roman"/>
          <w:sz w:val="32"/>
          <w:szCs w:val="32"/>
        </w:rPr>
        <w:t>机关党总支是我室内部控制监督管理归口部门，行使内部控制监督职能。在项目实施立项、招标、验收等过程中，机关党总支有效履行了监督职责。</w:t>
      </w:r>
      <w:bookmarkEnd w:id="4"/>
    </w:p>
    <w:p w14:paraId="7E221D38">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四、资产管理情况</w:t>
      </w:r>
    </w:p>
    <w:p w14:paraId="054B3395">
      <w:pPr>
        <w:spacing w:line="600" w:lineRule="exact"/>
        <w:ind w:firstLine="640" w:firstLineChars="200"/>
        <w:rPr>
          <w:rFonts w:ascii="Times New Roman" w:hAnsi="Times New Roman" w:eastAsia="仿宋" w:cs="Times New Roman"/>
          <w:color w:val="FF0000"/>
          <w:sz w:val="32"/>
          <w:szCs w:val="32"/>
        </w:rPr>
      </w:pPr>
      <w:bookmarkStart w:id="5" w:name="_Hlk131626662"/>
      <w:r>
        <w:rPr>
          <w:rFonts w:hint="eastAsia" w:ascii="Times New Roman" w:hAnsi="Times New Roman" w:eastAsia="仿宋" w:cs="Times New Roman"/>
          <w:sz w:val="32"/>
          <w:szCs w:val="32"/>
        </w:rPr>
        <w:t>根据市财政局相关文件要求，我室修订完善了</w:t>
      </w:r>
      <w:r>
        <w:rPr>
          <w:rFonts w:ascii="Times New Roman" w:hAnsi="Times New Roman" w:eastAsia="仿宋" w:cs="Times New Roman"/>
          <w:sz w:val="32"/>
          <w:szCs w:val="32"/>
        </w:rPr>
        <w:t>资产管理制度</w:t>
      </w:r>
      <w:r>
        <w:rPr>
          <w:rFonts w:hint="eastAsia" w:ascii="Times New Roman" w:hAnsi="Times New Roman" w:eastAsia="仿宋" w:cs="Times New Roman"/>
          <w:sz w:val="32"/>
          <w:szCs w:val="32"/>
        </w:rPr>
        <w:t>及资产验收、盘点、处置等业务处理流程</w:t>
      </w:r>
      <w:r>
        <w:rPr>
          <w:rFonts w:ascii="Times New Roman" w:hAnsi="Times New Roman" w:eastAsia="仿宋" w:cs="Times New Roman"/>
          <w:sz w:val="32"/>
          <w:szCs w:val="32"/>
        </w:rPr>
        <w:t>。</w:t>
      </w:r>
      <w:bookmarkEnd w:id="5"/>
      <w:r>
        <w:rPr>
          <w:rFonts w:hint="eastAsia" w:ascii="Times New Roman" w:hAnsi="Times New Roman" w:eastAsia="仿宋" w:cs="Times New Roman"/>
          <w:sz w:val="32"/>
          <w:szCs w:val="32"/>
        </w:rPr>
        <w:t>秘书处设立了资产管理员岗位</w:t>
      </w:r>
      <w:r>
        <w:rPr>
          <w:rFonts w:ascii="Times New Roman" w:hAnsi="Times New Roman" w:eastAsia="仿宋" w:cs="Times New Roman"/>
          <w:sz w:val="32"/>
          <w:szCs w:val="32"/>
        </w:rPr>
        <w:t>，</w:t>
      </w:r>
      <w:r>
        <w:rPr>
          <w:rFonts w:hint="eastAsia" w:ascii="Times New Roman" w:hAnsi="Times New Roman" w:eastAsia="仿宋" w:cs="Times New Roman"/>
          <w:sz w:val="32"/>
          <w:szCs w:val="32"/>
        </w:rPr>
        <w:t>年度</w:t>
      </w:r>
      <w:r>
        <w:rPr>
          <w:rFonts w:ascii="Times New Roman" w:hAnsi="Times New Roman" w:eastAsia="仿宋" w:cs="Times New Roman"/>
          <w:sz w:val="32"/>
          <w:szCs w:val="32"/>
        </w:rPr>
        <w:t>资产配置计划</w:t>
      </w:r>
      <w:r>
        <w:rPr>
          <w:rFonts w:hint="eastAsia" w:ascii="Times New Roman" w:hAnsi="Times New Roman" w:eastAsia="仿宋" w:cs="Times New Roman"/>
          <w:sz w:val="32"/>
          <w:szCs w:val="32"/>
        </w:rPr>
        <w:t>申报</w:t>
      </w:r>
      <w:r>
        <w:rPr>
          <w:rFonts w:ascii="Times New Roman" w:hAnsi="Times New Roman" w:eastAsia="仿宋" w:cs="Times New Roman"/>
          <w:sz w:val="32"/>
          <w:szCs w:val="32"/>
        </w:rPr>
        <w:t>、</w:t>
      </w:r>
      <w:r>
        <w:rPr>
          <w:rFonts w:hint="eastAsia" w:ascii="Times New Roman" w:hAnsi="Times New Roman" w:eastAsia="仿宋" w:cs="Times New Roman"/>
          <w:sz w:val="32"/>
          <w:szCs w:val="32"/>
        </w:rPr>
        <w:t>资产</w:t>
      </w:r>
      <w:r>
        <w:rPr>
          <w:rFonts w:ascii="Times New Roman" w:hAnsi="Times New Roman" w:eastAsia="仿宋" w:cs="Times New Roman"/>
          <w:sz w:val="32"/>
          <w:szCs w:val="32"/>
        </w:rPr>
        <w:t>报废处置</w:t>
      </w:r>
      <w:r>
        <w:rPr>
          <w:rFonts w:hint="eastAsia" w:ascii="Times New Roman" w:hAnsi="Times New Roman" w:eastAsia="仿宋" w:cs="Times New Roman"/>
          <w:sz w:val="32"/>
          <w:szCs w:val="32"/>
        </w:rPr>
        <w:t>、资产的采购及维护由秘书处负责。</w:t>
      </w:r>
      <w:bookmarkStart w:id="6" w:name="_Hlk131627138"/>
      <w:r>
        <w:rPr>
          <w:rFonts w:hint="eastAsia" w:ascii="Times New Roman" w:hAnsi="Times New Roman" w:eastAsia="仿宋" w:cs="Times New Roman"/>
          <w:sz w:val="32"/>
          <w:szCs w:val="32"/>
        </w:rPr>
        <w:t>截止2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年1</w:t>
      </w:r>
      <w:r>
        <w:rPr>
          <w:rFonts w:ascii="Times New Roman" w:hAnsi="Times New Roman" w:eastAsia="仿宋" w:cs="Times New Roman"/>
          <w:sz w:val="32"/>
          <w:szCs w:val="32"/>
        </w:rPr>
        <w:t>2</w:t>
      </w:r>
      <w:r>
        <w:rPr>
          <w:rFonts w:hint="eastAsia" w:ascii="Times New Roman" w:hAnsi="Times New Roman" w:eastAsia="仿宋" w:cs="Times New Roman"/>
          <w:sz w:val="32"/>
          <w:szCs w:val="32"/>
        </w:rPr>
        <w:t>月3</w:t>
      </w:r>
      <w:r>
        <w:rPr>
          <w:rFonts w:ascii="Times New Roman" w:hAnsi="Times New Roman" w:eastAsia="仿宋" w:cs="Times New Roman"/>
          <w:sz w:val="32"/>
          <w:szCs w:val="32"/>
        </w:rPr>
        <w:t>1</w:t>
      </w:r>
      <w:r>
        <w:rPr>
          <w:rFonts w:hint="eastAsia" w:ascii="Times New Roman" w:hAnsi="Times New Roman" w:eastAsia="仿宋" w:cs="Times New Roman"/>
          <w:sz w:val="32"/>
          <w:szCs w:val="32"/>
        </w:rPr>
        <w:t>日，资产总额1</w:t>
      </w:r>
      <w:r>
        <w:rPr>
          <w:rFonts w:ascii="Times New Roman" w:hAnsi="Times New Roman" w:eastAsia="仿宋" w:cs="Times New Roman"/>
          <w:sz w:val="32"/>
          <w:szCs w:val="32"/>
        </w:rPr>
        <w:t>,</w:t>
      </w:r>
      <w:r>
        <w:rPr>
          <w:rFonts w:hint="eastAsia" w:ascii="Times New Roman" w:hAnsi="Times New Roman" w:eastAsia="仿宋" w:cs="Times New Roman"/>
          <w:sz w:val="32"/>
          <w:szCs w:val="32"/>
        </w:rPr>
        <w:t>937.15</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万元，</w:t>
      </w:r>
      <w:r>
        <w:rPr>
          <w:rFonts w:ascii="Times New Roman" w:hAnsi="Times New Roman" w:eastAsia="仿宋" w:cs="Times New Roman"/>
          <w:sz w:val="32"/>
          <w:szCs w:val="32"/>
        </w:rPr>
        <w:t>其中：流动资</w:t>
      </w:r>
      <w:r>
        <w:rPr>
          <w:rFonts w:hint="eastAsia" w:ascii="Times New Roman" w:hAnsi="Times New Roman" w:eastAsia="仿宋" w:cs="Times New Roman"/>
          <w:sz w:val="32"/>
          <w:szCs w:val="32"/>
        </w:rPr>
        <w:t>产0</w:t>
      </w:r>
      <w:r>
        <w:rPr>
          <w:rFonts w:ascii="Times New Roman" w:hAnsi="Times New Roman" w:eastAsia="仿宋" w:cs="Times New Roman"/>
          <w:sz w:val="32"/>
          <w:szCs w:val="32"/>
        </w:rPr>
        <w:t>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固定资产83.75万元、</w:t>
      </w:r>
      <w:r>
        <w:rPr>
          <w:rFonts w:hint="eastAsia" w:ascii="Times New Roman" w:hAnsi="Times New Roman" w:eastAsia="仿宋" w:cs="Times New Roman"/>
          <w:sz w:val="32"/>
          <w:szCs w:val="32"/>
        </w:rPr>
        <w:t>在建工程1</w:t>
      </w:r>
      <w:r>
        <w:rPr>
          <w:rFonts w:ascii="Times New Roman" w:hAnsi="Times New Roman" w:eastAsia="仿宋" w:cs="Times New Roman"/>
          <w:sz w:val="32"/>
          <w:szCs w:val="32"/>
        </w:rPr>
        <w:t>,</w:t>
      </w:r>
      <w:r>
        <w:rPr>
          <w:rFonts w:hint="eastAsia" w:ascii="Times New Roman" w:hAnsi="Times New Roman" w:eastAsia="仿宋" w:cs="Times New Roman"/>
          <w:sz w:val="32"/>
          <w:szCs w:val="32"/>
        </w:rPr>
        <w:t>835.65万元、</w:t>
      </w:r>
      <w:r>
        <w:rPr>
          <w:rFonts w:ascii="Times New Roman" w:hAnsi="Times New Roman" w:eastAsia="仿宋" w:cs="Times New Roman"/>
          <w:sz w:val="32"/>
          <w:szCs w:val="32"/>
        </w:rPr>
        <w:t>无形资产8.01万元</w:t>
      </w:r>
      <w:r>
        <w:rPr>
          <w:rFonts w:hint="eastAsia" w:ascii="Times New Roman" w:hAnsi="Times New Roman" w:eastAsia="仿宋" w:cs="Times New Roman"/>
          <w:sz w:val="32"/>
          <w:szCs w:val="32"/>
        </w:rPr>
        <w:t>，文物文化资产9.74万元。2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年度新增资产103台套计22.17万元，其中：固定资产16.98</w:t>
      </w:r>
      <w:r>
        <w:rPr>
          <w:rFonts w:hint="eastAsia" w:ascii="Times New Roman" w:hAnsi="Times New Roman" w:eastAsia="仿宋" w:cs="Times New Roman"/>
          <w:color w:val="auto"/>
          <w:sz w:val="32"/>
          <w:szCs w:val="32"/>
        </w:rPr>
        <w:t>万元、无形资产5.19</w:t>
      </w:r>
      <w:r>
        <w:rPr>
          <w:rFonts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rPr>
        <w:t>万元；</w:t>
      </w:r>
      <w:r>
        <w:rPr>
          <w:rFonts w:ascii="Times New Roman" w:hAnsi="Times New Roman" w:eastAsia="仿宋" w:cs="Times New Roman"/>
          <w:color w:val="auto"/>
          <w:sz w:val="32"/>
          <w:szCs w:val="32"/>
        </w:rPr>
        <w:t>2022</w:t>
      </w:r>
      <w:r>
        <w:rPr>
          <w:rFonts w:hint="eastAsia" w:ascii="Times New Roman" w:hAnsi="Times New Roman" w:eastAsia="仿宋" w:cs="Times New Roman"/>
          <w:color w:val="auto"/>
          <w:sz w:val="32"/>
          <w:szCs w:val="32"/>
        </w:rPr>
        <w:t>年度资产处置252台套计1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170.67万元，符合长沙市资产处置（调拨）审批</w:t>
      </w:r>
      <w:r>
        <w:rPr>
          <w:rFonts w:hint="eastAsia" w:ascii="Times New Roman" w:hAnsi="Times New Roman" w:eastAsia="仿宋" w:cs="Times New Roman"/>
          <w:sz w:val="32"/>
          <w:szCs w:val="32"/>
        </w:rPr>
        <w:t>权限的相关规定。</w:t>
      </w:r>
      <w:bookmarkEnd w:id="6"/>
    </w:p>
    <w:p w14:paraId="1A46B4BA">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Times New Roman"/>
          <w:sz w:val="32"/>
          <w:szCs w:val="32"/>
        </w:rPr>
        <w:t>政府性基金预算</w:t>
      </w:r>
      <w:r>
        <w:rPr>
          <w:rFonts w:ascii="Times New Roman" w:hAnsi="Times New Roman" w:eastAsia="黑体" w:cs="Times New Roman"/>
          <w:sz w:val="32"/>
          <w:szCs w:val="32"/>
        </w:rPr>
        <w:t>支出情况</w:t>
      </w:r>
    </w:p>
    <w:p w14:paraId="293A6A23">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无</w:t>
      </w:r>
    </w:p>
    <w:p w14:paraId="169079FD">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国有资本经营预算支出</w:t>
      </w:r>
      <w:r>
        <w:rPr>
          <w:rFonts w:ascii="Times New Roman" w:hAnsi="Times New Roman" w:eastAsia="黑体" w:cs="Times New Roman"/>
          <w:sz w:val="32"/>
          <w:szCs w:val="32"/>
        </w:rPr>
        <w:t>情况</w:t>
      </w:r>
    </w:p>
    <w:p w14:paraId="532B27A6">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无</w:t>
      </w:r>
    </w:p>
    <w:p w14:paraId="31F5EF39">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w:t>
      </w:r>
      <w:r>
        <w:rPr>
          <w:rFonts w:hint="eastAsia" w:ascii="Times New Roman" w:hAnsi="Times New Roman" w:eastAsia="黑体" w:cs="Times New Roman"/>
          <w:sz w:val="32"/>
          <w:szCs w:val="32"/>
        </w:rPr>
        <w:t>社会保险基金预算支出</w:t>
      </w:r>
      <w:r>
        <w:rPr>
          <w:rFonts w:ascii="Times New Roman" w:hAnsi="Times New Roman" w:eastAsia="黑体" w:cs="Times New Roman"/>
          <w:sz w:val="32"/>
          <w:szCs w:val="32"/>
        </w:rPr>
        <w:t>情况</w:t>
      </w:r>
    </w:p>
    <w:p w14:paraId="6B727E2F">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无</w:t>
      </w:r>
    </w:p>
    <w:p w14:paraId="65CFF90F">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、部门整体支出绩效情况</w:t>
      </w:r>
    </w:p>
    <w:p w14:paraId="1BF1A776">
      <w:pPr>
        <w:spacing w:line="600" w:lineRule="exact"/>
        <w:ind w:firstLine="640" w:firstLineChars="200"/>
        <w:rPr>
          <w:rFonts w:ascii="Times New Roman" w:hAnsi="Times New Roman" w:eastAsia="仿宋" w:cs="Times New Roman"/>
          <w:sz w:val="32"/>
          <w:szCs w:val="32"/>
        </w:rPr>
      </w:pPr>
      <w:bookmarkStart w:id="7" w:name="_Hlk131627312"/>
      <w:r>
        <w:rPr>
          <w:rFonts w:hint="eastAsia" w:ascii="Times New Roman" w:hAnsi="Times New Roman" w:eastAsia="仿宋" w:cs="Times New Roman"/>
          <w:sz w:val="32"/>
          <w:szCs w:val="32"/>
        </w:rPr>
        <w:t>根据</w:t>
      </w:r>
      <w:r>
        <w:rPr>
          <w:rFonts w:ascii="Times New Roman" w:hAnsi="Times New Roman" w:eastAsia="仿宋" w:cs="Times New Roman"/>
          <w:sz w:val="32"/>
          <w:szCs w:val="32"/>
        </w:rPr>
        <w:t>预算绩效目标管理</w:t>
      </w:r>
      <w:r>
        <w:rPr>
          <w:rFonts w:hint="eastAsia" w:ascii="Times New Roman" w:hAnsi="Times New Roman" w:eastAsia="仿宋" w:cs="Times New Roman"/>
          <w:sz w:val="32"/>
          <w:szCs w:val="32"/>
        </w:rPr>
        <w:t>的工作要求，结合我室职能职责，我们设置了2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年度部门整体支出绩效目标。</w:t>
      </w:r>
      <w:bookmarkStart w:id="8" w:name="_Hlk131627660"/>
      <w:r>
        <w:rPr>
          <w:rFonts w:hint="eastAsia" w:ascii="Times New Roman" w:hAnsi="Times New Roman" w:eastAsia="仿宋" w:cs="Times New Roman"/>
          <w:sz w:val="32"/>
          <w:szCs w:val="32"/>
        </w:rPr>
        <w:t>根据市直预算单位绩效自评工作的要求，我室在2</w:t>
      </w:r>
      <w:r>
        <w:rPr>
          <w:rFonts w:ascii="Times New Roman" w:hAnsi="Times New Roman" w:eastAsia="仿宋" w:cs="Times New Roman"/>
          <w:sz w:val="32"/>
          <w:szCs w:val="32"/>
        </w:rPr>
        <w:t>023</w:t>
      </w:r>
      <w:r>
        <w:rPr>
          <w:rFonts w:hint="eastAsia" w:ascii="Times New Roman" w:hAnsi="Times New Roman" w:eastAsia="仿宋" w:cs="Times New Roman"/>
          <w:sz w:val="32"/>
          <w:szCs w:val="32"/>
        </w:rPr>
        <w:t>年3月22日成立了绩效自评工作小组，绩效自评工作小组从预算执行率、产出、效益、服务对象满意度等方面对202</w:t>
      </w:r>
      <w:r>
        <w:rPr>
          <w:rFonts w:ascii="Times New Roman" w:hAnsi="Times New Roman" w:eastAsia="仿宋" w:cs="Times New Roman"/>
          <w:sz w:val="32"/>
          <w:szCs w:val="32"/>
        </w:rPr>
        <w:t>2</w:t>
      </w:r>
      <w:r>
        <w:rPr>
          <w:rFonts w:hint="eastAsia" w:ascii="Times New Roman" w:hAnsi="Times New Roman" w:eastAsia="仿宋" w:cs="Times New Roman"/>
          <w:sz w:val="32"/>
          <w:szCs w:val="32"/>
        </w:rPr>
        <w:t>年度部门整体支出情况进行了绩效自评，自评得分9</w:t>
      </w:r>
      <w:r>
        <w:rPr>
          <w:rFonts w:ascii="Times New Roman" w:hAnsi="Times New Roman" w:eastAsia="仿宋" w:cs="Times New Roman"/>
          <w:sz w:val="32"/>
          <w:szCs w:val="32"/>
        </w:rPr>
        <w:t>5.6</w:t>
      </w:r>
      <w:r>
        <w:rPr>
          <w:rFonts w:hint="eastAsia" w:ascii="Times New Roman" w:hAnsi="Times New Roman" w:eastAsia="仿宋" w:cs="Times New Roman"/>
          <w:sz w:val="32"/>
          <w:szCs w:val="32"/>
        </w:rPr>
        <w:t>分，绩效评价等级为优。</w:t>
      </w:r>
      <w:bookmarkEnd w:id="8"/>
    </w:p>
    <w:bookmarkEnd w:id="7"/>
    <w:p w14:paraId="025361B1">
      <w:pPr>
        <w:adjustRightInd w:val="0"/>
        <w:spacing w:line="560" w:lineRule="exact"/>
        <w:ind w:firstLine="640" w:firstLineChars="200"/>
        <w:jc w:val="left"/>
        <w:rPr>
          <w:rFonts w:ascii="Times New Roman" w:hAnsi="Times New Roman" w:eastAsia="黑体" w:cs="黑体"/>
          <w:color w:val="000000"/>
          <w:sz w:val="32"/>
          <w:szCs w:val="32"/>
        </w:rPr>
      </w:pPr>
      <w:bookmarkStart w:id="9" w:name="_Hlk131627397"/>
      <w:r>
        <w:rPr>
          <w:rFonts w:hint="eastAsia" w:ascii="Times New Roman" w:hAnsi="Times New Roman" w:eastAsia="仿宋" w:cs="Times New Roman"/>
          <w:sz w:val="32"/>
          <w:szCs w:val="32"/>
        </w:rPr>
        <w:t>202</w:t>
      </w:r>
      <w:r>
        <w:rPr>
          <w:rFonts w:ascii="Times New Roman" w:hAnsi="Times New Roman" w:eastAsia="仿宋" w:cs="Times New Roman"/>
          <w:sz w:val="32"/>
          <w:szCs w:val="32"/>
        </w:rPr>
        <w:t>2</w:t>
      </w:r>
      <w:r>
        <w:rPr>
          <w:rFonts w:hint="eastAsia" w:ascii="Times New Roman" w:hAnsi="Times New Roman" w:eastAsia="仿宋" w:cs="Times New Roman"/>
          <w:sz w:val="32"/>
          <w:szCs w:val="32"/>
        </w:rPr>
        <w:t>年度，我室干部职工履职尽责，对照年初设置的各项绩效指标，落实了各项工作任务</w:t>
      </w:r>
      <w:bookmarkEnd w:id="9"/>
      <w:r>
        <w:rPr>
          <w:rFonts w:hint="eastAsia" w:ascii="Times New Roman" w:hAnsi="Times New Roman" w:eastAsia="仿宋" w:cs="Times New Roman"/>
          <w:sz w:val="32"/>
          <w:szCs w:val="32"/>
        </w:rPr>
        <w:t>。坚持以习近平新时代中国特色社会主义思想为指导，深入贯彻习近平总书记关于党的历史及党史学习教育重要论述精神，紧紧围绕“迎接党的二十大胜利召开和学习宣传贯彻党的二十大精神”工作主线，突出落实了中央和省委、市委关于推动党史学习教育常态化长效化的部署要求；坚持围绕中心、服务大局；坚持以史鉴今、资政育人，不断提高工作效能；坚持</w:t>
      </w:r>
      <w:r>
        <w:rPr>
          <w:rFonts w:ascii="Times New Roman" w:hAnsi="Times New Roman" w:eastAsia="仿宋" w:cs="Times New Roman"/>
          <w:sz w:val="32"/>
          <w:szCs w:val="32"/>
        </w:rPr>
        <w:t>多措并举，</w:t>
      </w:r>
      <w:r>
        <w:rPr>
          <w:rFonts w:hint="eastAsia" w:ascii="Times New Roman" w:hAnsi="Times New Roman" w:eastAsia="仿宋" w:cs="Times New Roman"/>
          <w:sz w:val="32"/>
          <w:szCs w:val="32"/>
        </w:rPr>
        <w:t>使</w:t>
      </w:r>
      <w:r>
        <w:rPr>
          <w:rFonts w:ascii="Times New Roman" w:hAnsi="Times New Roman" w:eastAsia="仿宋" w:cs="Times New Roman"/>
          <w:sz w:val="32"/>
          <w:szCs w:val="32"/>
        </w:rPr>
        <w:t>党史学习教育走深走实</w:t>
      </w:r>
      <w:r>
        <w:rPr>
          <w:rFonts w:hint="eastAsia" w:ascii="Times New Roman" w:hAnsi="Times New Roman" w:eastAsia="仿宋" w:cs="Times New Roman"/>
          <w:sz w:val="32"/>
          <w:szCs w:val="32"/>
        </w:rPr>
        <w:t>；坚持挖掘资源，使党史研究有高度有深度；坚持拓展领域，使党史宣传教育有力度有热度。各项工作的有序开展充分发挥了我室部门优势、强化了担当作为，持续推动了新时代长沙党史研究工作高质量发展，以强党史助推强省会。</w:t>
      </w:r>
    </w:p>
    <w:p w14:paraId="5CB23C44">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、存在的主要问题</w:t>
      </w:r>
      <w:r>
        <w:rPr>
          <w:rFonts w:hint="eastAsia" w:ascii="Times New Roman" w:hAnsi="Times New Roman" w:eastAsia="黑体" w:cs="Times New Roman"/>
          <w:sz w:val="32"/>
          <w:szCs w:val="32"/>
        </w:rPr>
        <w:t>及原因分析</w:t>
      </w:r>
    </w:p>
    <w:p w14:paraId="0D7D73B4">
      <w:pPr>
        <w:spacing w:line="60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（一）个别项目未能按进度完成</w:t>
      </w:r>
    </w:p>
    <w:p w14:paraId="00444467">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由于新冠疫情原因，个别项目存在未</w:t>
      </w:r>
      <w:r>
        <w:rPr>
          <w:rFonts w:ascii="Times New Roman" w:hAnsi="Times New Roman" w:eastAsia="仿宋" w:cs="Times New Roman"/>
          <w:sz w:val="32"/>
          <w:szCs w:val="32"/>
        </w:rPr>
        <w:t>能完全按照</w:t>
      </w:r>
      <w:r>
        <w:rPr>
          <w:rFonts w:hint="eastAsia" w:ascii="Times New Roman" w:hAnsi="Times New Roman" w:eastAsia="仿宋" w:cs="Times New Roman"/>
          <w:sz w:val="32"/>
          <w:szCs w:val="32"/>
        </w:rPr>
        <w:t>绩效目标设定情况按时完成的现象</w:t>
      </w:r>
      <w:r>
        <w:rPr>
          <w:rFonts w:ascii="Times New Roman" w:hAnsi="Times New Roman" w:eastAsia="仿宋" w:cs="Times New Roman"/>
          <w:sz w:val="32"/>
          <w:szCs w:val="32"/>
        </w:rPr>
        <w:t>。</w:t>
      </w:r>
    </w:p>
    <w:p w14:paraId="093D330B">
      <w:pPr>
        <w:spacing w:line="60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（二）个别项目</w:t>
      </w:r>
      <w:r>
        <w:rPr>
          <w:rFonts w:ascii="Times New Roman" w:hAnsi="Times New Roman" w:eastAsia="楷体" w:cs="Times New Roman"/>
          <w:sz w:val="32"/>
          <w:szCs w:val="32"/>
        </w:rPr>
        <w:t>绩效指标</w:t>
      </w:r>
      <w:r>
        <w:rPr>
          <w:rFonts w:hint="eastAsia" w:ascii="Times New Roman" w:hAnsi="Times New Roman" w:eastAsia="楷体" w:cs="Times New Roman"/>
          <w:sz w:val="32"/>
          <w:szCs w:val="32"/>
        </w:rPr>
        <w:t>设置</w:t>
      </w:r>
      <w:r>
        <w:rPr>
          <w:rFonts w:ascii="Times New Roman" w:hAnsi="Times New Roman" w:eastAsia="楷体" w:cs="Times New Roman"/>
          <w:sz w:val="32"/>
          <w:szCs w:val="32"/>
        </w:rPr>
        <w:t>不规范</w:t>
      </w:r>
    </w:p>
    <w:p w14:paraId="005F2BD3">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编制绩效目标是一项难度大，技术性很强的工作，尽管我室</w:t>
      </w:r>
      <w:r>
        <w:rPr>
          <w:rFonts w:ascii="Times New Roman" w:hAnsi="Times New Roman" w:eastAsia="仿宋" w:cs="Times New Roman"/>
          <w:sz w:val="32"/>
          <w:szCs w:val="32"/>
        </w:rPr>
        <w:t>按</w:t>
      </w:r>
      <w:r>
        <w:rPr>
          <w:rFonts w:hint="eastAsia" w:ascii="Times New Roman" w:hAnsi="Times New Roman" w:eastAsia="仿宋" w:cs="Times New Roman"/>
          <w:sz w:val="32"/>
          <w:szCs w:val="32"/>
        </w:rPr>
        <w:t>照</w:t>
      </w:r>
      <w:r>
        <w:rPr>
          <w:rFonts w:ascii="Times New Roman" w:hAnsi="Times New Roman" w:eastAsia="仿宋" w:cs="Times New Roman"/>
          <w:sz w:val="32"/>
          <w:szCs w:val="32"/>
        </w:rPr>
        <w:t>要求编制</w:t>
      </w:r>
      <w:r>
        <w:rPr>
          <w:rFonts w:hint="eastAsia" w:ascii="Times New Roman" w:hAnsi="Times New Roman" w:eastAsia="仿宋" w:cs="Times New Roman"/>
          <w:sz w:val="32"/>
          <w:szCs w:val="32"/>
        </w:rPr>
        <w:t>了</w:t>
      </w:r>
      <w:r>
        <w:rPr>
          <w:rFonts w:ascii="Times New Roman" w:hAnsi="Times New Roman" w:eastAsia="仿宋" w:cs="Times New Roman"/>
          <w:sz w:val="32"/>
          <w:szCs w:val="32"/>
        </w:rPr>
        <w:t>项目</w:t>
      </w:r>
      <w:r>
        <w:rPr>
          <w:rFonts w:hint="eastAsia" w:ascii="Times New Roman" w:hAnsi="Times New Roman" w:eastAsia="仿宋" w:cs="Times New Roman"/>
          <w:sz w:val="32"/>
          <w:szCs w:val="32"/>
        </w:rPr>
        <w:t>支出</w:t>
      </w:r>
      <w:r>
        <w:rPr>
          <w:rFonts w:ascii="Times New Roman" w:hAnsi="Times New Roman" w:eastAsia="仿宋" w:cs="Times New Roman"/>
          <w:sz w:val="32"/>
          <w:szCs w:val="32"/>
        </w:rPr>
        <w:t>绩效目标和部门整体</w:t>
      </w:r>
      <w:r>
        <w:rPr>
          <w:rFonts w:hint="eastAsia" w:ascii="Times New Roman" w:hAnsi="Times New Roman" w:eastAsia="仿宋" w:cs="Times New Roman"/>
          <w:sz w:val="32"/>
          <w:szCs w:val="32"/>
        </w:rPr>
        <w:t>支出</w:t>
      </w:r>
      <w:r>
        <w:rPr>
          <w:rFonts w:ascii="Times New Roman" w:hAnsi="Times New Roman" w:eastAsia="仿宋" w:cs="Times New Roman"/>
          <w:sz w:val="32"/>
          <w:szCs w:val="32"/>
        </w:rPr>
        <w:t>绩效目标，</w:t>
      </w:r>
      <w:r>
        <w:rPr>
          <w:rFonts w:hint="eastAsia" w:ascii="Times New Roman" w:hAnsi="Times New Roman" w:eastAsia="仿宋" w:cs="Times New Roman"/>
          <w:sz w:val="32"/>
          <w:szCs w:val="32"/>
        </w:rPr>
        <w:t>但在</w:t>
      </w:r>
      <w:r>
        <w:rPr>
          <w:rFonts w:ascii="Times New Roman" w:hAnsi="Times New Roman" w:eastAsia="仿宋" w:cs="Times New Roman"/>
          <w:sz w:val="32"/>
          <w:szCs w:val="32"/>
        </w:rPr>
        <w:t>绩效指标</w:t>
      </w:r>
      <w:r>
        <w:rPr>
          <w:rFonts w:hint="eastAsia" w:ascii="Times New Roman" w:hAnsi="Times New Roman" w:eastAsia="仿宋" w:cs="Times New Roman"/>
          <w:sz w:val="32"/>
          <w:szCs w:val="32"/>
        </w:rPr>
        <w:t>设置</w:t>
      </w:r>
      <w:r>
        <w:rPr>
          <w:rFonts w:ascii="Times New Roman" w:hAnsi="Times New Roman" w:eastAsia="仿宋" w:cs="Times New Roman"/>
          <w:sz w:val="32"/>
          <w:szCs w:val="32"/>
        </w:rPr>
        <w:t>方面，</w:t>
      </w:r>
      <w:r>
        <w:rPr>
          <w:rFonts w:hint="eastAsia" w:ascii="Times New Roman" w:hAnsi="Times New Roman" w:eastAsia="仿宋" w:cs="Times New Roman"/>
          <w:sz w:val="32"/>
          <w:szCs w:val="32"/>
        </w:rPr>
        <w:t>存在</w:t>
      </w:r>
      <w:r>
        <w:rPr>
          <w:rFonts w:ascii="Times New Roman" w:hAnsi="Times New Roman" w:eastAsia="仿宋" w:cs="Times New Roman"/>
          <w:sz w:val="32"/>
          <w:szCs w:val="32"/>
        </w:rPr>
        <w:t>细化、量化不足</w:t>
      </w:r>
      <w:r>
        <w:rPr>
          <w:rFonts w:hint="eastAsia" w:ascii="Times New Roman" w:hAnsi="Times New Roman" w:eastAsia="仿宋" w:cs="Times New Roman"/>
          <w:sz w:val="32"/>
          <w:szCs w:val="32"/>
        </w:rPr>
        <w:t>的现象，</w:t>
      </w:r>
      <w:r>
        <w:rPr>
          <w:rFonts w:ascii="Times New Roman" w:hAnsi="Times New Roman" w:eastAsia="仿宋" w:cs="Times New Roman"/>
          <w:sz w:val="32"/>
          <w:szCs w:val="32"/>
        </w:rPr>
        <w:t>规范性</w:t>
      </w:r>
      <w:r>
        <w:rPr>
          <w:rFonts w:hint="eastAsia" w:ascii="Times New Roman" w:hAnsi="Times New Roman" w:eastAsia="仿宋" w:cs="Times New Roman"/>
          <w:sz w:val="32"/>
          <w:szCs w:val="32"/>
        </w:rPr>
        <w:t>有待</w:t>
      </w:r>
      <w:r>
        <w:rPr>
          <w:rFonts w:ascii="Times New Roman" w:hAnsi="Times New Roman" w:eastAsia="仿宋" w:cs="Times New Roman"/>
          <w:sz w:val="32"/>
          <w:szCs w:val="32"/>
        </w:rPr>
        <w:t>进一步加强</w:t>
      </w:r>
      <w:r>
        <w:rPr>
          <w:rFonts w:hint="eastAsia" w:ascii="Times New Roman" w:hAnsi="Times New Roman" w:eastAsia="仿宋" w:cs="Times New Roman"/>
          <w:sz w:val="32"/>
          <w:szCs w:val="32"/>
        </w:rPr>
        <w:t>。</w:t>
      </w:r>
    </w:p>
    <w:p w14:paraId="6127C8BD">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下一步</w:t>
      </w:r>
      <w:r>
        <w:rPr>
          <w:rFonts w:ascii="Times New Roman" w:hAnsi="Times New Roman" w:eastAsia="黑体" w:cs="Times New Roman"/>
          <w:sz w:val="32"/>
          <w:szCs w:val="32"/>
        </w:rPr>
        <w:t>改进措施</w:t>
      </w:r>
    </w:p>
    <w:p w14:paraId="3FE030F3">
      <w:pPr>
        <w:spacing w:line="60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（一）加强绩效考核，保障绩效目标落实完成</w:t>
      </w:r>
    </w:p>
    <w:p w14:paraId="0FC8FB00">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倡导干部职工加强绩效知识学习，树立全员绩效意识。科学合理制定绩效目标，将绩效目标落实到责任部门，定期进行绩效考核，保障绩效目标按时按质完成，提高财政资金使用效率。</w:t>
      </w:r>
    </w:p>
    <w:p w14:paraId="6DB65B57">
      <w:pPr>
        <w:spacing w:line="60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（二）</w:t>
      </w:r>
      <w:r>
        <w:rPr>
          <w:rFonts w:ascii="Times New Roman" w:hAnsi="Times New Roman" w:eastAsia="楷体" w:cs="Times New Roman"/>
          <w:sz w:val="32"/>
          <w:szCs w:val="32"/>
        </w:rPr>
        <w:t xml:space="preserve">细化绩效指标，强化编制规范性 </w:t>
      </w:r>
    </w:p>
    <w:p w14:paraId="12B7C4BF">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w:t>
      </w:r>
      <w:r>
        <w:rPr>
          <w:rFonts w:hint="eastAsia" w:ascii="Times New Roman" w:hAnsi="Times New Roman" w:eastAsia="仿宋" w:cs="Times New Roman"/>
          <w:sz w:val="32"/>
          <w:szCs w:val="32"/>
        </w:rPr>
        <w:t>设定</w:t>
      </w:r>
      <w:r>
        <w:rPr>
          <w:rFonts w:ascii="Times New Roman" w:hAnsi="Times New Roman" w:eastAsia="仿宋" w:cs="Times New Roman"/>
          <w:sz w:val="32"/>
          <w:szCs w:val="32"/>
        </w:rPr>
        <w:t>部门整体绩效目标时，</w:t>
      </w:r>
      <w:r>
        <w:rPr>
          <w:rFonts w:hint="eastAsia" w:ascii="Times New Roman" w:hAnsi="Times New Roman" w:eastAsia="仿宋" w:cs="Times New Roman"/>
          <w:sz w:val="32"/>
          <w:szCs w:val="32"/>
        </w:rPr>
        <w:t>根据部门职能职责</w:t>
      </w:r>
      <w:r>
        <w:rPr>
          <w:rFonts w:ascii="Times New Roman" w:hAnsi="Times New Roman" w:eastAsia="仿宋" w:cs="Times New Roman"/>
          <w:sz w:val="32"/>
          <w:szCs w:val="32"/>
        </w:rPr>
        <w:t>设定合理的绩效指标</w:t>
      </w:r>
      <w:r>
        <w:rPr>
          <w:rFonts w:hint="eastAsia" w:ascii="Times New Roman" w:hAnsi="Times New Roman" w:eastAsia="仿宋" w:cs="Times New Roman"/>
          <w:sz w:val="32"/>
          <w:szCs w:val="32"/>
        </w:rPr>
        <w:t>；在设定项目支出绩效目标时，设定项目总目标及年度目标</w:t>
      </w:r>
      <w:r>
        <w:rPr>
          <w:rFonts w:ascii="Times New Roman" w:hAnsi="Times New Roman" w:eastAsia="仿宋" w:cs="Times New Roman"/>
          <w:sz w:val="32"/>
          <w:szCs w:val="32"/>
        </w:rPr>
        <w:t>，</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对</w:t>
      </w:r>
      <w:r>
        <w:rPr>
          <w:rFonts w:hint="eastAsia" w:ascii="Times New Roman" w:hAnsi="Times New Roman" w:eastAsia="仿宋" w:cs="Times New Roman"/>
          <w:sz w:val="32"/>
          <w:szCs w:val="32"/>
        </w:rPr>
        <w:t>项目支出的年度</w:t>
      </w:r>
      <w:r>
        <w:rPr>
          <w:rFonts w:ascii="Times New Roman" w:hAnsi="Times New Roman" w:eastAsia="仿宋" w:cs="Times New Roman"/>
          <w:sz w:val="32"/>
          <w:szCs w:val="32"/>
        </w:rPr>
        <w:t>目标进行细化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分解，从产出、效益</w:t>
      </w:r>
      <w:r>
        <w:rPr>
          <w:rFonts w:hint="eastAsia" w:ascii="Times New Roman" w:hAnsi="Times New Roman" w:eastAsia="仿宋" w:cs="Times New Roman"/>
          <w:sz w:val="32"/>
          <w:szCs w:val="32"/>
        </w:rPr>
        <w:t>、服务对象满意度</w:t>
      </w:r>
      <w:r>
        <w:rPr>
          <w:rFonts w:ascii="Times New Roman" w:hAnsi="Times New Roman" w:eastAsia="仿宋" w:cs="Times New Roman"/>
          <w:sz w:val="32"/>
          <w:szCs w:val="32"/>
        </w:rPr>
        <w:t>等方面设定具体的绩效指标，</w:t>
      </w:r>
      <w:r>
        <w:rPr>
          <w:rFonts w:hint="eastAsia" w:ascii="Times New Roman" w:hAnsi="Times New Roman" w:eastAsia="仿宋" w:cs="Times New Roman"/>
          <w:sz w:val="32"/>
          <w:szCs w:val="32"/>
        </w:rPr>
        <w:t>力争设置的绩效指标明确具体，可以衡量</w:t>
      </w:r>
      <w:r>
        <w:rPr>
          <w:rFonts w:ascii="Times New Roman" w:hAnsi="Times New Roman" w:eastAsia="仿宋" w:cs="Times New Roman"/>
          <w:sz w:val="32"/>
          <w:szCs w:val="32"/>
        </w:rPr>
        <w:t>。</w:t>
      </w:r>
    </w:p>
    <w:p w14:paraId="3C0470B7">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绩效自评结果拟应用和公开情况</w:t>
      </w:r>
    </w:p>
    <w:p w14:paraId="5290364D">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我室202</w:t>
      </w:r>
      <w:r>
        <w:rPr>
          <w:rFonts w:ascii="Times New Roman" w:hAnsi="Times New Roman" w:eastAsia="仿宋" w:cs="Times New Roman"/>
          <w:sz w:val="32"/>
          <w:szCs w:val="32"/>
        </w:rPr>
        <w:t>2</w:t>
      </w:r>
      <w:r>
        <w:rPr>
          <w:rFonts w:hint="eastAsia" w:ascii="Times New Roman" w:hAnsi="Times New Roman" w:eastAsia="仿宋" w:cs="Times New Roman"/>
          <w:sz w:val="32"/>
          <w:szCs w:val="32"/>
        </w:rPr>
        <w:t>年度整体支出绩效自评报告将于2</w:t>
      </w:r>
      <w:r>
        <w:rPr>
          <w:rFonts w:ascii="Times New Roman" w:hAnsi="Times New Roman" w:eastAsia="仿宋" w:cs="Times New Roman"/>
          <w:sz w:val="32"/>
          <w:szCs w:val="32"/>
        </w:rPr>
        <w:t>023</w:t>
      </w:r>
      <w:r>
        <w:rPr>
          <w:rFonts w:hint="eastAsia" w:ascii="Times New Roman" w:hAnsi="Times New Roman" w:eastAsia="仿宋" w:cs="Times New Roman"/>
          <w:sz w:val="32"/>
          <w:szCs w:val="32"/>
        </w:rPr>
        <w:t>年6月30日前进行公开，绩效自评结果将作为我室完善制度和改进管理的重要依据。</w:t>
      </w:r>
    </w:p>
    <w:p w14:paraId="18F43DAB">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十二、其他需要说明的情况</w:t>
      </w:r>
    </w:p>
    <w:p w14:paraId="730B2213">
      <w:pPr>
        <w:spacing w:line="600" w:lineRule="exact"/>
        <w:ind w:firstLine="630"/>
        <w:rPr>
          <w:rFonts w:ascii="Times New Roman" w:hAnsi="Times New Roman" w:eastAsia="仿宋" w:cs="Times New Roman"/>
          <w:sz w:val="32"/>
          <w:szCs w:val="32"/>
        </w:rPr>
      </w:pPr>
      <w:r>
        <w:rPr>
          <w:rFonts w:hint="eastAsia" w:ascii="Times New Roman" w:hAnsi="Times New Roman" w:eastAsia="仿宋" w:cs="Times New Roman"/>
          <w:sz w:val="32"/>
          <w:szCs w:val="32"/>
        </w:rPr>
        <w:t>无</w:t>
      </w:r>
    </w:p>
    <w:p w14:paraId="4BE1EE0C">
      <w:pPr>
        <w:spacing w:line="600" w:lineRule="exact"/>
        <w:ind w:firstLine="640" w:firstLineChars="200"/>
        <w:jc w:val="left"/>
        <w:rPr>
          <w:rFonts w:ascii="Times New Roman" w:hAnsi="Times New Roman" w:eastAsia="仿宋" w:cs="Times New Roman"/>
          <w:sz w:val="32"/>
          <w:szCs w:val="32"/>
        </w:rPr>
      </w:pPr>
    </w:p>
    <w:p w14:paraId="1614085C">
      <w:pPr>
        <w:spacing w:line="600" w:lineRule="exact"/>
        <w:rPr>
          <w:rFonts w:ascii="Times New Roman" w:hAnsi="Times New Roman" w:eastAsia="仿宋" w:cs="Times New Roman"/>
          <w:sz w:val="32"/>
          <w:szCs w:val="32"/>
        </w:rPr>
      </w:pPr>
    </w:p>
    <w:p w14:paraId="55E0261D">
      <w:pPr>
        <w:spacing w:line="60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附件：1.</w:t>
      </w:r>
      <w:r>
        <w:rPr>
          <w:rFonts w:hint="eastAsia"/>
        </w:rPr>
        <w:t xml:space="preserve"> </w:t>
      </w:r>
      <w:r>
        <w:rPr>
          <w:rFonts w:hint="eastAsia" w:ascii="Times New Roman" w:hAnsi="Times New Roman" w:eastAsia="仿宋" w:cs="Times New Roman"/>
          <w:sz w:val="32"/>
          <w:szCs w:val="32"/>
        </w:rPr>
        <w:t>2022年度部门整体支出绩效评价基础数据表</w:t>
      </w:r>
    </w:p>
    <w:p w14:paraId="11B2880E">
      <w:pPr>
        <w:spacing w:line="600" w:lineRule="exact"/>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rPr>
        <w:t>2. 2022年度部门整体支出绩效自评表</w:t>
      </w:r>
    </w:p>
    <w:p w14:paraId="2BE5AD0A">
      <w:pPr>
        <w:spacing w:line="600" w:lineRule="exact"/>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rPr>
        <w:t>3. 2022年度项目支出绩效自评表</w:t>
      </w:r>
    </w:p>
    <w:p w14:paraId="3E86AC4A">
      <w:pPr>
        <w:spacing w:line="600" w:lineRule="exact"/>
        <w:ind w:firstLine="960" w:firstLineChars="300"/>
        <w:rPr>
          <w:rFonts w:ascii="Times New Roman" w:hAnsi="Times New Roman" w:eastAsia="仿宋" w:cs="Times New Roman"/>
          <w:sz w:val="32"/>
          <w:szCs w:val="32"/>
        </w:rPr>
      </w:pPr>
    </w:p>
    <w:p w14:paraId="7EE372F1">
      <w:pPr>
        <w:spacing w:line="600" w:lineRule="exact"/>
        <w:ind w:firstLine="960" w:firstLineChars="300"/>
        <w:rPr>
          <w:rFonts w:ascii="Times New Roman" w:hAnsi="Times New Roman" w:eastAsia="仿宋" w:cs="Times New Roman"/>
          <w:sz w:val="32"/>
          <w:szCs w:val="32"/>
        </w:rPr>
      </w:pPr>
    </w:p>
    <w:p w14:paraId="4F92B1C8">
      <w:pPr>
        <w:spacing w:line="600" w:lineRule="exact"/>
        <w:ind w:firstLine="4640" w:firstLineChars="1450"/>
        <w:rPr>
          <w:rFonts w:ascii="Times New Roman" w:hAnsi="Times New Roman" w:eastAsia="仿宋" w:cs="Times New Roman"/>
          <w:sz w:val="32"/>
          <w:szCs w:val="32"/>
        </w:rPr>
      </w:pPr>
      <w:r>
        <w:rPr>
          <w:rFonts w:ascii="Times New Roman" w:hAnsi="Times New Roman" w:eastAsia="仿宋" w:cs="Times New Roman"/>
          <w:sz w:val="32"/>
          <w:szCs w:val="32"/>
        </w:rPr>
        <w:t>中共长沙市委党史研究室</w:t>
      </w:r>
    </w:p>
    <w:p w14:paraId="71341B11">
      <w:pPr>
        <w:spacing w:line="600" w:lineRule="exact"/>
        <w:ind w:firstLine="4960" w:firstLineChars="1550"/>
        <w:rPr>
          <w:rFonts w:ascii="黑体" w:hAnsi="黑体" w:eastAsia="黑体" w:cs="宋体"/>
          <w:kern w:val="0"/>
          <w:sz w:val="32"/>
          <w:szCs w:val="32"/>
        </w:rPr>
      </w:pPr>
      <w:r>
        <w:rPr>
          <w:rFonts w:ascii="Times New Roman" w:hAnsi="Times New Roman" w:eastAsia="仿宋" w:cs="Times New Roman"/>
          <w:sz w:val="32"/>
          <w:szCs w:val="32"/>
        </w:rPr>
        <w:t>20</w:t>
      </w:r>
      <w:r>
        <w:rPr>
          <w:rFonts w:hint="eastAsia" w:ascii="Times New Roman" w:hAnsi="Times New Roman" w:eastAsia="仿宋" w:cs="Times New Roman"/>
          <w:sz w:val="32"/>
          <w:szCs w:val="32"/>
        </w:rPr>
        <w:t>2</w:t>
      </w:r>
      <w:r>
        <w:rPr>
          <w:rFonts w:ascii="Times New Roman" w:hAnsi="Times New Roman" w:eastAsia="仿宋" w:cs="Times New Roman"/>
          <w:sz w:val="32"/>
          <w:szCs w:val="32"/>
        </w:rPr>
        <w:t>3年4月</w:t>
      </w:r>
      <w:r>
        <w:rPr>
          <w:rFonts w:hint="eastAsia" w:ascii="Times New Roman" w:hAnsi="Times New Roman" w:eastAsia="仿宋" w:cs="Times New Roman"/>
          <w:sz w:val="32"/>
          <w:szCs w:val="32"/>
        </w:rPr>
        <w:t>1</w:t>
      </w:r>
      <w:r>
        <w:rPr>
          <w:rFonts w:ascii="Times New Roman" w:hAnsi="Times New Roman" w:eastAsia="仿宋" w:cs="Times New Roman"/>
          <w:sz w:val="32"/>
          <w:szCs w:val="32"/>
        </w:rPr>
        <w:t>7日</w:t>
      </w:r>
    </w:p>
    <w:p w14:paraId="6593DE8B">
      <w:pPr>
        <w:pStyle w:val="5"/>
        <w:keepNext w:val="0"/>
        <w:keepLines w:val="0"/>
        <w:widowControl/>
        <w:suppressLineNumbers w:val="0"/>
        <w:jc w:val="center"/>
      </w:pPr>
    </w:p>
    <w:p w14:paraId="2D96AC18">
      <w:pPr>
        <w:pStyle w:val="5"/>
        <w:keepNext w:val="0"/>
        <w:keepLines w:val="0"/>
        <w:widowControl/>
        <w:suppressLineNumbers w:val="0"/>
        <w:jc w:val="center"/>
      </w:pPr>
      <w:r>
        <w:t> </w:t>
      </w:r>
    </w:p>
    <w:p w14:paraId="3E5DACC7"/>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EFC88"/>
    <w:multiLevelType w:val="multilevel"/>
    <w:tmpl w:val="842EFC88"/>
    <w:lvl w:ilvl="0" w:tentative="0">
      <w:start w:val="1"/>
      <w:numFmt w:val="chineseCounting"/>
      <w:pStyle w:val="1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0EDF243"/>
    <w:multiLevelType w:val="singleLevel"/>
    <w:tmpl w:val="30EDF243"/>
    <w:lvl w:ilvl="0" w:tentative="0">
      <w:start w:val="1"/>
      <w:numFmt w:val="chineseCounting"/>
      <w:pStyle w:val="11"/>
      <w:suff w:val="nothing"/>
      <w:lvlText w:val="（%1）"/>
      <w:lvlJc w:val="left"/>
      <w:pPr>
        <w:ind w:left="0" w:firstLine="420"/>
      </w:pPr>
      <w:rPr>
        <w:rFonts w:hint="eastAsia"/>
      </w:rPr>
    </w:lvl>
  </w:abstractNum>
  <w:abstractNum w:abstractNumId="2">
    <w:nsid w:val="3DBFC9C2"/>
    <w:multiLevelType w:val="singleLevel"/>
    <w:tmpl w:val="3DBFC9C2"/>
    <w:lvl w:ilvl="0" w:tentative="0">
      <w:start w:val="1"/>
      <w:numFmt w:val="chineseCounting"/>
      <w:suff w:val="nothing"/>
      <w:lvlText w:val="（%1）"/>
      <w:lvlJc w:val="left"/>
      <w:pPr>
        <w:ind w:left="108" w:leftChars="0" w:firstLine="0" w:firstLineChars="0"/>
      </w:pPr>
      <w:rPr>
        <w:rFonts w:hint="eastAsia"/>
      </w:rPr>
    </w:lvl>
  </w:abstractNum>
  <w:abstractNum w:abstractNumId="3">
    <w:nsid w:val="640ED4E1"/>
    <w:multiLevelType w:val="singleLevel"/>
    <w:tmpl w:val="640ED4E1"/>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MzcwOGJmM2EwOTBiM2I3ZTIzMDNhMDVmZjVhMTAifQ=="/>
  </w:docVars>
  <w:rsids>
    <w:rsidRoot w:val="00000000"/>
    <w:rsid w:val="00885B23"/>
    <w:rsid w:val="01317F69"/>
    <w:rsid w:val="02092C94"/>
    <w:rsid w:val="027D71DE"/>
    <w:rsid w:val="02B32C29"/>
    <w:rsid w:val="03367AB9"/>
    <w:rsid w:val="03B804CE"/>
    <w:rsid w:val="03C52BEB"/>
    <w:rsid w:val="046153AE"/>
    <w:rsid w:val="04696C6C"/>
    <w:rsid w:val="04806B11"/>
    <w:rsid w:val="04BF3ADE"/>
    <w:rsid w:val="05AB3CF7"/>
    <w:rsid w:val="05B44CC5"/>
    <w:rsid w:val="063876A4"/>
    <w:rsid w:val="063D115E"/>
    <w:rsid w:val="06BB2083"/>
    <w:rsid w:val="087F5A5E"/>
    <w:rsid w:val="08864A11"/>
    <w:rsid w:val="088B4222"/>
    <w:rsid w:val="091B1496"/>
    <w:rsid w:val="095F763D"/>
    <w:rsid w:val="09871028"/>
    <w:rsid w:val="09A92667"/>
    <w:rsid w:val="09AB4631"/>
    <w:rsid w:val="09E30E66"/>
    <w:rsid w:val="0A051F14"/>
    <w:rsid w:val="0A432ABB"/>
    <w:rsid w:val="0AED0E71"/>
    <w:rsid w:val="0B440CBC"/>
    <w:rsid w:val="0C2506CA"/>
    <w:rsid w:val="0C264442"/>
    <w:rsid w:val="0C5114BF"/>
    <w:rsid w:val="0D6C2329"/>
    <w:rsid w:val="0DC1494B"/>
    <w:rsid w:val="0E034A3B"/>
    <w:rsid w:val="0E484B44"/>
    <w:rsid w:val="0EAC6E81"/>
    <w:rsid w:val="0EEA5BFB"/>
    <w:rsid w:val="0EED0A31"/>
    <w:rsid w:val="0F1669F0"/>
    <w:rsid w:val="0F2D61CB"/>
    <w:rsid w:val="0FA1450C"/>
    <w:rsid w:val="0FB00BF3"/>
    <w:rsid w:val="0FB56209"/>
    <w:rsid w:val="0FBA381F"/>
    <w:rsid w:val="10001BC8"/>
    <w:rsid w:val="104430E9"/>
    <w:rsid w:val="10B27F7D"/>
    <w:rsid w:val="10E3454C"/>
    <w:rsid w:val="111B6540"/>
    <w:rsid w:val="112E54BE"/>
    <w:rsid w:val="115630D4"/>
    <w:rsid w:val="12C64289"/>
    <w:rsid w:val="12D45062"/>
    <w:rsid w:val="13001549"/>
    <w:rsid w:val="130F3E82"/>
    <w:rsid w:val="13315BA7"/>
    <w:rsid w:val="13511DA5"/>
    <w:rsid w:val="13751BAD"/>
    <w:rsid w:val="149E54BE"/>
    <w:rsid w:val="154A11A2"/>
    <w:rsid w:val="154A629A"/>
    <w:rsid w:val="16337E88"/>
    <w:rsid w:val="16AE750E"/>
    <w:rsid w:val="16D15513"/>
    <w:rsid w:val="16E96798"/>
    <w:rsid w:val="16EE3B5C"/>
    <w:rsid w:val="185145F5"/>
    <w:rsid w:val="18AB01A9"/>
    <w:rsid w:val="18DE232D"/>
    <w:rsid w:val="18FE29CF"/>
    <w:rsid w:val="193A174E"/>
    <w:rsid w:val="194149F6"/>
    <w:rsid w:val="199B021E"/>
    <w:rsid w:val="1A0A0EFF"/>
    <w:rsid w:val="1ACB68E1"/>
    <w:rsid w:val="1B1E2EB4"/>
    <w:rsid w:val="1C00080C"/>
    <w:rsid w:val="1C6A2129"/>
    <w:rsid w:val="1C8C6B54"/>
    <w:rsid w:val="1C8E7BC6"/>
    <w:rsid w:val="1CFB11A5"/>
    <w:rsid w:val="1E087E4C"/>
    <w:rsid w:val="1E1B38CC"/>
    <w:rsid w:val="1E984D2C"/>
    <w:rsid w:val="1F8D0609"/>
    <w:rsid w:val="1FBE07C2"/>
    <w:rsid w:val="1FC856D1"/>
    <w:rsid w:val="20C17C2C"/>
    <w:rsid w:val="20C77B4A"/>
    <w:rsid w:val="216E446A"/>
    <w:rsid w:val="219536BB"/>
    <w:rsid w:val="21EB1616"/>
    <w:rsid w:val="21FB075E"/>
    <w:rsid w:val="224376A4"/>
    <w:rsid w:val="22460F43"/>
    <w:rsid w:val="22561186"/>
    <w:rsid w:val="226871D5"/>
    <w:rsid w:val="227855A0"/>
    <w:rsid w:val="23C93BD9"/>
    <w:rsid w:val="24455956"/>
    <w:rsid w:val="2471674B"/>
    <w:rsid w:val="24B96379"/>
    <w:rsid w:val="24C30629"/>
    <w:rsid w:val="25096983"/>
    <w:rsid w:val="25561143"/>
    <w:rsid w:val="25853B30"/>
    <w:rsid w:val="262D0D77"/>
    <w:rsid w:val="26B4291F"/>
    <w:rsid w:val="26D42FC1"/>
    <w:rsid w:val="28025E3F"/>
    <w:rsid w:val="28133675"/>
    <w:rsid w:val="283F6654"/>
    <w:rsid w:val="284F6DA3"/>
    <w:rsid w:val="285919D0"/>
    <w:rsid w:val="28A01F9F"/>
    <w:rsid w:val="28A96DE5"/>
    <w:rsid w:val="28CF57EE"/>
    <w:rsid w:val="2AA44A58"/>
    <w:rsid w:val="2AAA2527"/>
    <w:rsid w:val="2AD4533E"/>
    <w:rsid w:val="2AF32917"/>
    <w:rsid w:val="2B084FE7"/>
    <w:rsid w:val="2B2F07C6"/>
    <w:rsid w:val="2B4E2738"/>
    <w:rsid w:val="2BE21CDC"/>
    <w:rsid w:val="2D1759B5"/>
    <w:rsid w:val="2DAF5535"/>
    <w:rsid w:val="2EE95130"/>
    <w:rsid w:val="2F3C5BA7"/>
    <w:rsid w:val="2F400F4C"/>
    <w:rsid w:val="2FCF4325"/>
    <w:rsid w:val="303A20E7"/>
    <w:rsid w:val="305A357B"/>
    <w:rsid w:val="308710A4"/>
    <w:rsid w:val="30B04157"/>
    <w:rsid w:val="3124181C"/>
    <w:rsid w:val="316D3DF6"/>
    <w:rsid w:val="31ED4F37"/>
    <w:rsid w:val="323D5EBE"/>
    <w:rsid w:val="323F1C36"/>
    <w:rsid w:val="32CB171C"/>
    <w:rsid w:val="33016EEC"/>
    <w:rsid w:val="33572FB0"/>
    <w:rsid w:val="33B026C0"/>
    <w:rsid w:val="340B4403"/>
    <w:rsid w:val="341040DE"/>
    <w:rsid w:val="34763909"/>
    <w:rsid w:val="34871673"/>
    <w:rsid w:val="34F565DC"/>
    <w:rsid w:val="35470E02"/>
    <w:rsid w:val="35753BC1"/>
    <w:rsid w:val="35FA7C22"/>
    <w:rsid w:val="36B52D94"/>
    <w:rsid w:val="377B6FC6"/>
    <w:rsid w:val="385B52F0"/>
    <w:rsid w:val="389C3213"/>
    <w:rsid w:val="394C2E8B"/>
    <w:rsid w:val="3958538C"/>
    <w:rsid w:val="39A22AAB"/>
    <w:rsid w:val="39E41315"/>
    <w:rsid w:val="3AE01ADD"/>
    <w:rsid w:val="3B5D312D"/>
    <w:rsid w:val="3B6F7BC5"/>
    <w:rsid w:val="3B806E1C"/>
    <w:rsid w:val="3B8631EB"/>
    <w:rsid w:val="3CCD6091"/>
    <w:rsid w:val="3D2C725B"/>
    <w:rsid w:val="3D367B6C"/>
    <w:rsid w:val="3D5567B2"/>
    <w:rsid w:val="3DD551FD"/>
    <w:rsid w:val="3EA82911"/>
    <w:rsid w:val="3EBA6941"/>
    <w:rsid w:val="4047615A"/>
    <w:rsid w:val="405368AD"/>
    <w:rsid w:val="40572841"/>
    <w:rsid w:val="407F67D3"/>
    <w:rsid w:val="41076015"/>
    <w:rsid w:val="41263FC1"/>
    <w:rsid w:val="41FF4F3E"/>
    <w:rsid w:val="42186000"/>
    <w:rsid w:val="42507548"/>
    <w:rsid w:val="427A45C5"/>
    <w:rsid w:val="42813BA5"/>
    <w:rsid w:val="42A258CA"/>
    <w:rsid w:val="42D737C5"/>
    <w:rsid w:val="42E40404"/>
    <w:rsid w:val="43160791"/>
    <w:rsid w:val="435E5C94"/>
    <w:rsid w:val="439D4A0F"/>
    <w:rsid w:val="43E90552"/>
    <w:rsid w:val="44450C02"/>
    <w:rsid w:val="444924A1"/>
    <w:rsid w:val="44615A3C"/>
    <w:rsid w:val="446C5429"/>
    <w:rsid w:val="44CE0BF8"/>
    <w:rsid w:val="45010FCD"/>
    <w:rsid w:val="45280308"/>
    <w:rsid w:val="458614D2"/>
    <w:rsid w:val="45E87A97"/>
    <w:rsid w:val="467D4684"/>
    <w:rsid w:val="46FC7C9E"/>
    <w:rsid w:val="471072A6"/>
    <w:rsid w:val="47173184"/>
    <w:rsid w:val="479A3013"/>
    <w:rsid w:val="47A125F4"/>
    <w:rsid w:val="48300DF2"/>
    <w:rsid w:val="497D499A"/>
    <w:rsid w:val="49CA4084"/>
    <w:rsid w:val="49D547D7"/>
    <w:rsid w:val="49F11610"/>
    <w:rsid w:val="4A590F64"/>
    <w:rsid w:val="4A5C1A5D"/>
    <w:rsid w:val="4BB24DCF"/>
    <w:rsid w:val="4CB16E35"/>
    <w:rsid w:val="4D21045F"/>
    <w:rsid w:val="4D3F08E5"/>
    <w:rsid w:val="4E255D2C"/>
    <w:rsid w:val="4E430142"/>
    <w:rsid w:val="4E6C5709"/>
    <w:rsid w:val="4EEA0D24"/>
    <w:rsid w:val="4EF15C0F"/>
    <w:rsid w:val="508C2093"/>
    <w:rsid w:val="50A64D42"/>
    <w:rsid w:val="512A18AC"/>
    <w:rsid w:val="52020133"/>
    <w:rsid w:val="52B10CDF"/>
    <w:rsid w:val="52D343BD"/>
    <w:rsid w:val="5338205E"/>
    <w:rsid w:val="53E30BC0"/>
    <w:rsid w:val="541D74A6"/>
    <w:rsid w:val="54C94F38"/>
    <w:rsid w:val="54FC7620"/>
    <w:rsid w:val="553625CD"/>
    <w:rsid w:val="56431446"/>
    <w:rsid w:val="56AE2637"/>
    <w:rsid w:val="56C63E25"/>
    <w:rsid w:val="56F02C50"/>
    <w:rsid w:val="583628E4"/>
    <w:rsid w:val="587F428B"/>
    <w:rsid w:val="58B630ED"/>
    <w:rsid w:val="58DF4D2A"/>
    <w:rsid w:val="5919023C"/>
    <w:rsid w:val="5A1804F3"/>
    <w:rsid w:val="5A366F7F"/>
    <w:rsid w:val="5BE32D83"/>
    <w:rsid w:val="5CB36BF9"/>
    <w:rsid w:val="5D170F36"/>
    <w:rsid w:val="5DF13DE3"/>
    <w:rsid w:val="5EA7453C"/>
    <w:rsid w:val="5F555D46"/>
    <w:rsid w:val="607313A1"/>
    <w:rsid w:val="60CE1EF2"/>
    <w:rsid w:val="611539DF"/>
    <w:rsid w:val="61572249"/>
    <w:rsid w:val="6283706E"/>
    <w:rsid w:val="629331D1"/>
    <w:rsid w:val="62A50D92"/>
    <w:rsid w:val="62A72D5C"/>
    <w:rsid w:val="62B8423B"/>
    <w:rsid w:val="632F68AE"/>
    <w:rsid w:val="648C7657"/>
    <w:rsid w:val="64D32777"/>
    <w:rsid w:val="658F5ADC"/>
    <w:rsid w:val="65C14135"/>
    <w:rsid w:val="65CD0D2C"/>
    <w:rsid w:val="672229B1"/>
    <w:rsid w:val="673426E5"/>
    <w:rsid w:val="675D1C3B"/>
    <w:rsid w:val="677B7F4E"/>
    <w:rsid w:val="67B850C4"/>
    <w:rsid w:val="68025351"/>
    <w:rsid w:val="68764BFE"/>
    <w:rsid w:val="68B47F81"/>
    <w:rsid w:val="6A5E63F6"/>
    <w:rsid w:val="6B3E1D84"/>
    <w:rsid w:val="6BA047ED"/>
    <w:rsid w:val="6BAB13AC"/>
    <w:rsid w:val="6BC54253"/>
    <w:rsid w:val="6C8B0FF9"/>
    <w:rsid w:val="6DF37591"/>
    <w:rsid w:val="6E461E74"/>
    <w:rsid w:val="6E5024FA"/>
    <w:rsid w:val="6E881C94"/>
    <w:rsid w:val="6F311089"/>
    <w:rsid w:val="6F350A14"/>
    <w:rsid w:val="6F4D4C8B"/>
    <w:rsid w:val="6FAF4FFE"/>
    <w:rsid w:val="6FD20CED"/>
    <w:rsid w:val="6FE0776D"/>
    <w:rsid w:val="6FE86762"/>
    <w:rsid w:val="70585696"/>
    <w:rsid w:val="705B0CE2"/>
    <w:rsid w:val="7289422C"/>
    <w:rsid w:val="72A70B9A"/>
    <w:rsid w:val="73AD3F4B"/>
    <w:rsid w:val="73ED2599"/>
    <w:rsid w:val="754952DF"/>
    <w:rsid w:val="756917EE"/>
    <w:rsid w:val="759F78C3"/>
    <w:rsid w:val="75B763B9"/>
    <w:rsid w:val="761262E7"/>
    <w:rsid w:val="76557CFE"/>
    <w:rsid w:val="7662726E"/>
    <w:rsid w:val="7758241F"/>
    <w:rsid w:val="775F37AE"/>
    <w:rsid w:val="779C184E"/>
    <w:rsid w:val="78450BF6"/>
    <w:rsid w:val="7883527A"/>
    <w:rsid w:val="78D67AA0"/>
    <w:rsid w:val="7908577F"/>
    <w:rsid w:val="79295E21"/>
    <w:rsid w:val="794B0DE1"/>
    <w:rsid w:val="79667075"/>
    <w:rsid w:val="79D35D8D"/>
    <w:rsid w:val="79F20909"/>
    <w:rsid w:val="7AD36A29"/>
    <w:rsid w:val="7AD63D87"/>
    <w:rsid w:val="7BC65BA9"/>
    <w:rsid w:val="7C1A5EF5"/>
    <w:rsid w:val="7C492337"/>
    <w:rsid w:val="7CE87DA1"/>
    <w:rsid w:val="7CF93D5D"/>
    <w:rsid w:val="7D5E0064"/>
    <w:rsid w:val="7E3C2153"/>
    <w:rsid w:val="7EA7766E"/>
    <w:rsid w:val="7ED7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semiHidden/>
    <w:qFormat/>
    <w:uiPriority w:val="0"/>
    <w:rPr>
      <w:rFonts w:ascii="宋体" w:hAnsi="宋体" w:eastAsia="宋体" w:cs="宋体"/>
      <w:sz w:val="28"/>
      <w:szCs w:val="28"/>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4"/>
    <w:basedOn w:val="11"/>
    <w:qFormat/>
    <w:uiPriority w:val="0"/>
    <w:pPr>
      <w:numPr>
        <w:numId w:val="0"/>
      </w:numPr>
      <w:ind w:firstLine="643" w:firstLineChars="200"/>
    </w:pPr>
    <w:rPr>
      <w:b w:val="0"/>
    </w:rPr>
  </w:style>
  <w:style w:type="paragraph" w:customStyle="1" w:styleId="11">
    <w:name w:val="3"/>
    <w:basedOn w:val="12"/>
    <w:qFormat/>
    <w:uiPriority w:val="0"/>
    <w:pPr>
      <w:numPr>
        <w:numId w:val="1"/>
      </w:numPr>
    </w:pPr>
    <w:rPr>
      <w:rFonts w:eastAsia="仿宋_GB2312"/>
    </w:rPr>
  </w:style>
  <w:style w:type="paragraph" w:customStyle="1" w:styleId="12">
    <w:name w:val="2"/>
    <w:basedOn w:val="13"/>
    <w:qFormat/>
    <w:uiPriority w:val="0"/>
    <w:pPr>
      <w:numPr>
        <w:ilvl w:val="0"/>
        <w:numId w:val="2"/>
      </w:numPr>
      <w:jc w:val="left"/>
    </w:pPr>
    <w:rPr>
      <w:rFonts w:eastAsia="黑体"/>
      <w:sz w:val="32"/>
    </w:rPr>
  </w:style>
  <w:style w:type="paragraph" w:customStyle="1" w:styleId="13">
    <w:name w:val="1"/>
    <w:basedOn w:val="1"/>
    <w:qFormat/>
    <w:uiPriority w:val="0"/>
    <w:pPr>
      <w:spacing w:line="360" w:lineRule="auto"/>
      <w:jc w:val="center"/>
    </w:pPr>
    <w:rPr>
      <w:rFonts w:eastAsia="方正小标宋简体"/>
      <w:b/>
      <w:sz w:val="44"/>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9372</Words>
  <Characters>10434</Characters>
  <Lines>0</Lines>
  <Paragraphs>0</Paragraphs>
  <TotalTime>0</TotalTime>
  <ScaleCrop>false</ScaleCrop>
  <LinksUpToDate>false</LinksUpToDate>
  <CharactersWithSpaces>10706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2022-02-14T07:08:00Z</dcterms:created>
  <dc:creator>Administrator</dc:creator>
  <cp:lastModifiedBy>麦子没熟</cp:lastModifiedBy>
  <dcterms:modified xsi:type="dcterms:W3CDTF">2025-09-19T07:54:32Z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A0175CCF4D8141CD8195DB8811343D26_13</vt:lpwstr>
  </property>
  <property fmtid="{D5CDD505-2E9C-101B-9397-08002B2CF9AE}" pid="4" name="KSOTemplateDocerSaveRecord">
    <vt:lpwstr>eyJoZGlkIjoiNDc5OWNlMzUwNWYxYTVmYWM3ZmM5MWFhNTU3ZWY3N2UiLCJ1c2VySWQiOiI5MzA0MTI4ODYifQ==</vt:lpwstr>
  </property>
</Properties>
</file>