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bidi w:val="0"/>
        <w:adjustRightInd/>
        <w:spacing w:before="0" w:beforeAutospacing="0" w:line="600" w:lineRule="exact"/>
        <w:ind w:left="0" w:firstLine="803" w:firstLineChars="200"/>
        <w:jc w:val="left"/>
        <w:textAlignment w:val="auto"/>
        <w:rPr>
          <w:rStyle w:val="9"/>
          <w:rFonts w:hint="eastAsia" w:ascii="宋体" w:hAnsi="宋体" w:eastAsia="宋体" w:cs="宋体"/>
          <w:b/>
          <w:bCs w:val="0"/>
          <w:sz w:val="40"/>
          <w:szCs w:val="40"/>
          <w:shd w:val="clear" w:color="auto" w:fill="FFFFFF"/>
        </w:rPr>
      </w:pPr>
    </w:p>
    <w:p>
      <w:pPr>
        <w:keepNext w:val="0"/>
        <w:keepLines w:val="0"/>
        <w:pageBreakBefore w:val="0"/>
        <w:widowControl/>
        <w:kinsoku w:val="0"/>
        <w:wordWrap/>
        <w:overflowPunct/>
        <w:topLinePunct w:val="0"/>
        <w:autoSpaceDE w:val="0"/>
        <w:autoSpaceDN w:val="0"/>
        <w:bidi w:val="0"/>
        <w:adjustRightInd/>
        <w:snapToGrid w:val="0"/>
        <w:spacing w:before="0" w:beforeAutospacing="0" w:after="0" w:afterAutospacing="0" w:line="640" w:lineRule="exact"/>
        <w:ind w:left="0" w:right="0"/>
        <w:jc w:val="center"/>
        <w:textAlignment w:val="auto"/>
        <w:rPr>
          <w:rFonts w:hint="eastAsia" w:ascii="Times New Roman" w:hAnsi="Times New Roman" w:eastAsia="方正小标宋简体" w:cs="Times New Roman"/>
          <w:b w:val="0"/>
          <w:bCs w:val="0"/>
          <w:color w:val="000000"/>
          <w:spacing w:val="-9"/>
          <w:kern w:val="0"/>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snapToGrid w:val="0"/>
        <w:spacing w:before="0" w:beforeAutospacing="0" w:after="0" w:afterAutospacing="0" w:line="640" w:lineRule="exact"/>
        <w:ind w:left="0" w:right="0"/>
        <w:jc w:val="center"/>
        <w:textAlignment w:val="auto"/>
        <w:rPr>
          <w:rFonts w:hint="eastAsia" w:ascii="Times New Roman" w:hAnsi="Times New Roman" w:eastAsia="方正小标宋简体" w:cs="Times New Roman"/>
          <w:b w:val="0"/>
          <w:bCs w:val="0"/>
          <w:color w:val="000000"/>
          <w:spacing w:val="-9"/>
          <w:kern w:val="0"/>
          <w:sz w:val="44"/>
          <w:szCs w:val="44"/>
          <w:lang w:val="en-US" w:eastAsia="zh-CN" w:bidi="ar-SA"/>
        </w:rPr>
      </w:pPr>
      <w:bookmarkStart w:id="7" w:name="_GoBack"/>
      <w:r>
        <w:rPr>
          <w:rFonts w:hint="eastAsia" w:ascii="Times New Roman" w:hAnsi="Times New Roman" w:eastAsia="方正小标宋简体" w:cs="Times New Roman"/>
          <w:b w:val="0"/>
          <w:bCs w:val="0"/>
          <w:color w:val="000000"/>
          <w:spacing w:val="-9"/>
          <w:kern w:val="0"/>
          <w:sz w:val="44"/>
          <w:szCs w:val="44"/>
          <w:lang w:val="en-US" w:bidi="ar-SA"/>
        </w:rPr>
        <w:t>202</w:t>
      </w:r>
      <w:r>
        <w:rPr>
          <w:rFonts w:hint="eastAsia" w:ascii="Times New Roman" w:hAnsi="Times New Roman" w:eastAsia="方正小标宋简体" w:cs="Times New Roman"/>
          <w:b w:val="0"/>
          <w:bCs w:val="0"/>
          <w:color w:val="000000"/>
          <w:spacing w:val="-9"/>
          <w:kern w:val="0"/>
          <w:sz w:val="44"/>
          <w:szCs w:val="44"/>
          <w:lang w:val="en-US" w:eastAsia="zh-CN" w:bidi="ar-SA"/>
        </w:rPr>
        <w:t>2</w:t>
      </w:r>
      <w:r>
        <w:rPr>
          <w:rFonts w:hint="eastAsia" w:ascii="Times New Roman" w:hAnsi="Times New Roman" w:eastAsia="方正小标宋简体" w:cs="Times New Roman"/>
          <w:b w:val="0"/>
          <w:bCs w:val="0"/>
          <w:color w:val="000000"/>
          <w:spacing w:val="-9"/>
          <w:kern w:val="0"/>
          <w:sz w:val="44"/>
          <w:szCs w:val="44"/>
          <w:lang w:val="en-US" w:bidi="ar-SA"/>
        </w:rPr>
        <w:t>年度</w:t>
      </w:r>
      <w:r>
        <w:rPr>
          <w:rFonts w:hint="eastAsia" w:ascii="Times New Roman" w:hAnsi="Times New Roman" w:eastAsia="方正小标宋简体" w:cs="Times New Roman"/>
          <w:b w:val="0"/>
          <w:bCs w:val="0"/>
          <w:color w:val="000000"/>
          <w:spacing w:val="-9"/>
          <w:kern w:val="0"/>
          <w:sz w:val="44"/>
          <w:szCs w:val="44"/>
          <w:lang w:val="en-US" w:eastAsia="zh-CN" w:bidi="ar-SA"/>
        </w:rPr>
        <w:t>长沙中华职业教育社办公室</w:t>
      </w:r>
    </w:p>
    <w:p>
      <w:pPr>
        <w:keepNext w:val="0"/>
        <w:keepLines w:val="0"/>
        <w:pageBreakBefore w:val="0"/>
        <w:widowControl/>
        <w:kinsoku w:val="0"/>
        <w:wordWrap/>
        <w:overflowPunct/>
        <w:topLinePunct w:val="0"/>
        <w:autoSpaceDE w:val="0"/>
        <w:autoSpaceDN w:val="0"/>
        <w:bidi w:val="0"/>
        <w:adjustRightInd/>
        <w:snapToGrid w:val="0"/>
        <w:spacing w:before="0" w:beforeAutospacing="0" w:after="0" w:afterAutospacing="0" w:line="640" w:lineRule="exact"/>
        <w:ind w:left="0" w:right="0"/>
        <w:jc w:val="center"/>
        <w:textAlignment w:val="auto"/>
        <w:rPr>
          <w:rFonts w:hint="eastAsia" w:ascii="Times New Roman" w:hAnsi="Times New Roman" w:eastAsia="方正小标宋简体" w:cs="Times New Roman"/>
          <w:b w:val="0"/>
          <w:bCs w:val="0"/>
          <w:color w:val="000000"/>
          <w:spacing w:val="-9"/>
          <w:kern w:val="0"/>
          <w:sz w:val="44"/>
          <w:szCs w:val="44"/>
          <w:lang w:val="en-US" w:eastAsia="zh-CN" w:bidi="ar-SA"/>
        </w:rPr>
      </w:pPr>
      <w:r>
        <w:rPr>
          <w:rFonts w:hint="eastAsia" w:ascii="Times New Roman" w:hAnsi="Times New Roman" w:eastAsia="方正小标宋简体" w:cs="Times New Roman"/>
          <w:b w:val="0"/>
          <w:bCs w:val="0"/>
          <w:color w:val="000000"/>
          <w:spacing w:val="-9"/>
          <w:kern w:val="0"/>
          <w:sz w:val="44"/>
          <w:szCs w:val="44"/>
          <w:lang w:val="en-US" w:bidi="ar-SA"/>
        </w:rPr>
        <w:t>部门</w:t>
      </w:r>
      <w:r>
        <w:rPr>
          <w:rFonts w:hint="eastAsia" w:ascii="Times New Roman" w:hAnsi="Times New Roman" w:eastAsia="方正小标宋简体" w:cs="Times New Roman"/>
          <w:b w:val="0"/>
          <w:bCs w:val="0"/>
          <w:color w:val="000000"/>
          <w:spacing w:val="-9"/>
          <w:kern w:val="0"/>
          <w:sz w:val="44"/>
          <w:szCs w:val="44"/>
          <w:lang w:val="en-US" w:eastAsia="zh-CN" w:bidi="ar-SA"/>
        </w:rPr>
        <w:t>整体支出绩效自评报告</w:t>
      </w:r>
    </w:p>
    <w:bookmarkEnd w:id="7"/>
    <w:p>
      <w:pPr>
        <w:keepNext w:val="0"/>
        <w:keepLines w:val="0"/>
        <w:pageBreakBefore w:val="0"/>
        <w:widowControl/>
        <w:kinsoku w:val="0"/>
        <w:wordWrap/>
        <w:overflowPunct/>
        <w:topLinePunct w:val="0"/>
        <w:autoSpaceDE w:val="0"/>
        <w:autoSpaceDN w:val="0"/>
        <w:bidi w:val="0"/>
        <w:adjustRightInd/>
        <w:snapToGrid w:val="0"/>
        <w:spacing w:before="0" w:beforeAutospacing="0" w:after="0" w:afterAutospacing="0" w:line="640" w:lineRule="exact"/>
        <w:ind w:left="0" w:right="0"/>
        <w:jc w:val="center"/>
        <w:textAlignment w:val="auto"/>
        <w:rPr>
          <w:rFonts w:hint="eastAsia" w:ascii="Times New Roman" w:hAnsi="Times New Roman" w:eastAsia="方正小标宋简体" w:cs="Times New Roman"/>
          <w:b w:val="0"/>
          <w:bCs w:val="0"/>
          <w:color w:val="000000"/>
          <w:spacing w:val="-9"/>
          <w:kern w:val="0"/>
          <w:sz w:val="44"/>
          <w:szCs w:val="44"/>
          <w:lang w:val="en-US" w:bidi="ar-SA"/>
        </w:rPr>
      </w:pPr>
    </w:p>
    <w:p>
      <w:pPr>
        <w:keepNext w:val="0"/>
        <w:keepLines w:val="0"/>
        <w:pageBreakBefore w:val="0"/>
        <w:widowControl/>
        <w:kinsoku/>
        <w:wordWrap/>
        <w:overflowPunct/>
        <w:topLinePunct w:val="0"/>
        <w:bidi w:val="0"/>
        <w:adjustRightInd/>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Calibri" w:eastAsia="仿宋_GB2312" w:cs="Times New Roman"/>
          <w:kern w:val="2"/>
          <w:sz w:val="32"/>
          <w:szCs w:val="32"/>
          <w:lang w:bidi="ar"/>
        </w:rPr>
        <w:t>为进一步规范财政资金管理，强化绩效和责任意识，切实提高财政资金使用效益，根据《中共中央国务院关于全面实施预算绩效管理的意见》（中发〔2018〕34号）、《中共湖南省委办公厅湖南省人民政府办公厅关于全面实施预算绩效管理的实施意见》（湘办发〔2019〕10号）精神，按照《长沙市财政局关于开展2023年度市直预算单位绩效自评工作的通知》(长财绩〔2023〕2号)、《湖南省省级预算部门绩效自评操作规程》（湘财绩〔2020〕5号）文件要求，</w:t>
      </w:r>
      <w:r>
        <w:rPr>
          <w:rFonts w:hint="eastAsia" w:ascii="仿宋_GB2312" w:hAnsi="Calibri" w:eastAsia="仿宋_GB2312" w:cs="Times New Roman"/>
          <w:kern w:val="2"/>
          <w:sz w:val="32"/>
          <w:szCs w:val="32"/>
          <w:lang w:eastAsia="zh-CN" w:bidi="ar"/>
        </w:rPr>
        <w:t>长沙中华职业教育社办公室</w:t>
      </w:r>
      <w:r>
        <w:rPr>
          <w:rFonts w:hint="eastAsia" w:ascii="仿宋_GB2312" w:hAnsi="Calibri" w:eastAsia="仿宋_GB2312" w:cs="Times New Roman"/>
          <w:kern w:val="2"/>
          <w:sz w:val="32"/>
          <w:szCs w:val="32"/>
          <w:lang w:bidi="ar"/>
        </w:rPr>
        <w:t>（以下简称“</w:t>
      </w:r>
      <w:r>
        <w:rPr>
          <w:rFonts w:hint="eastAsia" w:ascii="仿宋_GB2312" w:hAnsi="Calibri" w:eastAsia="仿宋_GB2312" w:cs="Times New Roman"/>
          <w:kern w:val="2"/>
          <w:sz w:val="32"/>
          <w:szCs w:val="32"/>
          <w:lang w:eastAsia="zh-CN" w:bidi="ar"/>
        </w:rPr>
        <w:t>长沙职教社</w:t>
      </w:r>
      <w:r>
        <w:rPr>
          <w:rFonts w:hint="eastAsia" w:ascii="仿宋_GB2312" w:hAnsi="Calibri" w:eastAsia="仿宋_GB2312" w:cs="Times New Roman"/>
          <w:kern w:val="2"/>
          <w:sz w:val="32"/>
          <w:szCs w:val="32"/>
          <w:lang w:bidi="ar"/>
        </w:rPr>
        <w:t>”）绩效评价工作组于2023年4</w:t>
      </w:r>
      <w:r>
        <w:rPr>
          <w:rFonts w:hint="eastAsia" w:ascii="仿宋_GB2312" w:hAnsi="Calibri" w:eastAsia="仿宋_GB2312" w:cs="Times New Roman"/>
          <w:kern w:val="2"/>
          <w:sz w:val="32"/>
          <w:szCs w:val="32"/>
          <w:lang w:eastAsia="zh-CN" w:bidi="ar"/>
        </w:rPr>
        <w:t>月</w:t>
      </w:r>
      <w:r>
        <w:rPr>
          <w:rFonts w:hint="eastAsia" w:ascii="仿宋_GB2312" w:hAnsi="Calibri" w:eastAsia="仿宋_GB2312" w:cs="Times New Roman"/>
          <w:kern w:val="2"/>
          <w:sz w:val="32"/>
          <w:szCs w:val="32"/>
          <w:lang w:bidi="ar"/>
        </w:rPr>
        <w:t>对本</w:t>
      </w:r>
      <w:r>
        <w:rPr>
          <w:rFonts w:hint="eastAsia" w:ascii="仿宋_GB2312" w:hAnsi="Calibri" w:eastAsia="仿宋_GB2312" w:cs="Times New Roman"/>
          <w:kern w:val="2"/>
          <w:sz w:val="32"/>
          <w:szCs w:val="32"/>
          <w:lang w:eastAsia="zh-CN" w:bidi="ar"/>
        </w:rPr>
        <w:t>单位</w:t>
      </w:r>
      <w:r>
        <w:rPr>
          <w:rFonts w:hint="eastAsia" w:ascii="仿宋_GB2312" w:hAnsi="Calibri" w:eastAsia="仿宋_GB2312" w:cs="Times New Roman"/>
          <w:kern w:val="2"/>
          <w:sz w:val="32"/>
          <w:szCs w:val="32"/>
          <w:lang w:bidi="ar"/>
        </w:rPr>
        <w:t>整体支出实施了绩效评价。</w:t>
      </w:r>
      <w:r>
        <w:rPr>
          <w:rFonts w:hint="eastAsia" w:ascii="仿宋_GB2312" w:hAnsi="Calibri" w:eastAsia="仿宋_GB2312" w:cs="Times New Roman"/>
          <w:kern w:val="2"/>
          <w:sz w:val="32"/>
          <w:szCs w:val="32"/>
          <w:lang w:eastAsia="zh-CN" w:bidi="ar"/>
        </w:rPr>
        <w:t>长沙职教社</w:t>
      </w:r>
      <w:r>
        <w:rPr>
          <w:rFonts w:hint="eastAsia" w:ascii="仿宋_GB2312" w:hAnsi="宋体" w:eastAsia="仿宋_GB2312" w:cs="Times New Roman"/>
          <w:b w:val="0"/>
          <w:bCs w:val="0"/>
          <w:kern w:val="2"/>
          <w:sz w:val="32"/>
          <w:szCs w:val="32"/>
          <w:lang w:val="en-US" w:eastAsia="zh-CN" w:bidi="ar"/>
        </w:rPr>
        <w:t>积极组织对202</w:t>
      </w:r>
      <w:r>
        <w:rPr>
          <w:rFonts w:hint="eastAsia" w:ascii="仿宋_GB2312" w:eastAsia="仿宋_GB2312" w:cs="Times New Roman"/>
          <w:b w:val="0"/>
          <w:bCs w:val="0"/>
          <w:kern w:val="2"/>
          <w:sz w:val="32"/>
          <w:szCs w:val="32"/>
          <w:lang w:val="en-US" w:eastAsia="zh-CN" w:bidi="ar"/>
        </w:rPr>
        <w:t>2</w:t>
      </w:r>
      <w:r>
        <w:rPr>
          <w:rFonts w:hint="eastAsia" w:ascii="仿宋_GB2312" w:hAnsi="宋体" w:eastAsia="仿宋_GB2312" w:cs="Times New Roman"/>
          <w:b w:val="0"/>
          <w:bCs w:val="0"/>
          <w:kern w:val="2"/>
          <w:sz w:val="32"/>
          <w:szCs w:val="32"/>
          <w:lang w:val="en-US" w:eastAsia="zh-CN" w:bidi="ar"/>
        </w:rPr>
        <w:t>年度本单位整体支出进行了绩效评价。现将具体绩效评价情况报告如下：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黑体" w:cs="Times New Roman"/>
          <w:b w:val="0"/>
          <w:bCs/>
          <w:kern w:val="2"/>
          <w:sz w:val="32"/>
          <w:szCs w:val="32"/>
          <w:lang w:val="en-US" w:bidi="ar-SA"/>
        </w:rPr>
      </w:pPr>
      <w:bookmarkStart w:id="0" w:name="_Toc36390642"/>
      <w:r>
        <w:rPr>
          <w:rFonts w:hint="default" w:ascii="Times New Roman" w:hAnsi="Times New Roman" w:eastAsia="黑体" w:cs="Times New Roman"/>
          <w:b w:val="0"/>
          <w:bCs/>
          <w:sz w:val="32"/>
          <w:szCs w:val="32"/>
          <w:lang w:val="en-US" w:eastAsia="zh-CN"/>
        </w:rPr>
        <w:t>一、</w:t>
      </w:r>
      <w:r>
        <w:rPr>
          <w:rFonts w:hint="eastAsia" w:ascii="Times New Roman" w:hAnsi="Times New Roman" w:eastAsia="黑体" w:cs="Times New Roman"/>
          <w:b w:val="0"/>
          <w:bCs/>
          <w:kern w:val="2"/>
          <w:sz w:val="32"/>
          <w:szCs w:val="32"/>
          <w:lang w:val="en-US" w:bidi="ar-SA"/>
        </w:rPr>
        <w:t>部门概况</w:t>
      </w:r>
      <w:bookmarkEnd w:id="0"/>
      <w:bookmarkStart w:id="1" w:name="_Toc36390645"/>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3" w:firstLineChars="200"/>
        <w:contextualSpacing/>
        <w:jc w:val="left"/>
        <w:textAlignment w:val="auto"/>
        <w:outlineLvl w:val="0"/>
        <w:rPr>
          <w:rFonts w:hint="eastAsia" w:ascii="Times New Roman" w:hAnsi="Times New Roman" w:eastAsia="楷体_GB2312" w:cs="Times New Roman"/>
          <w:b/>
          <w:bCs w:val="0"/>
          <w:kern w:val="2"/>
          <w:sz w:val="32"/>
          <w:szCs w:val="32"/>
          <w:lang w:val="en-US" w:eastAsia="zh-CN" w:bidi="ar-SA"/>
        </w:rPr>
      </w:pPr>
      <w:r>
        <w:rPr>
          <w:rFonts w:hint="eastAsia" w:ascii="Times New Roman" w:hAnsi="Times New Roman" w:eastAsia="楷体_GB2312" w:cs="Times New Roman"/>
          <w:b/>
          <w:bCs w:val="0"/>
          <w:kern w:val="2"/>
          <w:sz w:val="32"/>
          <w:szCs w:val="32"/>
          <w:lang w:val="en-US" w:eastAsia="zh-CN" w:bidi="ar-SA"/>
        </w:rPr>
        <w:t>（一）部门单位基本情况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长沙职教社为中共长沙市委统一战线工作部下属二级单位，财政全额拨款事业单位，属于独立核算单位。经机构编制管理部门核定事业编制人数3人，其中在职在岗2人；聘用人员1名。本单位无内设机构。主要工作职能有： 1.宣传党的职业教育的方针政策，积极参与建设教育强市、推动创业富民战略实施，推进长沙职业教育事业的健康发展； 2.联系和团结有关社会力量开展职业教育的调查、研究与实践，探索长沙职业教育改革和发展的有效途径，并就有关问题向市委、市政府积极建言献策； 3.弘扬和积极践行黄炎培职业教育思想，倡导全社会形成重视职业教育的良好风尚； 4.面向农村、企业、社区、学校，开展送教、讲学、培训活动，培养、培训劳动者职业素养、职业技能，增强劳动者就业、创业能力，拓宽温暖工程工作领域； 5.加强职业教育办学实践，加强与民办职业教育人士的联系，注重在民办职业教育领域发挥作用； 6.开展与香港、澳门及台湾地区同胞和海外侨胞中，从事和关心支持职业教育的团体和人士的联系与合作，开展与国外有关教育团体和人士的联系与交流，增进相互了解，促进民间友好往来； 7.加强与其他省、市职业教育社的研讨、交流与合作。 8.完成市委统战部、市教育局交办的其他工作。</w:t>
      </w:r>
      <w:bookmarkEnd w:id="1"/>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3" w:firstLineChars="200"/>
        <w:contextualSpacing/>
        <w:jc w:val="left"/>
        <w:textAlignment w:val="auto"/>
        <w:outlineLvl w:val="0"/>
        <w:rPr>
          <w:rFonts w:ascii="宋体" w:hAnsi="宋体" w:eastAsia="宋体"/>
          <w:b w:val="0"/>
          <w:color w:val="000000"/>
          <w:kern w:val="0"/>
          <w:sz w:val="28"/>
          <w:szCs w:val="28"/>
        </w:rPr>
      </w:pPr>
      <w:r>
        <w:rPr>
          <w:rFonts w:hint="eastAsia" w:ascii="Times New Roman" w:hAnsi="Times New Roman" w:eastAsia="楷体_GB2312" w:cs="Times New Roman"/>
          <w:b/>
          <w:bCs w:val="0"/>
          <w:kern w:val="2"/>
          <w:sz w:val="32"/>
          <w:szCs w:val="32"/>
          <w:lang w:val="en-US" w:eastAsia="zh-CN" w:bidi="ar-SA"/>
        </w:rPr>
        <w:t>（二）部门整体支出规模</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bookmarkStart w:id="2" w:name="_Toc36390647"/>
      <w:r>
        <w:rPr>
          <w:rFonts w:hint="eastAsia" w:ascii="仿宋_GB2312" w:hAnsi="宋体" w:eastAsia="仿宋_GB2312" w:cs="Times New Roman"/>
          <w:b w:val="0"/>
          <w:bCs w:val="0"/>
          <w:kern w:val="2"/>
          <w:sz w:val="32"/>
          <w:szCs w:val="32"/>
          <w:lang w:val="en-US" w:eastAsia="zh-CN" w:bidi="ar"/>
        </w:rPr>
        <w:t>财政拨款支出全年共计支出</w:t>
      </w:r>
      <w:r>
        <w:rPr>
          <w:rFonts w:hint="eastAsia" w:ascii="仿宋_GB2312" w:eastAsia="仿宋_GB2312" w:cs="Times New Roman"/>
          <w:b w:val="0"/>
          <w:bCs w:val="0"/>
          <w:kern w:val="2"/>
          <w:sz w:val="32"/>
          <w:szCs w:val="32"/>
          <w:lang w:val="en-US" w:eastAsia="zh-CN" w:bidi="ar"/>
        </w:rPr>
        <w:t>92.36</w:t>
      </w:r>
      <w:r>
        <w:rPr>
          <w:rFonts w:hint="eastAsia" w:ascii="仿宋_GB2312" w:hAnsi="宋体" w:eastAsia="仿宋_GB2312" w:cs="Times New Roman"/>
          <w:b w:val="0"/>
          <w:bCs w:val="0"/>
          <w:kern w:val="2"/>
          <w:sz w:val="32"/>
          <w:szCs w:val="32"/>
          <w:lang w:val="en-US" w:eastAsia="zh-CN" w:bidi="ar"/>
        </w:rPr>
        <w:t>万元，其中：基本支出全年共计</w:t>
      </w:r>
      <w:r>
        <w:rPr>
          <w:rFonts w:hint="eastAsia" w:ascii="仿宋_GB2312" w:hAnsi="宋体" w:eastAsia="仿宋_GB2312" w:cs="Times New Roman"/>
          <w:b w:val="0"/>
          <w:bCs w:val="0"/>
          <w:snapToGrid/>
          <w:kern w:val="2"/>
          <w:sz w:val="32"/>
          <w:szCs w:val="32"/>
          <w:lang w:val="en-US" w:eastAsia="zh-CN" w:bidi="ar"/>
        </w:rPr>
        <w:t>43.98</w:t>
      </w:r>
      <w:r>
        <w:rPr>
          <w:rFonts w:hint="eastAsia" w:ascii="仿宋_GB2312" w:hAnsi="宋体" w:eastAsia="仿宋_GB2312" w:cs="Times New Roman"/>
          <w:b w:val="0"/>
          <w:bCs w:val="0"/>
          <w:kern w:val="2"/>
          <w:sz w:val="32"/>
          <w:szCs w:val="32"/>
          <w:lang w:val="en-US" w:eastAsia="zh-CN" w:bidi="ar"/>
        </w:rPr>
        <w:t>万元，占全年总支出的</w:t>
      </w:r>
      <w:r>
        <w:rPr>
          <w:rFonts w:hint="eastAsia" w:ascii="仿宋_GB2312" w:hAnsi="宋体" w:eastAsia="仿宋_GB2312" w:cs="Times New Roman"/>
          <w:b w:val="0"/>
          <w:bCs w:val="0"/>
          <w:snapToGrid/>
          <w:kern w:val="2"/>
          <w:sz w:val="32"/>
          <w:szCs w:val="32"/>
          <w:lang w:val="en-US" w:eastAsia="zh-CN" w:bidi="ar"/>
        </w:rPr>
        <w:t>47.61</w:t>
      </w:r>
      <w:r>
        <w:rPr>
          <w:rFonts w:hint="eastAsia" w:ascii="仿宋_GB2312" w:hAnsi="宋体" w:eastAsia="仿宋_GB2312" w:cs="Times New Roman"/>
          <w:b w:val="0"/>
          <w:bCs w:val="0"/>
          <w:kern w:val="2"/>
          <w:sz w:val="32"/>
          <w:szCs w:val="32"/>
          <w:lang w:val="en-US" w:eastAsia="zh-CN" w:bidi="ar"/>
        </w:rPr>
        <w:t>%（包括：工资福利支</w:t>
      </w:r>
      <w:r>
        <w:rPr>
          <w:rFonts w:hint="eastAsia" w:ascii="仿宋_GB2312" w:hAnsi="宋体" w:eastAsia="仿宋_GB2312" w:cs="Times New Roman"/>
          <w:b w:val="0"/>
          <w:bCs w:val="0"/>
          <w:snapToGrid/>
          <w:kern w:val="2"/>
          <w:sz w:val="32"/>
          <w:szCs w:val="32"/>
          <w:lang w:val="en-US" w:eastAsia="zh-CN" w:bidi="ar"/>
        </w:rPr>
        <w:t>出39.97万元，商品和服务支出4.01万</w:t>
      </w:r>
      <w:r>
        <w:rPr>
          <w:rFonts w:hint="eastAsia" w:ascii="仿宋_GB2312" w:hAnsi="宋体" w:eastAsia="仿宋_GB2312" w:cs="Times New Roman"/>
          <w:b w:val="0"/>
          <w:bCs w:val="0"/>
          <w:kern w:val="2"/>
          <w:sz w:val="32"/>
          <w:szCs w:val="32"/>
          <w:lang w:val="en-US" w:eastAsia="zh-CN" w:bidi="ar"/>
        </w:rPr>
        <w:t>元），项目支出全年共计</w:t>
      </w:r>
      <w:r>
        <w:rPr>
          <w:rFonts w:hint="eastAsia" w:ascii="仿宋_GB2312" w:hAnsi="宋体" w:eastAsia="仿宋_GB2312" w:cs="Times New Roman"/>
          <w:b w:val="0"/>
          <w:bCs w:val="0"/>
          <w:snapToGrid/>
          <w:kern w:val="2"/>
          <w:sz w:val="32"/>
          <w:szCs w:val="32"/>
          <w:lang w:val="en-US" w:eastAsia="zh-CN" w:bidi="ar"/>
        </w:rPr>
        <w:t>48.38</w:t>
      </w:r>
      <w:r>
        <w:rPr>
          <w:rFonts w:hint="eastAsia" w:ascii="仿宋_GB2312" w:hAnsi="宋体" w:eastAsia="仿宋_GB2312" w:cs="Times New Roman"/>
          <w:b w:val="0"/>
          <w:bCs w:val="0"/>
          <w:kern w:val="2"/>
          <w:sz w:val="32"/>
          <w:szCs w:val="32"/>
          <w:lang w:val="en-US" w:eastAsia="zh-CN" w:bidi="ar"/>
        </w:rPr>
        <w:t>万元，占全年总支出的</w:t>
      </w:r>
      <w:r>
        <w:rPr>
          <w:rFonts w:hint="eastAsia" w:ascii="仿宋_GB2312" w:hAnsi="宋体" w:eastAsia="仿宋_GB2312" w:cs="Times New Roman"/>
          <w:b w:val="0"/>
          <w:bCs w:val="0"/>
          <w:snapToGrid/>
          <w:kern w:val="2"/>
          <w:sz w:val="32"/>
          <w:szCs w:val="32"/>
          <w:lang w:val="en-US" w:eastAsia="zh-CN" w:bidi="ar"/>
        </w:rPr>
        <w:t>52.39</w:t>
      </w:r>
      <w:r>
        <w:rPr>
          <w:rFonts w:hint="eastAsia" w:ascii="仿宋_GB2312" w:hAnsi="宋体" w:eastAsia="仿宋_GB2312" w:cs="Times New Roman"/>
          <w:b w:val="0"/>
          <w:bCs w:val="0"/>
          <w:kern w:val="2"/>
          <w:sz w:val="32"/>
          <w:szCs w:val="32"/>
          <w:lang w:val="en-US" w:eastAsia="zh-CN" w:bidi="ar"/>
        </w:rPr>
        <w:t>%（商品和服务支出</w:t>
      </w:r>
      <w:r>
        <w:rPr>
          <w:rFonts w:hint="eastAsia" w:ascii="仿宋_GB2312" w:eastAsia="仿宋_GB2312" w:cs="Times New Roman"/>
          <w:b w:val="0"/>
          <w:bCs w:val="0"/>
          <w:kern w:val="2"/>
          <w:sz w:val="32"/>
          <w:szCs w:val="32"/>
          <w:lang w:val="en-US" w:eastAsia="zh-CN" w:bidi="ar"/>
        </w:rPr>
        <w:t>48.38</w:t>
      </w:r>
      <w:r>
        <w:rPr>
          <w:rFonts w:hint="eastAsia" w:ascii="仿宋_GB2312" w:hAnsi="宋体" w:eastAsia="仿宋_GB2312" w:cs="Times New Roman"/>
          <w:b w:val="0"/>
          <w:bCs w:val="0"/>
          <w:kern w:val="2"/>
          <w:sz w:val="32"/>
          <w:szCs w:val="32"/>
          <w:lang w:val="en-US" w:eastAsia="zh-CN" w:bidi="ar"/>
        </w:rPr>
        <w:t>万元）。本年度单位共计收入</w:t>
      </w:r>
      <w:r>
        <w:rPr>
          <w:rFonts w:hint="eastAsia" w:ascii="仿宋_GB2312" w:eastAsia="仿宋_GB2312" w:cs="Times New Roman"/>
          <w:b w:val="0"/>
          <w:bCs w:val="0"/>
          <w:kern w:val="2"/>
          <w:sz w:val="32"/>
          <w:szCs w:val="32"/>
          <w:lang w:val="en-US" w:eastAsia="zh-CN" w:bidi="ar"/>
        </w:rPr>
        <w:t>92.36</w:t>
      </w:r>
      <w:r>
        <w:rPr>
          <w:rFonts w:hint="eastAsia" w:ascii="仿宋_GB2312" w:hAnsi="宋体" w:eastAsia="仿宋_GB2312" w:cs="Times New Roman"/>
          <w:b w:val="0"/>
          <w:bCs w:val="0"/>
          <w:kern w:val="2"/>
          <w:sz w:val="32"/>
          <w:szCs w:val="32"/>
          <w:lang w:val="en-US" w:eastAsia="zh-CN" w:bidi="ar"/>
        </w:rPr>
        <w:t>万元，共计支出</w:t>
      </w:r>
      <w:r>
        <w:rPr>
          <w:rFonts w:hint="eastAsia" w:ascii="仿宋_GB2312" w:eastAsia="仿宋_GB2312" w:cs="Times New Roman"/>
          <w:b w:val="0"/>
          <w:bCs w:val="0"/>
          <w:kern w:val="2"/>
          <w:sz w:val="32"/>
          <w:szCs w:val="32"/>
          <w:lang w:val="en-US" w:eastAsia="zh-CN" w:bidi="ar"/>
        </w:rPr>
        <w:t>92.36</w:t>
      </w:r>
      <w:r>
        <w:rPr>
          <w:rFonts w:hint="eastAsia" w:ascii="仿宋_GB2312" w:hAnsi="宋体" w:eastAsia="仿宋_GB2312" w:cs="Times New Roman"/>
          <w:b w:val="0"/>
          <w:bCs w:val="0"/>
          <w:kern w:val="2"/>
          <w:sz w:val="32"/>
          <w:szCs w:val="32"/>
          <w:lang w:val="en-US" w:eastAsia="zh-CN" w:bidi="ar"/>
        </w:rPr>
        <w:t>万元，年末事业结余为零。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二、部门整体支出管理及使用情况</w:t>
      </w:r>
      <w:bookmarkEnd w:id="2"/>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3" w:firstLineChars="200"/>
        <w:contextualSpacing/>
        <w:jc w:val="left"/>
        <w:textAlignment w:val="auto"/>
        <w:outlineLvl w:val="0"/>
        <w:rPr>
          <w:rFonts w:hint="eastAsia" w:ascii="Times New Roman" w:hAnsi="Times New Roman" w:eastAsia="楷体_GB2312" w:cs="Times New Roman"/>
          <w:b/>
          <w:bCs w:val="0"/>
          <w:kern w:val="2"/>
          <w:sz w:val="32"/>
          <w:szCs w:val="32"/>
          <w:lang w:val="en-US" w:eastAsia="zh-CN" w:bidi="ar-SA"/>
        </w:rPr>
      </w:pPr>
      <w:bookmarkStart w:id="3" w:name="_Toc36390648"/>
      <w:r>
        <w:rPr>
          <w:rFonts w:hint="eastAsia" w:ascii="Times New Roman" w:hAnsi="Times New Roman" w:eastAsia="楷体_GB2312" w:cs="Times New Roman"/>
          <w:b/>
          <w:bCs w:val="0"/>
          <w:kern w:val="2"/>
          <w:sz w:val="32"/>
          <w:szCs w:val="32"/>
          <w:lang w:val="en-US" w:eastAsia="zh-CN" w:bidi="ar-SA"/>
        </w:rPr>
        <w:t>（一）基本支出</w:t>
      </w:r>
      <w:bookmarkEnd w:id="3"/>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right="420" w:firstLine="640" w:firstLineChars="200"/>
        <w:jc w:val="both"/>
        <w:textAlignment w:val="center"/>
        <w:rPr>
          <w:rFonts w:hint="eastAsia" w:ascii="仿宋_GB2312" w:hAnsi="Calibri" w:eastAsia="仿宋_GB2312" w:cs="Times New Roman"/>
          <w:kern w:val="2"/>
          <w:sz w:val="32"/>
          <w:szCs w:val="32"/>
          <w:lang w:val="en-US" w:eastAsia="zh-CN" w:bidi="ar"/>
        </w:rPr>
      </w:pPr>
      <w:r>
        <w:rPr>
          <w:rFonts w:hint="eastAsia" w:ascii="仿宋_GB2312" w:eastAsia="仿宋_GB2312" w:cs="Times New Roman"/>
          <w:b w:val="0"/>
          <w:bCs w:val="0"/>
          <w:kern w:val="2"/>
          <w:sz w:val="32"/>
          <w:szCs w:val="32"/>
          <w:lang w:val="en-US" w:eastAsia="zh-CN" w:bidi="ar"/>
        </w:rPr>
        <w:t>2022年</w:t>
      </w:r>
      <w:r>
        <w:rPr>
          <w:rFonts w:hint="eastAsia" w:ascii="仿宋_GB2312" w:hAnsi="宋体" w:eastAsia="仿宋_GB2312" w:cs="仿宋_GB2312"/>
          <w:kern w:val="0"/>
          <w:sz w:val="32"/>
          <w:szCs w:val="32"/>
          <w:lang w:val="en-US" w:eastAsia="zh-CN"/>
        </w:rPr>
        <w:t>度</w:t>
      </w:r>
      <w:r>
        <w:rPr>
          <w:rFonts w:hint="eastAsia" w:ascii="仿宋_GB2312" w:hAnsi="宋体" w:eastAsia="仿宋_GB2312" w:cs="Times New Roman"/>
          <w:b w:val="0"/>
          <w:bCs w:val="0"/>
          <w:kern w:val="2"/>
          <w:sz w:val="32"/>
          <w:szCs w:val="32"/>
          <w:lang w:val="en-US" w:eastAsia="zh-CN" w:bidi="ar"/>
        </w:rPr>
        <w:t>长沙职教社</w:t>
      </w:r>
      <w:r>
        <w:rPr>
          <w:rFonts w:hint="eastAsia" w:ascii="仿宋_GB2312" w:hAnsi="Calibri" w:eastAsia="仿宋_GB2312" w:cs="Times New Roman"/>
          <w:kern w:val="2"/>
          <w:sz w:val="32"/>
          <w:szCs w:val="32"/>
          <w:lang w:bidi="ar"/>
        </w:rPr>
        <w:t>基本支出</w:t>
      </w:r>
      <w:r>
        <w:rPr>
          <w:rFonts w:hint="eastAsia" w:ascii="仿宋_GB2312" w:hAnsi="Calibri" w:eastAsia="仿宋_GB2312" w:cs="Times New Roman"/>
          <w:kern w:val="2"/>
          <w:sz w:val="32"/>
          <w:szCs w:val="32"/>
          <w:lang w:val="en-US" w:eastAsia="zh-CN" w:bidi="ar"/>
        </w:rPr>
        <w:t>年初预算数58.87万元，主要是为保障部门正常运转、完成日常工作任务而发生的各项支出，包括用于基本工资、津贴补贴等人员经费以及办公费、印刷费、其他交通费用、公务用车运行维护费、其他商品和服务支出等公用经费。</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kern w:val="2"/>
          <w:sz w:val="32"/>
          <w:szCs w:val="32"/>
          <w:lang w:val="en-US" w:eastAsia="zh-CN" w:bidi="ar"/>
        </w:rPr>
      </w:pPr>
      <w:r>
        <w:rPr>
          <w:rFonts w:hint="eastAsia" w:ascii="仿宋_GB2312" w:eastAsia="仿宋_GB2312" w:cs="Times New Roman"/>
          <w:kern w:val="2"/>
          <w:sz w:val="32"/>
          <w:szCs w:val="32"/>
          <w:lang w:eastAsia="zh-CN" w:bidi="ar"/>
        </w:rPr>
        <w:t>支出决算数为</w:t>
      </w:r>
      <w:r>
        <w:rPr>
          <w:rFonts w:hint="eastAsia" w:ascii="仿宋_GB2312" w:eastAsia="仿宋_GB2312" w:cs="Times New Roman"/>
          <w:kern w:val="2"/>
          <w:sz w:val="32"/>
          <w:szCs w:val="32"/>
          <w:lang w:val="en-US" w:eastAsia="zh-CN" w:bidi="ar"/>
        </w:rPr>
        <w:t>43.98</w:t>
      </w:r>
      <w:r>
        <w:rPr>
          <w:rFonts w:hint="eastAsia" w:ascii="仿宋_GB2312" w:hAnsi="Calibri" w:eastAsia="仿宋_GB2312" w:cs="Times New Roman"/>
          <w:kern w:val="2"/>
          <w:sz w:val="32"/>
          <w:szCs w:val="32"/>
          <w:lang w:bidi="ar"/>
        </w:rPr>
        <w:t>万元，</w:t>
      </w:r>
      <w:r>
        <w:rPr>
          <w:rFonts w:hint="eastAsia" w:ascii="仿宋_GB2312" w:hAnsi="宋体" w:eastAsia="仿宋_GB2312" w:cs="Times New Roman"/>
          <w:kern w:val="2"/>
          <w:sz w:val="32"/>
          <w:szCs w:val="32"/>
          <w:lang w:val="en-US" w:eastAsia="zh-CN" w:bidi="ar"/>
        </w:rPr>
        <w:t>其中人员经费支出为</w:t>
      </w:r>
      <w:r>
        <w:rPr>
          <w:rFonts w:hint="eastAsia" w:ascii="仿宋_GB2312" w:eastAsia="仿宋_GB2312" w:cs="Times New Roman"/>
          <w:kern w:val="2"/>
          <w:sz w:val="32"/>
          <w:szCs w:val="32"/>
          <w:lang w:val="en-US" w:eastAsia="zh-CN" w:bidi="ar"/>
        </w:rPr>
        <w:t>39.97</w:t>
      </w:r>
      <w:r>
        <w:rPr>
          <w:rFonts w:hint="eastAsia" w:ascii="仿宋_GB2312" w:hAnsi="宋体" w:eastAsia="仿宋_GB2312" w:cs="Times New Roman"/>
          <w:kern w:val="2"/>
          <w:sz w:val="32"/>
          <w:szCs w:val="32"/>
          <w:lang w:val="en-US" w:eastAsia="zh-CN" w:bidi="ar"/>
        </w:rPr>
        <w:t>万，日常公用经费支出为</w:t>
      </w:r>
      <w:r>
        <w:rPr>
          <w:rFonts w:hint="eastAsia" w:ascii="仿宋_GB2312" w:eastAsia="仿宋_GB2312" w:cs="Times New Roman"/>
          <w:kern w:val="2"/>
          <w:sz w:val="32"/>
          <w:szCs w:val="32"/>
          <w:lang w:val="en-US" w:eastAsia="zh-CN" w:bidi="ar"/>
        </w:rPr>
        <w:t>4.01</w:t>
      </w:r>
      <w:r>
        <w:rPr>
          <w:rFonts w:hint="eastAsia" w:ascii="仿宋_GB2312" w:hAnsi="宋体" w:eastAsia="仿宋_GB2312" w:cs="Times New Roman"/>
          <w:kern w:val="2"/>
          <w:sz w:val="32"/>
          <w:szCs w:val="32"/>
          <w:lang w:val="en-US" w:eastAsia="zh-CN" w:bidi="ar"/>
        </w:rPr>
        <w:t>万</w:t>
      </w:r>
      <w:r>
        <w:rPr>
          <w:rFonts w:hint="eastAsia" w:ascii="仿宋_GB2312" w:eastAsia="仿宋_GB2312" w:cs="Times New Roman"/>
          <w:kern w:val="2"/>
          <w:sz w:val="32"/>
          <w:szCs w:val="32"/>
          <w:lang w:val="en-US" w:eastAsia="zh-CN" w:bidi="ar"/>
        </w:rPr>
        <w:t>，</w:t>
      </w:r>
      <w:r>
        <w:rPr>
          <w:rFonts w:hint="eastAsia" w:ascii="仿宋_GB2312" w:hAnsi="宋体" w:eastAsia="仿宋_GB2312" w:cs="宋体"/>
          <w:kern w:val="0"/>
          <w:sz w:val="32"/>
          <w:szCs w:val="32"/>
          <w:shd w:val="clear" w:color="auto" w:fill="auto"/>
        </w:rPr>
        <w:t>完成年初预算的</w:t>
      </w:r>
      <w:r>
        <w:rPr>
          <w:rFonts w:hint="eastAsia" w:ascii="仿宋_GB2312" w:eastAsia="仿宋_GB2312" w:cs="仿宋_GB2312"/>
          <w:kern w:val="0"/>
          <w:sz w:val="32"/>
          <w:szCs w:val="32"/>
          <w:shd w:val="clear" w:color="auto" w:fill="auto"/>
          <w:lang w:val="en-US" w:eastAsia="zh-CN"/>
        </w:rPr>
        <w:t>74.71</w:t>
      </w:r>
      <w:r>
        <w:rPr>
          <w:rFonts w:hint="eastAsia" w:ascii="仿宋_GB2312" w:hAnsi="宋体" w:eastAsia="仿宋_GB2312" w:cs="仿宋_GB2312"/>
          <w:kern w:val="0"/>
          <w:sz w:val="32"/>
          <w:szCs w:val="32"/>
          <w:shd w:val="clear" w:color="auto" w:fill="auto"/>
        </w:rPr>
        <w:t>%。决算数</w:t>
      </w:r>
      <w:r>
        <w:rPr>
          <w:rFonts w:hint="eastAsia" w:ascii="仿宋_GB2312" w:eastAsia="仿宋_GB2312" w:cs="仿宋_GB2312"/>
          <w:kern w:val="0"/>
          <w:sz w:val="32"/>
          <w:szCs w:val="32"/>
          <w:shd w:val="clear" w:color="auto" w:fill="auto"/>
          <w:lang w:eastAsia="zh-CN"/>
        </w:rPr>
        <w:t>小于</w:t>
      </w:r>
      <w:r>
        <w:rPr>
          <w:rFonts w:hint="eastAsia" w:ascii="仿宋_GB2312" w:hAnsi="宋体" w:eastAsia="仿宋_GB2312" w:cs="仿宋_GB2312"/>
          <w:kern w:val="0"/>
          <w:sz w:val="32"/>
          <w:szCs w:val="32"/>
          <w:shd w:val="clear" w:color="auto" w:fill="auto"/>
        </w:rPr>
        <w:t>年初预算数的主要原因是</w:t>
      </w:r>
      <w:r>
        <w:rPr>
          <w:rFonts w:hint="eastAsia" w:ascii="仿宋_GB2312" w:hAnsi="宋体" w:eastAsia="仿宋_GB2312" w:cs="Times New Roman"/>
          <w:b w:val="0"/>
          <w:kern w:val="2"/>
          <w:sz w:val="32"/>
          <w:szCs w:val="32"/>
        </w:rPr>
        <w:t>本年2月份调动一名在职人员往长沙市教育保障服务中心</w:t>
      </w:r>
      <w:r>
        <w:rPr>
          <w:rFonts w:hint="eastAsia" w:ascii="仿宋_GB2312" w:eastAsia="仿宋_GB2312" w:cs="Times New Roman"/>
          <w:b w:val="0"/>
          <w:kern w:val="2"/>
          <w:sz w:val="32"/>
          <w:szCs w:val="32"/>
          <w:lang w:eastAsia="zh-CN"/>
        </w:rPr>
        <w:t>，</w:t>
      </w:r>
      <w:r>
        <w:rPr>
          <w:rFonts w:hint="eastAsia" w:ascii="仿宋_GB2312" w:hAnsi="宋体" w:eastAsia="仿宋_GB2312" w:cs="Times New Roman"/>
          <w:b w:val="0"/>
          <w:bCs w:val="0"/>
          <w:snapToGrid/>
          <w:kern w:val="2"/>
          <w:sz w:val="32"/>
          <w:szCs w:val="32"/>
          <w:lang w:val="en-US" w:eastAsia="zh-CN" w:bidi="ar"/>
        </w:rPr>
        <w:t>人员</w:t>
      </w:r>
      <w:r>
        <w:rPr>
          <w:rFonts w:hint="eastAsia" w:ascii="仿宋_GB2312" w:eastAsia="仿宋_GB2312" w:cs="Times New Roman"/>
          <w:b w:val="0"/>
          <w:bCs w:val="0"/>
          <w:snapToGrid/>
          <w:kern w:val="2"/>
          <w:sz w:val="32"/>
          <w:szCs w:val="32"/>
          <w:lang w:val="en-US" w:eastAsia="zh-CN" w:bidi="ar"/>
        </w:rPr>
        <w:t>经费</w:t>
      </w:r>
      <w:r>
        <w:rPr>
          <w:rFonts w:hint="eastAsia" w:ascii="仿宋_GB2312" w:hAnsi="宋体" w:eastAsia="仿宋_GB2312" w:cs="Times New Roman"/>
          <w:b w:val="0"/>
          <w:bCs w:val="0"/>
          <w:snapToGrid/>
          <w:kern w:val="2"/>
          <w:sz w:val="32"/>
          <w:szCs w:val="32"/>
          <w:lang w:val="en-US" w:eastAsia="zh-CN" w:bidi="ar"/>
        </w:rPr>
        <w:t>减少</w:t>
      </w:r>
      <w:r>
        <w:rPr>
          <w:rFonts w:hint="eastAsia" w:ascii="仿宋_GB2312" w:eastAsia="仿宋_GB2312" w:cs="宋体"/>
          <w:kern w:val="0"/>
          <w:sz w:val="32"/>
          <w:szCs w:val="32"/>
          <w:shd w:val="clear" w:color="auto" w:fill="auto"/>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3" w:firstLineChars="200"/>
        <w:contextualSpacing/>
        <w:jc w:val="left"/>
        <w:textAlignment w:val="auto"/>
        <w:outlineLvl w:val="0"/>
        <w:rPr>
          <w:rFonts w:hint="eastAsia" w:ascii="Times New Roman" w:hAnsi="Times New Roman" w:eastAsia="楷体_GB2312" w:cs="Times New Roman"/>
          <w:b/>
          <w:bCs w:val="0"/>
          <w:kern w:val="2"/>
          <w:sz w:val="32"/>
          <w:szCs w:val="32"/>
          <w:lang w:val="en-US" w:eastAsia="zh-CN" w:bidi="ar-SA"/>
        </w:rPr>
      </w:pPr>
      <w:r>
        <w:rPr>
          <w:rFonts w:hint="eastAsia" w:ascii="Times New Roman" w:hAnsi="Times New Roman" w:eastAsia="楷体_GB2312" w:cs="Times New Roman"/>
          <w:b/>
          <w:bCs w:val="0"/>
          <w:kern w:val="2"/>
          <w:sz w:val="32"/>
          <w:szCs w:val="32"/>
          <w:lang w:val="en-US" w:eastAsia="zh-CN" w:bidi="ar-SA"/>
        </w:rPr>
        <w:t>（二）项目支出</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default" w:ascii="仿宋_GB2312" w:hAnsi="宋体" w:eastAsia="仿宋_GB2312" w:cs="Times New Roman"/>
          <w:kern w:val="2"/>
          <w:sz w:val="32"/>
          <w:szCs w:val="32"/>
          <w:lang w:val="en-US" w:eastAsia="zh-CN" w:bidi="ar"/>
        </w:rPr>
      </w:pPr>
      <w:r>
        <w:rPr>
          <w:rFonts w:hint="eastAsia" w:ascii="仿宋_GB2312" w:hAnsi="宋体" w:eastAsia="仿宋_GB2312" w:cs="仿宋_GB2312"/>
          <w:kern w:val="0"/>
          <w:sz w:val="32"/>
          <w:szCs w:val="32"/>
          <w:lang w:val="en-US" w:eastAsia="zh-CN"/>
        </w:rPr>
        <w:t>2022年度</w:t>
      </w:r>
      <w:r>
        <w:rPr>
          <w:rFonts w:hint="eastAsia" w:ascii="仿宋_GB2312" w:hAnsi="宋体" w:eastAsia="仿宋_GB2312" w:cs="Times New Roman"/>
          <w:b w:val="0"/>
          <w:bCs w:val="0"/>
          <w:kern w:val="2"/>
          <w:sz w:val="32"/>
          <w:szCs w:val="32"/>
          <w:lang w:val="en-US" w:eastAsia="zh-CN" w:bidi="ar"/>
        </w:rPr>
        <w:t>长沙职教社</w:t>
      </w:r>
      <w:r>
        <w:rPr>
          <w:rFonts w:hint="eastAsia" w:ascii="仿宋_GB2312" w:hAnsi="宋体" w:eastAsia="仿宋_GB2312" w:cs="仿宋_GB2312"/>
          <w:kern w:val="0"/>
          <w:sz w:val="32"/>
          <w:szCs w:val="32"/>
          <w:lang w:val="en-US" w:eastAsia="zh-CN"/>
        </w:rPr>
        <w:t>年初预算数为</w:t>
      </w:r>
      <w:r>
        <w:rPr>
          <w:rFonts w:hint="eastAsia" w:ascii="仿宋_GB2312" w:hAnsi="宋体" w:eastAsia="仿宋_GB2312" w:cs="Times New Roman"/>
          <w:b w:val="0"/>
          <w:bCs w:val="0"/>
          <w:kern w:val="2"/>
          <w:sz w:val="32"/>
          <w:szCs w:val="32"/>
          <w:lang w:val="en-US" w:eastAsia="zh-CN" w:bidi="ar"/>
        </w:rPr>
        <w:t>36.9</w:t>
      </w:r>
      <w:r>
        <w:rPr>
          <w:rFonts w:hint="eastAsia" w:ascii="仿宋_GB2312" w:hAnsi="宋体" w:eastAsia="仿宋_GB2312" w:cs="仿宋_GB2312"/>
          <w:kern w:val="0"/>
          <w:sz w:val="32"/>
          <w:szCs w:val="32"/>
          <w:lang w:val="en-US" w:eastAsia="zh-CN"/>
        </w:rPr>
        <w:t>万元</w:t>
      </w:r>
      <w:r>
        <w:rPr>
          <w:rFonts w:hint="eastAsia" w:ascii="仿宋_GB2312" w:hAnsi="宋体" w:eastAsia="仿宋_GB2312" w:cs="Times New Roman"/>
          <w:b w:val="0"/>
          <w:bCs w:val="0"/>
          <w:kern w:val="2"/>
          <w:sz w:val="32"/>
          <w:szCs w:val="32"/>
          <w:lang w:val="en-US" w:eastAsia="zh-CN" w:bidi="ar"/>
        </w:rPr>
        <w:t>，主要是单位为完成特定行政工作任务或事业发展目标而发生的支出，包括有关事业发展专项、专项业务费、基本建设支出等</w:t>
      </w:r>
      <w:r>
        <w:rPr>
          <w:rFonts w:hint="eastAsia" w:ascii="仿宋_GB2312" w:eastAsia="仿宋_GB2312" w:cs="Times New Roman"/>
          <w:b w:val="0"/>
          <w:bCs w:val="0"/>
          <w:kern w:val="2"/>
          <w:sz w:val="32"/>
          <w:szCs w:val="32"/>
          <w:lang w:val="en-US" w:eastAsia="zh-CN" w:bidi="ar"/>
        </w:rPr>
        <w:t>。</w:t>
      </w:r>
      <w:r>
        <w:rPr>
          <w:rFonts w:hint="eastAsia" w:ascii="仿宋_GB2312" w:hAnsi="Calibri" w:eastAsia="仿宋_GB2312" w:cs="Times New Roman"/>
          <w:kern w:val="2"/>
          <w:sz w:val="32"/>
          <w:szCs w:val="32"/>
          <w:lang w:val="en-US" w:eastAsia="zh-CN" w:bidi="ar"/>
        </w:rPr>
        <w:t>实际支出</w:t>
      </w:r>
      <w:r>
        <w:rPr>
          <w:rFonts w:hint="eastAsia" w:ascii="仿宋_GB2312" w:hAnsi="宋体" w:eastAsia="仿宋_GB2312" w:cs="Times New Roman"/>
          <w:kern w:val="2"/>
          <w:sz w:val="32"/>
          <w:szCs w:val="32"/>
          <w:lang w:val="en-US" w:eastAsia="zh-CN" w:bidi="ar"/>
        </w:rPr>
        <w:t>为</w:t>
      </w:r>
      <w:r>
        <w:rPr>
          <w:rFonts w:hint="eastAsia" w:ascii="仿宋_GB2312" w:eastAsia="仿宋_GB2312" w:cs="Times New Roman"/>
          <w:kern w:val="2"/>
          <w:sz w:val="32"/>
          <w:szCs w:val="32"/>
          <w:lang w:val="en-US" w:eastAsia="zh-CN" w:bidi="ar"/>
        </w:rPr>
        <w:t>48.38</w:t>
      </w:r>
      <w:r>
        <w:rPr>
          <w:rFonts w:hint="eastAsia" w:ascii="仿宋_GB2312" w:hAnsi="宋体" w:eastAsia="仿宋_GB2312" w:cs="Times New Roman"/>
          <w:kern w:val="2"/>
          <w:sz w:val="32"/>
          <w:szCs w:val="32"/>
          <w:lang w:val="en-US" w:eastAsia="zh-CN" w:bidi="ar"/>
        </w:rPr>
        <w:t>万，其中一般公共服务支出</w:t>
      </w:r>
      <w:r>
        <w:rPr>
          <w:rFonts w:hint="eastAsia" w:ascii="仿宋_GB2312" w:eastAsia="仿宋_GB2312" w:cs="Times New Roman"/>
          <w:kern w:val="2"/>
          <w:sz w:val="32"/>
          <w:szCs w:val="32"/>
          <w:lang w:val="en-US" w:eastAsia="zh-CN" w:bidi="ar"/>
        </w:rPr>
        <w:t>28.38</w:t>
      </w:r>
      <w:r>
        <w:rPr>
          <w:rFonts w:hint="eastAsia" w:ascii="仿宋_GB2312" w:hAnsi="宋体" w:eastAsia="仿宋_GB2312" w:cs="Times New Roman"/>
          <w:kern w:val="2"/>
          <w:sz w:val="32"/>
          <w:szCs w:val="32"/>
          <w:lang w:val="en-US" w:eastAsia="zh-CN" w:bidi="ar"/>
        </w:rPr>
        <w:t>万，教育支出</w:t>
      </w:r>
      <w:r>
        <w:rPr>
          <w:rFonts w:hint="eastAsia" w:ascii="仿宋_GB2312" w:eastAsia="仿宋_GB2312" w:cs="Times New Roman"/>
          <w:kern w:val="2"/>
          <w:sz w:val="32"/>
          <w:szCs w:val="32"/>
          <w:lang w:val="en-US" w:eastAsia="zh-CN" w:bidi="ar"/>
        </w:rPr>
        <w:t>20</w:t>
      </w:r>
      <w:r>
        <w:rPr>
          <w:rFonts w:hint="eastAsia" w:ascii="仿宋_GB2312" w:hAnsi="宋体" w:eastAsia="仿宋_GB2312" w:cs="Times New Roman"/>
          <w:kern w:val="2"/>
          <w:sz w:val="32"/>
          <w:szCs w:val="32"/>
          <w:lang w:val="en-US" w:eastAsia="zh-CN" w:bidi="ar"/>
        </w:rPr>
        <w:t>万</w:t>
      </w:r>
      <w:r>
        <w:rPr>
          <w:rFonts w:hint="eastAsia" w:ascii="仿宋_GB2312" w:hAnsi="宋体" w:eastAsia="仿宋_GB2312" w:cs="Times New Roman"/>
          <w:b w:val="0"/>
          <w:bCs w:val="0"/>
          <w:kern w:val="2"/>
          <w:sz w:val="32"/>
          <w:szCs w:val="32"/>
          <w:lang w:val="en-US" w:eastAsia="zh-CN" w:bidi="ar"/>
        </w:rPr>
        <w:t>。主要用于长沙职教同心大讲</w:t>
      </w:r>
      <w:r>
        <w:rPr>
          <w:rFonts w:hint="eastAsia" w:ascii="仿宋_GB2312" w:eastAsia="仿宋_GB2312" w:cs="Times New Roman"/>
          <w:b w:val="0"/>
          <w:bCs w:val="0"/>
          <w:kern w:val="2"/>
          <w:sz w:val="32"/>
          <w:szCs w:val="32"/>
          <w:lang w:val="en-US" w:eastAsia="zh-CN" w:bidi="ar"/>
        </w:rPr>
        <w:t>堂</w:t>
      </w:r>
      <w:r>
        <w:rPr>
          <w:rFonts w:hint="eastAsia" w:ascii="仿宋_GB2312" w:hAnsi="宋体" w:eastAsia="仿宋_GB2312" w:cs="Times New Roman"/>
          <w:b w:val="0"/>
          <w:bCs w:val="0"/>
          <w:kern w:val="2"/>
          <w:sz w:val="32"/>
          <w:szCs w:val="32"/>
          <w:lang w:val="en-US" w:eastAsia="zh-CN" w:bidi="ar"/>
        </w:rPr>
        <w:t>、黄炎培职业教育奖创业规划大赛、长沙技能人才网的运行和维护、开展职业教育调研及调研成果汇报、召开社务委员会、评选职业教育奖、温暖工程等常规工作等方面。</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黑体" w:cs="Times New Roman"/>
          <w:b w:val="0"/>
          <w:bCs/>
          <w:sz w:val="32"/>
          <w:szCs w:val="32"/>
          <w:lang w:val="en-US" w:eastAsia="zh-CN"/>
        </w:rPr>
      </w:pPr>
      <w:r>
        <w:rPr>
          <w:rFonts w:hint="eastAsia" w:ascii="黑体" w:hAnsi="宋体" w:eastAsia="黑体" w:cs="Times New Roman"/>
          <w:kern w:val="2"/>
          <w:sz w:val="32"/>
          <w:szCs w:val="32"/>
          <w:lang w:bidi="ar"/>
        </w:rPr>
        <w:t>项目组织实施情况</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1.强化政治引领，把好“方向舵”。坚持以习近平新时代中国特色社会主义思想作“方向舵”，通过集体学习和自学相结合等多种形式，认真组织社员学习党的二十大报告、学习习近平总书记关于职业教育的重要论述、学习《职业教育法》等。同时加强业务学习，10月24日，组织办公室全体成员及社务委员陈宝全参加了全省职教社系统骨干成员专题培训；11月22日参加了全国黄炎培职业教育思想研究会第十二次学术年会，筑牢共同思想政治基础，自觉用党的创新理论、新时代改革发展政策武装头脑。</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2.加强组织建设，画好“同心圆”。狠抓制度建设，按照省职教社的要求，建立完善了一系列工作理论学习、常规考核等制度8个，不断提高工作的制度化、规范化水平。以培训提升组织活力，7月赴重庆举办了党外知识分子联谊会骨干力量培训班，着力提升知联会会内领导的带班及履职能力；做好了换届的筹备工作，完成了前期调研与筹备。</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3.突出工作创新，下好“先手棋”。</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一是历史新高。2022年举办了黄炎培职业教育创新创业大赛，大赛历时3个月，全市职教院校共198个项目参赛，参赛项目琳琅满目、亮点纷呈，内容重点包含了卫生防疫、智能制造、科技教育、民生福祉等相关产业领域。参赛师生近1300余人，通过比赛评选出优秀组织单位8个，一等奖12个，二等奖17个，三等奖14个，共有20支队伍脱颖而出经过网评、初赛进入省赛决赛，占全省参赛项目的42%。通过层层激烈角逐，最后长沙代表队获省一等奖3个，二等奖5个，三等奖10个，获奖率达90%。本次比赛实现了参赛团队数量、参赛人数、进入省赛决赛项目数、省赛成绩均创历史新高，排名全省第一，凸显了我市职业院校、技工院校师生中蕴藏的创新创业热情和生机。</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二是品牌凸显。2022年，我们坚持举办同心大讲堂，将受众从公办中职学校向行业学校延申，授课内容涵盖了课堂教学、校企融合、法律讲座、励志导师等等，实现了受众更广、专家更精、影响更大。</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2022年共聘请专家18人，颁授实践基地5个，分别邀请了律师王小全、全国技能大师刘建副教授，面向长沙汽车工业学校、长沙高新工程技术学校、长沙电子工业学校、湖南水利水电建设工程学校等学校主讲了预防校园欺凌、如何做好校企合作等4期同心大讲堂，受众达上万人，活动搭建起了教师、学生与“大师”面对面沟通平台社会反响强烈，收到了职教师生的一致好评，社会反响热烈。</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4.坚持奉献社会，当好“服务员”。</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一是当好助推发展的“参谋员”。紧扣市委、市政府中心工作，选准调研课题，做好了“四明白四清楚”课题调研，完成了《提高党外知识分子思想政治工作针对性实效性研究》调研报告，以理论指导实践，创新服务模式。积极参政议政，充分发挥联系广泛、人才荟萃的优势，积极向政府建言献策，提出了“增加技能人才待遇水平”等有针对性的意见建议。</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二是当好参与发展的“战斗员”。联合市教育局、市人社局、市财政局、市经信等部门，遴选长沙市第三批校企合作实习实训基地，推动全市职业教育进一步深化产教整合，主动对接承担职业教育第三方评价，先后参与了全市中职学校春季和秋季开学专项督导、民办中职学校年度办学情况评估、专业技能考查巡查、中等职业学校实习实训督察等职业教育评价、督导、考查工作，为我市产业提供更好的人力资源支撑和智力支持。</w:t>
      </w:r>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b w:val="0"/>
          <w:bCs w:val="0"/>
          <w:kern w:val="2"/>
          <w:sz w:val="32"/>
          <w:szCs w:val="32"/>
          <w:lang w:val="en-US" w:eastAsia="zh-CN" w:bidi="ar"/>
        </w:rPr>
      </w:pPr>
      <w:r>
        <w:rPr>
          <w:rFonts w:hint="eastAsia" w:ascii="仿宋_GB2312" w:hAnsi="宋体" w:eastAsia="仿宋_GB2312" w:cs="Times New Roman"/>
          <w:b w:val="0"/>
          <w:bCs w:val="0"/>
          <w:kern w:val="2"/>
          <w:sz w:val="32"/>
          <w:szCs w:val="32"/>
          <w:lang w:val="en-US" w:eastAsia="zh-CN" w:bidi="ar"/>
        </w:rPr>
        <w:t>三是当好共享发展的“联络员”。利用节日节点，对职教教师及学生送去温暖，3月8日，长沙中华职教社赴浏阳职业中专走访慰问优秀女教师15名，给她们送去慰问金和慰问品。联系湖南中强教育文化发展有限公司捐资20万，于华中医卫科技中等职业学校举办华中医科致公班，资助50名贫困学生。2022年职教社走访企业，为企业捐赠物资、讲解政策，缓解疫情压力，帮助企业解决场地搬迁等困难，并积极为企业牵线搭桥、提供政策支持。</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Times New Roman"/>
          <w:kern w:val="2"/>
          <w:sz w:val="32"/>
          <w:szCs w:val="32"/>
          <w:lang w:val="en-US" w:eastAsia="zh-CN" w:bidi="ar"/>
        </w:rPr>
      </w:pPr>
      <w:r>
        <w:rPr>
          <w:rFonts w:hint="eastAsia" w:ascii="黑体" w:hAnsi="宋体" w:eastAsia="黑体" w:cs="Times New Roman"/>
          <w:kern w:val="2"/>
          <w:sz w:val="32"/>
          <w:szCs w:val="32"/>
          <w:lang w:val="en-US" w:eastAsia="zh-CN" w:bidi="ar"/>
        </w:rPr>
        <w:t>资产管理情况</w:t>
      </w:r>
    </w:p>
    <w:p>
      <w:pPr>
        <w:keepNext w:val="0"/>
        <w:keepLines w:val="0"/>
        <w:pageBreakBefore w:val="0"/>
        <w:widowControl/>
        <w:kinsoku/>
        <w:wordWrap/>
        <w:overflowPunct/>
        <w:topLinePunct w:val="0"/>
        <w:autoSpaceDN/>
        <w:bidi w:val="0"/>
        <w:adjustRightInd/>
        <w:spacing w:beforeAutospacing="0" w:afterAutospacing="0" w:line="400" w:lineRule="atLeast"/>
        <w:ind w:firstLine="640" w:firstLineChars="200"/>
        <w:textAlignment w:val="center"/>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本单位账面资产总额为</w:t>
      </w:r>
      <w:r>
        <w:rPr>
          <w:rFonts w:hint="eastAsia" w:ascii="仿宋_GB2312" w:eastAsia="仿宋_GB2312" w:cs="Times New Roman"/>
          <w:kern w:val="2"/>
          <w:sz w:val="32"/>
          <w:szCs w:val="32"/>
          <w:lang w:val="en-US" w:eastAsia="zh-CN" w:bidi="ar"/>
        </w:rPr>
        <w:t>4.84</w:t>
      </w:r>
      <w:r>
        <w:rPr>
          <w:rFonts w:hint="eastAsia" w:ascii="仿宋_GB2312" w:hAnsi="宋体" w:eastAsia="仿宋_GB2312" w:cs="Times New Roman"/>
          <w:kern w:val="2"/>
          <w:sz w:val="32"/>
          <w:szCs w:val="32"/>
          <w:lang w:val="en-US" w:eastAsia="zh-CN" w:bidi="ar"/>
        </w:rPr>
        <w:t>万，净资产总额为</w:t>
      </w:r>
      <w:r>
        <w:rPr>
          <w:rFonts w:hint="eastAsia" w:ascii="仿宋_GB2312" w:eastAsia="仿宋_GB2312" w:cs="Times New Roman"/>
          <w:kern w:val="2"/>
          <w:sz w:val="32"/>
          <w:szCs w:val="32"/>
          <w:lang w:val="en-US" w:eastAsia="zh-CN" w:bidi="ar"/>
        </w:rPr>
        <w:t>1.56</w:t>
      </w:r>
      <w:r>
        <w:rPr>
          <w:rFonts w:hint="eastAsia" w:ascii="仿宋_GB2312" w:hAnsi="宋体" w:eastAsia="仿宋_GB2312" w:cs="Times New Roman"/>
          <w:kern w:val="2"/>
          <w:sz w:val="32"/>
          <w:szCs w:val="32"/>
          <w:lang w:val="en-US" w:eastAsia="zh-CN" w:bidi="ar"/>
        </w:rPr>
        <w:t>万，均为固定资产（通用设备），为台式电脑、打印机等办公用品。</w:t>
      </w:r>
      <w:r>
        <w:rPr>
          <w:rFonts w:hint="eastAsia" w:ascii="仿宋_GB2312" w:hAnsi="Calibri" w:eastAsia="仿宋_GB2312" w:cs="Times New Roman"/>
          <w:kern w:val="2"/>
          <w:sz w:val="32"/>
          <w:szCs w:val="32"/>
          <w:lang w:val="en-US" w:eastAsia="zh-CN" w:bidi="ar"/>
        </w:rPr>
        <w:t>资产台账记录清晰完整，固定资产定期组织了盘点，现场核查实物已实行编码管理，资产账表一致。评价人员抽查年度内资产增减凭证，资产购置审批及验收手续完备，核批程序规范，处置报废资产程序到位。</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Times New Roman"/>
          <w:kern w:val="2"/>
          <w:sz w:val="32"/>
          <w:szCs w:val="32"/>
          <w:lang w:val="en-US" w:eastAsia="zh-CN" w:bidi="ar"/>
        </w:rPr>
      </w:pPr>
      <w:bookmarkStart w:id="4" w:name="_Toc36390650"/>
      <w:r>
        <w:rPr>
          <w:rFonts w:hint="eastAsia" w:ascii="黑体" w:hAnsi="宋体" w:eastAsia="黑体" w:cs="Times New Roman"/>
          <w:kern w:val="2"/>
          <w:sz w:val="32"/>
          <w:szCs w:val="32"/>
          <w:lang w:val="en-US" w:eastAsia="zh-CN" w:bidi="ar"/>
        </w:rPr>
        <w:t>部门整体支出绩效情况</w:t>
      </w:r>
      <w:bookmarkEnd w:id="4"/>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在市委统战部的领导下，以习近平新时代中国特色社会主义思想为指导，深入贯彻党的十九大和十九届一中、二中、三中、四中全会精神，坚决贯彻落实省、市委工作部署，认真履行职责，较好地完成了年初确定的各项工作任务，根据《部门整体支出绩效评价指标》评分得99分。</w:t>
      </w:r>
    </w:p>
    <w:p>
      <w:pPr>
        <w:pStyle w:val="2"/>
        <w:keepNext w:val="0"/>
        <w:keepLines w:val="0"/>
        <w:pageBreakBefore w:val="0"/>
        <w:widowControl/>
        <w:kinsoku/>
        <w:wordWrap/>
        <w:overflowPunct/>
        <w:topLinePunct w:val="0"/>
        <w:bidi w:val="0"/>
        <w:adjustRightInd/>
        <w:spacing w:before="0" w:beforeAutospacing="0" w:after="0" w:afterAutospacing="0" w:line="600" w:lineRule="exact"/>
        <w:ind w:firstLine="640" w:firstLineChars="200"/>
        <w:jc w:val="left"/>
        <w:textAlignment w:val="auto"/>
        <w:rPr>
          <w:rFonts w:hint="eastAsia" w:ascii="黑体" w:hAnsi="宋体" w:eastAsia="黑体" w:cs="Times New Roman"/>
          <w:b w:val="0"/>
          <w:bCs w:val="0"/>
          <w:kern w:val="2"/>
          <w:sz w:val="32"/>
          <w:szCs w:val="32"/>
          <w:lang w:val="en-US" w:eastAsia="zh-CN" w:bidi="ar"/>
        </w:rPr>
      </w:pPr>
      <w:bookmarkStart w:id="5" w:name="_Toc36390657"/>
      <w:r>
        <w:rPr>
          <w:rFonts w:hint="eastAsia" w:ascii="黑体" w:eastAsia="黑体" w:cs="Times New Roman"/>
          <w:b w:val="0"/>
          <w:bCs w:val="0"/>
          <w:kern w:val="2"/>
          <w:sz w:val="32"/>
          <w:szCs w:val="32"/>
          <w:lang w:val="en-US" w:eastAsia="zh-CN" w:bidi="ar"/>
        </w:rPr>
        <w:t>六</w:t>
      </w:r>
      <w:r>
        <w:rPr>
          <w:rFonts w:hint="eastAsia" w:ascii="黑体" w:hAnsi="宋体" w:eastAsia="黑体" w:cs="Times New Roman"/>
          <w:b w:val="0"/>
          <w:bCs w:val="0"/>
          <w:kern w:val="2"/>
          <w:sz w:val="32"/>
          <w:szCs w:val="32"/>
          <w:lang w:val="en-US" w:eastAsia="zh-CN" w:bidi="ar"/>
        </w:rPr>
        <w:t>、存在的主要问题</w:t>
      </w:r>
      <w:bookmarkEnd w:id="5"/>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预算执行存在偏差，在实际经费列支中，未严格按照预算科目及专项项目进行列支，且各支出子项存在调剂的现象，部分基本支出挤占了项目支出。</w:t>
      </w:r>
    </w:p>
    <w:p>
      <w:pPr>
        <w:pStyle w:val="2"/>
        <w:keepNext w:val="0"/>
        <w:keepLines w:val="0"/>
        <w:pageBreakBefore w:val="0"/>
        <w:widowControl/>
        <w:kinsoku/>
        <w:wordWrap/>
        <w:overflowPunct/>
        <w:topLinePunct w:val="0"/>
        <w:bidi w:val="0"/>
        <w:adjustRightInd/>
        <w:spacing w:before="0" w:beforeAutospacing="0" w:after="0" w:afterAutospacing="0" w:line="600" w:lineRule="exact"/>
        <w:ind w:firstLine="640" w:firstLineChars="200"/>
        <w:jc w:val="left"/>
        <w:textAlignment w:val="auto"/>
        <w:rPr>
          <w:rFonts w:hint="eastAsia" w:ascii="黑体" w:eastAsia="黑体" w:cs="Times New Roman"/>
          <w:b w:val="0"/>
          <w:bCs w:val="0"/>
          <w:kern w:val="2"/>
          <w:sz w:val="32"/>
          <w:szCs w:val="32"/>
          <w:lang w:val="en-US" w:eastAsia="zh-CN" w:bidi="ar"/>
        </w:rPr>
      </w:pPr>
      <w:bookmarkStart w:id="6" w:name="_Toc36390658"/>
      <w:r>
        <w:rPr>
          <w:rFonts w:hint="eastAsia" w:ascii="黑体" w:eastAsia="黑体" w:cs="Times New Roman"/>
          <w:b w:val="0"/>
          <w:bCs w:val="0"/>
          <w:kern w:val="2"/>
          <w:sz w:val="32"/>
          <w:szCs w:val="32"/>
          <w:lang w:val="en-US" w:eastAsia="zh-CN" w:bidi="ar"/>
        </w:rPr>
        <w:t>七、改进措施和有关建议</w:t>
      </w:r>
      <w:bookmarkEnd w:id="6"/>
    </w:p>
    <w:p>
      <w:pPr>
        <w:keepNext w:val="0"/>
        <w:keepLines w:val="0"/>
        <w:pageBreakBefore w:val="0"/>
        <w:widowControl/>
        <w:kinsoku/>
        <w:wordWrap/>
        <w:overflowPunct/>
        <w:topLinePunct w:val="0"/>
        <w:bidi w:val="0"/>
        <w:adjustRightInd/>
        <w:snapToGrid w:val="0"/>
        <w:spacing w:beforeAutospacing="0" w:afterAutospacing="0" w:line="600" w:lineRule="exact"/>
        <w:ind w:firstLine="640" w:firstLineChars="200"/>
        <w:jc w:val="left"/>
        <w:textAlignment w:val="auto"/>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按照《预算法》及其实施条例的相关规定，编制预算项目时与上年核算科目结合起来，避免项目支出与基本支出划分不准。在预算执行中，严格按照预算科目支出，避免预算科目间的预算资金调剂，确需调剂的，按规定程序报经批准。</w:t>
      </w:r>
    </w:p>
    <w:p>
      <w:pPr>
        <w:keepNext w:val="0"/>
        <w:keepLines w:val="0"/>
        <w:pageBreakBefore w:val="0"/>
        <w:widowControl/>
        <w:kinsoku/>
        <w:wordWrap/>
        <w:overflowPunct/>
        <w:topLinePunct w:val="0"/>
        <w:bidi w:val="0"/>
        <w:adjustRightInd/>
        <w:spacing w:beforeAutospacing="0" w:afterAutospacing="0" w:line="600" w:lineRule="exact"/>
        <w:ind w:firstLine="640" w:firstLineChars="200"/>
        <w:jc w:val="left"/>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八</w:t>
      </w:r>
      <w:r>
        <w:rPr>
          <w:rFonts w:hint="eastAsia" w:ascii="黑体" w:hAnsi="黑体" w:eastAsia="黑体" w:cs="黑体"/>
          <w:bCs/>
          <w:color w:val="000000"/>
          <w:kern w:val="0"/>
          <w:sz w:val="32"/>
          <w:szCs w:val="32"/>
        </w:rPr>
        <w:t>、绩效自评结果拟应用和公开情况其他需要说明的情况</w:t>
      </w:r>
    </w:p>
    <w:p>
      <w:pPr>
        <w:pStyle w:val="4"/>
        <w:keepNext w:val="0"/>
        <w:keepLines w:val="0"/>
        <w:pageBreakBefore w:val="0"/>
        <w:widowControl/>
        <w:kinsoku/>
        <w:wordWrap/>
        <w:overflowPunct/>
        <w:topLinePunct w:val="0"/>
        <w:bidi w:val="0"/>
        <w:adjustRightInd/>
        <w:spacing w:beforeAutospacing="0" w:afterAutospacing="0" w:line="600" w:lineRule="exact"/>
        <w:ind w:firstLine="640" w:firstLineChars="200"/>
        <w:jc w:val="left"/>
        <w:textAlignment w:val="auto"/>
        <w:rPr>
          <w:rFonts w:ascii="仿宋_GB2312" w:eastAsia="仿宋_GB2312" w:cs="Times New Roman"/>
          <w:kern w:val="2"/>
        </w:rPr>
      </w:pPr>
      <w:r>
        <w:rPr>
          <w:rFonts w:hint="eastAsia" w:ascii="仿宋_GB2312" w:eastAsia="仿宋_GB2312" w:cs="Times New Roman"/>
          <w:kern w:val="2"/>
        </w:rPr>
        <w:t>拟应用：绩效自评结果拟应用于考核单位领导和部门的重要依据。</w:t>
      </w:r>
    </w:p>
    <w:p>
      <w:pPr>
        <w:pStyle w:val="4"/>
        <w:keepNext w:val="0"/>
        <w:keepLines w:val="0"/>
        <w:pageBreakBefore w:val="0"/>
        <w:widowControl/>
        <w:kinsoku/>
        <w:wordWrap/>
        <w:overflowPunct/>
        <w:topLinePunct w:val="0"/>
        <w:bidi w:val="0"/>
        <w:adjustRightInd/>
        <w:spacing w:beforeAutospacing="0" w:afterAutospacing="0" w:line="600" w:lineRule="exact"/>
        <w:ind w:firstLine="640" w:firstLineChars="200"/>
        <w:jc w:val="left"/>
        <w:textAlignment w:val="auto"/>
        <w:rPr>
          <w:rFonts w:ascii="仿宋_GB2312" w:eastAsia="仿宋_GB2312" w:cs="Times New Roman"/>
          <w:kern w:val="2"/>
        </w:rPr>
      </w:pPr>
      <w:r>
        <w:rPr>
          <w:rFonts w:hint="eastAsia" w:ascii="仿宋_GB2312" w:eastAsia="仿宋_GB2312" w:cs="Times New Roman"/>
          <w:kern w:val="2"/>
        </w:rPr>
        <w:t>公开情况：由主管部门组织，并将其结果报市财政局备案，作为附件在预算绩效管理信息系统上传。</w:t>
      </w:r>
    </w:p>
    <w:p>
      <w:pPr>
        <w:keepNext w:val="0"/>
        <w:keepLines w:val="0"/>
        <w:pageBreakBefore w:val="0"/>
        <w:widowControl/>
        <w:kinsoku/>
        <w:wordWrap/>
        <w:overflowPunct/>
        <w:topLinePunct w:val="0"/>
        <w:bidi w:val="0"/>
        <w:adjustRightInd/>
        <w:spacing w:beforeAutospacing="0" w:afterAutospacing="0" w:line="600" w:lineRule="exact"/>
        <w:ind w:firstLine="480" w:firstLineChars="20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41837"/>
    <w:multiLevelType w:val="singleLevel"/>
    <w:tmpl w:val="88E4183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Yjg3NDc3MDE0ZjY2NzczMThjYjI0N2YxM2UyMmMifQ=="/>
  </w:docVars>
  <w:rsids>
    <w:rsidRoot w:val="397E0B72"/>
    <w:rsid w:val="397E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ind w:left="0" w:right="0"/>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9">
    <w:name w:val="21"/>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2023-12-15T05:50:00Z</dcterms:created>
  <dc:creator>微信用户</dc:creator>
  <cp:lastModifiedBy>絮语</cp:lastModifiedBy>
  <dcterms:modified xsi:type="dcterms:W3CDTF">2023-12-15T07:19:25Z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C89266B4F81943CB95467F2649129631_11</vt:lpwstr>
  </property>
</Properties>
</file>