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b/>
          <w:bCs/>
          <w:kern w:val="0"/>
          <w:sz w:val="32"/>
          <w:szCs w:val="32"/>
        </w:rPr>
        <w:t>部门整体支出绩效评价</w:t>
      </w:r>
    </w:p>
    <w:p>
      <w:pPr>
        <w:widowControl/>
        <w:ind w:firstLine="140"/>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    填报单位：长沙市地方志办公室（机关）</w:t>
      </w:r>
    </w:p>
    <w:tbl>
      <w:tblPr>
        <w:tblStyle w:val="4"/>
        <w:tblW w:w="10264" w:type="dxa"/>
        <w:tblInd w:w="108" w:type="dxa"/>
        <w:tblLayout w:type="autofit"/>
        <w:tblCellMar>
          <w:top w:w="15" w:type="dxa"/>
          <w:left w:w="15" w:type="dxa"/>
          <w:bottom w:w="15" w:type="dxa"/>
          <w:right w:w="15" w:type="dxa"/>
        </w:tblCellMar>
      </w:tblPr>
      <w:tblGrid>
        <w:gridCol w:w="621"/>
        <w:gridCol w:w="618"/>
        <w:gridCol w:w="618"/>
        <w:gridCol w:w="618"/>
        <w:gridCol w:w="659"/>
        <w:gridCol w:w="658"/>
        <w:gridCol w:w="1324"/>
        <w:gridCol w:w="667"/>
        <w:gridCol w:w="664"/>
        <w:gridCol w:w="660"/>
        <w:gridCol w:w="592"/>
        <w:gridCol w:w="618"/>
        <w:gridCol w:w="1241"/>
        <w:gridCol w:w="670"/>
        <w:gridCol w:w="36"/>
      </w:tblGrid>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财政供养人员情况</w:t>
            </w:r>
          </w:p>
        </w:tc>
        <w:tc>
          <w:tcPr>
            <w:tcW w:w="199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Cs w:val="21"/>
              </w:rPr>
              <w:t>编制数 </w:t>
            </w:r>
          </w:p>
        </w:tc>
        <w:tc>
          <w:tcPr>
            <w:tcW w:w="1920" w:type="dxa"/>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Cs w:val="21"/>
              </w:rPr>
              <w:t>2017 年实际在职人数 </w:t>
            </w:r>
          </w:p>
        </w:tc>
        <w:tc>
          <w:tcPr>
            <w:tcW w:w="2540" w:type="dxa"/>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Cs w:val="21"/>
              </w:rPr>
              <w:t>控制率 </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rPr>
          <w:gridAfter w:val="1"/>
          <w:wAfter w:w="36" w:type="dxa"/>
          <w:trHeight w:val="400" w:hRule="atLeast"/>
        </w:trPr>
        <w:tc>
          <w:tcPr>
            <w:tcW w:w="0" w:type="auto"/>
            <w:gridSpan w:val="6"/>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经费控制情况</w:t>
            </w:r>
          </w:p>
        </w:tc>
        <w:tc>
          <w:tcPr>
            <w:tcW w:w="1994"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Cs w:val="21"/>
              </w:rPr>
              <w:t>2016 年决算数 </w:t>
            </w:r>
          </w:p>
        </w:tc>
        <w:tc>
          <w:tcPr>
            <w:tcW w:w="1920"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Cs w:val="21"/>
              </w:rPr>
              <w:t>2017 年预算数 </w:t>
            </w:r>
          </w:p>
        </w:tc>
        <w:tc>
          <w:tcPr>
            <w:tcW w:w="2540"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Cs w:val="21"/>
              </w:rPr>
              <w:t>2017 年决算数 </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三公经费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236275.93</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150000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48354.14</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2.出国经费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3.公务接待</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39181.21</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50000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16767</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1.公务用车配置和维护经费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197094.72</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100000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31587.14</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其中:公车购置</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公车运行维护</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197094.72</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100000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31587.14</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项目支出</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1865534</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1986000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2128131.96</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1.业务工作专项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1865534</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1986000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2128131.96</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公用经费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560715.95</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867900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847258.87</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邮电费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1685.84</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10000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1000</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工会经费、福利费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16360</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26600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23990</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公务交通补贴</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0</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208000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218800</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其他商品和服务支出</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499038.9</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612000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581266.59</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其中:办公经费</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3810</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10000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1110.08</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政府采购金额</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247900</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468000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326600</w:t>
            </w:r>
          </w:p>
        </w:tc>
      </w:tr>
      <w:tr>
        <w:tblPrEx>
          <w:tblCellMar>
            <w:top w:w="15" w:type="dxa"/>
            <w:left w:w="15" w:type="dxa"/>
            <w:bottom w:w="15" w:type="dxa"/>
            <w:right w:w="15" w:type="dxa"/>
          </w:tblCellMar>
        </w:tblPrEx>
        <w:trPr>
          <w:gridAfter w:val="1"/>
          <w:wAfter w:w="36" w:type="dxa"/>
          <w:trHeight w:val="400" w:hRule="atLeast"/>
        </w:trPr>
        <w:tc>
          <w:tcPr>
            <w:tcW w:w="38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部门整体支出预算调整</w:t>
            </w:r>
          </w:p>
        </w:tc>
        <w:tc>
          <w:tcPr>
            <w:tcW w:w="1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6491689.32</w:t>
            </w:r>
          </w:p>
        </w:tc>
        <w:tc>
          <w:tcPr>
            <w:tcW w:w="19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7419200</w:t>
            </w:r>
          </w:p>
        </w:tc>
        <w:tc>
          <w:tcPr>
            <w:tcW w:w="2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10071679.96</w:t>
            </w: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楼堂馆所控制情况</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(2017</w:t>
            </w:r>
            <w:r>
              <w:rPr>
                <w:rFonts w:hint="eastAsia" w:ascii="仿宋_GB2312" w:hAnsi="Times New Roman" w:eastAsia="仿宋_GB2312" w:cs="Times New Roman"/>
                <w:color w:val="000000"/>
                <w:kern w:val="0"/>
                <w:sz w:val="24"/>
                <w:szCs w:val="24"/>
              </w:rPr>
              <w:t>年完工项目）</w:t>
            </w:r>
          </w:p>
        </w:tc>
        <w:tc>
          <w:tcPr>
            <w:tcW w:w="132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批复规模（㎡）</w:t>
            </w:r>
          </w:p>
        </w:tc>
        <w:tc>
          <w:tcPr>
            <w:tcW w:w="1336"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实际规模（㎡）</w:t>
            </w:r>
          </w:p>
        </w:tc>
        <w:tc>
          <w:tcPr>
            <w:tcW w:w="6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规模控制率</w:t>
            </w:r>
          </w:p>
        </w:tc>
        <w:tc>
          <w:tcPr>
            <w:tcW w:w="1217"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预算投资（万元）</w:t>
            </w:r>
          </w:p>
        </w:tc>
        <w:tc>
          <w:tcPr>
            <w:tcW w:w="12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实际投资（万元）</w:t>
            </w:r>
          </w:p>
        </w:tc>
        <w:tc>
          <w:tcPr>
            <w:tcW w:w="67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投资概算控制率</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13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133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121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12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4"/>
                <w:szCs w:val="24"/>
              </w:rPr>
              <w:t>厉行节约保障措施</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市地方志办建立健全了内部控制制度和相关厉行节约制度和措施，如预算业务内控制度、收支业务内控制度、政府采购内控制度、资产管理内控制度、合同管理内控制度、财务管理制度、专项资金管理制度、公务接待和差旅费管理办法、党风廉政建设责任规定、关于改进机关作风的规定等，规范了预算及收支业务、政府采购、资产管理、公务接待、公务用车、财务报销的程序、标准、手续、审批等具体环节，上述制度规定基本得到执行，确保厉行节约保障措施达到理想效果。</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部门概况</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一、基本情况 长沙市地方志办公室内设机构级别按长编办发［2013</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156</w:t>
            </w:r>
            <w:r>
              <w:rPr>
                <w:rFonts w:ascii="宋体" w:hAnsi="宋体" w:eastAsia="宋体" w:cs="Times New Roman"/>
                <w:color w:val="000000"/>
                <w:kern w:val="0"/>
                <w:szCs w:val="21"/>
              </w:rPr>
              <w:t>号文件确定。内设机构</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个：综合处、市志处、年鉴处（加挂《长沙年鉴》编辑部）、业务指导处。 长沙市地方志办公室全额拨款事业编制为</w:t>
            </w:r>
            <w:r>
              <w:rPr>
                <w:rFonts w:ascii="Times New Roman" w:hAnsi="Times New Roman" w:eastAsia="宋体" w:cs="Times New Roman"/>
                <w:color w:val="000000"/>
                <w:kern w:val="0"/>
                <w:szCs w:val="21"/>
              </w:rPr>
              <w:t>23</w:t>
            </w:r>
            <w:r>
              <w:rPr>
                <w:rFonts w:ascii="宋体" w:hAnsi="宋体" w:eastAsia="宋体" w:cs="Times New Roman"/>
                <w:color w:val="000000"/>
                <w:kern w:val="0"/>
                <w:szCs w:val="21"/>
              </w:rPr>
              <w:t>名（含离退休人员管理服务编制</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名、机关后勤服务事业编制</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名）。其中主任</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名，副主任</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名，处长领导职数</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名（含机关党支部专职副书记</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名），副处长领导职数</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名。市志办机关参照《中华人民共和国公务员法》管理。 单位实有在职人员为</w:t>
            </w:r>
            <w:r>
              <w:rPr>
                <w:rFonts w:ascii="Times New Roman" w:hAnsi="Times New Roman" w:eastAsia="宋体" w:cs="Times New Roman"/>
                <w:color w:val="000000"/>
                <w:kern w:val="0"/>
                <w:szCs w:val="21"/>
              </w:rPr>
              <w:t>23</w:t>
            </w:r>
            <w:r>
              <w:rPr>
                <w:rFonts w:ascii="宋体" w:hAnsi="宋体" w:eastAsia="宋体" w:cs="Times New Roman"/>
                <w:color w:val="000000"/>
                <w:kern w:val="0"/>
                <w:szCs w:val="21"/>
              </w:rPr>
              <w:t>人：副市级</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人（军转干部技术</w:t>
            </w:r>
            <w:r>
              <w:rPr>
                <w:rFonts w:ascii="Times New Roman" w:hAnsi="Times New Roman" w:eastAsia="宋体" w:cs="Times New Roman"/>
                <w:color w:val="000000"/>
                <w:kern w:val="0"/>
                <w:szCs w:val="21"/>
              </w:rPr>
              <w:t>7</w:t>
            </w:r>
            <w:r>
              <w:rPr>
                <w:rFonts w:ascii="宋体" w:hAnsi="宋体" w:eastAsia="宋体" w:cs="Times New Roman"/>
                <w:color w:val="000000"/>
                <w:kern w:val="0"/>
                <w:szCs w:val="21"/>
              </w:rPr>
              <w:t>级）、正处级</w:t>
            </w:r>
            <w:r>
              <w:rPr>
                <w:rFonts w:ascii="Times New Roman" w:hAnsi="Times New Roman" w:eastAsia="宋体" w:cs="Times New Roman"/>
                <w:color w:val="000000"/>
                <w:kern w:val="0"/>
                <w:szCs w:val="21"/>
              </w:rPr>
              <w:t>3</w:t>
            </w:r>
            <w:r>
              <w:rPr>
                <w:rFonts w:ascii="宋体" w:hAnsi="宋体" w:eastAsia="宋体" w:cs="Times New Roman"/>
                <w:color w:val="000000"/>
                <w:kern w:val="0"/>
                <w:szCs w:val="21"/>
              </w:rPr>
              <w:t>人、副处级</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人、正科级</w:t>
            </w:r>
            <w:r>
              <w:rPr>
                <w:rFonts w:ascii="Times New Roman" w:hAnsi="Times New Roman" w:eastAsia="宋体" w:cs="Times New Roman"/>
                <w:color w:val="000000"/>
                <w:kern w:val="0"/>
                <w:szCs w:val="21"/>
              </w:rPr>
              <w:t>7</w:t>
            </w:r>
            <w:r>
              <w:rPr>
                <w:rFonts w:ascii="宋体" w:hAnsi="宋体" w:eastAsia="宋体" w:cs="Times New Roman"/>
                <w:color w:val="000000"/>
                <w:kern w:val="0"/>
                <w:szCs w:val="21"/>
              </w:rPr>
              <w:t>人、副科级</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人、科员</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人，工勤人员</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人。离休干部</w:t>
            </w:r>
            <w:r>
              <w:rPr>
                <w:rFonts w:ascii="Times New Roman" w:hAnsi="Times New Roman" w:eastAsia="宋体" w:cs="Times New Roman"/>
                <w:color w:val="000000"/>
                <w:kern w:val="0"/>
                <w:szCs w:val="21"/>
              </w:rPr>
              <w:t>3</w:t>
            </w:r>
            <w:r>
              <w:rPr>
                <w:rFonts w:ascii="宋体" w:hAnsi="宋体" w:eastAsia="宋体" w:cs="Times New Roman"/>
                <w:color w:val="000000"/>
                <w:kern w:val="0"/>
                <w:szCs w:val="21"/>
              </w:rPr>
              <w:t>人，退休干部</w:t>
            </w:r>
            <w:r>
              <w:rPr>
                <w:rFonts w:ascii="Times New Roman" w:hAnsi="Times New Roman" w:eastAsia="宋体" w:cs="Times New Roman"/>
                <w:color w:val="000000"/>
                <w:kern w:val="0"/>
                <w:szCs w:val="21"/>
              </w:rPr>
              <w:t>14</w:t>
            </w:r>
            <w:r>
              <w:rPr>
                <w:rFonts w:ascii="宋体" w:hAnsi="宋体" w:eastAsia="宋体" w:cs="Times New Roman"/>
                <w:color w:val="000000"/>
                <w:kern w:val="0"/>
                <w:szCs w:val="21"/>
              </w:rPr>
              <w:t>人。全办在职及离退休人员共</w:t>
            </w:r>
            <w:r>
              <w:rPr>
                <w:rFonts w:ascii="Times New Roman" w:hAnsi="Times New Roman" w:eastAsia="宋体" w:cs="Times New Roman"/>
                <w:color w:val="000000"/>
                <w:kern w:val="0"/>
                <w:szCs w:val="21"/>
              </w:rPr>
              <w:t>40</w:t>
            </w:r>
            <w:r>
              <w:rPr>
                <w:rFonts w:ascii="宋体" w:hAnsi="宋体" w:eastAsia="宋体" w:cs="Times New Roman"/>
                <w:color w:val="000000"/>
                <w:kern w:val="0"/>
                <w:szCs w:val="21"/>
              </w:rPr>
              <w:t>人。 本单位车辆编制数为</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台，实有小车</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台。 二、主要职责 （一）贯彻执行国务院《地方志工作条例》、《湖南省实施 </w:t>
            </w:r>
            <w:r>
              <w:rPr>
                <w:rFonts w:ascii="Times New Roman" w:hAnsi="Times New Roman" w:eastAsia="宋体" w:cs="Times New Roman"/>
                <w:color w:val="000000"/>
                <w:kern w:val="0"/>
                <w:szCs w:val="21"/>
              </w:rPr>
              <w:t>&lt;</w:t>
            </w:r>
            <w:r>
              <w:rPr>
                <w:rFonts w:ascii="宋体" w:hAnsi="宋体" w:eastAsia="宋体" w:cs="Times New Roman"/>
                <w:color w:val="000000"/>
                <w:kern w:val="0"/>
                <w:szCs w:val="21"/>
              </w:rPr>
              <w:t>地方志工作条例</w:t>
            </w:r>
            <w:r>
              <w:rPr>
                <w:rFonts w:ascii="Times New Roman" w:hAnsi="Times New Roman" w:eastAsia="宋体" w:cs="Times New Roman"/>
                <w:color w:val="000000"/>
                <w:kern w:val="0"/>
                <w:szCs w:val="21"/>
              </w:rPr>
              <w:t>&gt; </w:t>
            </w:r>
            <w:r>
              <w:rPr>
                <w:rFonts w:ascii="宋体" w:hAnsi="宋体" w:eastAsia="宋体" w:cs="Times New Roman"/>
                <w:color w:val="000000"/>
                <w:kern w:val="0"/>
                <w:szCs w:val="21"/>
              </w:rPr>
              <w:t>办法》，拟定长沙市地方志的编修工作政策和规定。 （二）拟定长沙市地方志工作规划、组织协调、督促指导全市的地方志工作。 （三）在市委领导、市人民政府主持下，组织有关专家编修《长沙市志》、部门志、专业志及市志丛书，并负责其发行工作。 （四）组织编纂地方综合年鉴，指导各区、县（市）的年鉴编纂工作，编辑、出版、发行《长沙年鉴》，开展地方综合年鉴的理论研讨。 （五）负责对各部门和各区、县（市）的修志工作进行督查和业务指导；建设地方志资料库和地方志网站，推动地方志工作的信息化建设；合理开发利用地方志资源。 （六）收集、整理、保存和研究长沙地方文献和市情资料，组织整理旧志，推动地方志理论研究。 （七）组织修志编撰人员的业务培训；组织对地方志稿的评审、出版、评奖；负责开展全市读志、用志工作。 （八）承办市委、市人民政府和上级主管部门交办的其他事项。 三、重点工作计划 （一）深入学习贯彻</w:t>
            </w:r>
            <w:r>
              <w:rPr>
                <w:rFonts w:hint="eastAsia" w:ascii="宋体" w:hAnsi="宋体" w:eastAsia="宋体" w:cs="Times New Roman"/>
                <w:color w:val="000000"/>
                <w:kern w:val="0"/>
                <w:szCs w:val="21"/>
                <w:lang w:eastAsia="zh-CN"/>
              </w:rPr>
              <w:t>党的十九大</w:t>
            </w:r>
            <w:r>
              <w:rPr>
                <w:rFonts w:ascii="宋体" w:hAnsi="宋体" w:eastAsia="宋体" w:cs="Times New Roman"/>
                <w:color w:val="000000"/>
                <w:kern w:val="0"/>
                <w:szCs w:val="21"/>
              </w:rPr>
              <w:t>精神，将</w:t>
            </w:r>
            <w:r>
              <w:rPr>
                <w:rFonts w:hint="eastAsia" w:ascii="宋体" w:hAnsi="宋体" w:eastAsia="宋体" w:cs="Times New Roman"/>
                <w:color w:val="000000"/>
                <w:kern w:val="0"/>
                <w:szCs w:val="21"/>
                <w:lang w:eastAsia="zh-CN"/>
              </w:rPr>
              <w:t>党的十九大</w:t>
            </w:r>
            <w:r>
              <w:rPr>
                <w:rFonts w:ascii="宋体" w:hAnsi="宋体" w:eastAsia="宋体" w:cs="Times New Roman"/>
                <w:color w:val="000000"/>
                <w:kern w:val="0"/>
                <w:szCs w:val="21"/>
              </w:rPr>
              <w:t>精神与地方志事业发展有机结合，推动地方志事业走进新时代。 （二）围绕</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创建国家中心城市</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提供地方志服务。收集整理有关文献资料，推动长沙历史文化创造性转化。 （三）长沙市志第二轮修编工作。继续推进第二轮修志工作，做好分志稿验收工作。 （四）编辑出版《长沙年鉴（</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卷）》。做好《长沙年鉴》（</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卷）组稿、编辑、出版、赠阅、交换工作；开展《长沙年鉴》</w:t>
            </w:r>
            <w:r>
              <w:rPr>
                <w:rFonts w:ascii="Times New Roman" w:hAnsi="Times New Roman" w:eastAsia="宋体" w:cs="Times New Roman"/>
                <w:color w:val="000000"/>
                <w:kern w:val="0"/>
                <w:szCs w:val="21"/>
              </w:rPr>
              <w:t>2016</w:t>
            </w:r>
            <w:r>
              <w:rPr>
                <w:rFonts w:ascii="宋体" w:hAnsi="宋体" w:eastAsia="宋体" w:cs="Times New Roman"/>
                <w:color w:val="000000"/>
                <w:kern w:val="0"/>
                <w:szCs w:val="21"/>
              </w:rPr>
              <w:t>年度人物、年度事件评选活动，传播正能量；完成《湖南年鉴》组稿任务。 （五）提升地方志资料年报工作水平。广泛征集反映全市改革、发展、稳定成就的资料，完成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年度全市地方志年报收集整理工作。 （六）组织开展全市省级以上开发区修志。加强督促指导，完成开发区志终审验收工作。 （七）指导基层修志。指导开福区完成第二轮志书统稿；出版《湖南乡镇（街道）简志</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长沙卷》；指导岳麓山风景名胜区管理局、沩山风景名胜区开发管委会修志工作，为宣传长沙、打造品质长沙服务；启动长沙市名镇名村志文化工程。 （八）推进依法治志。贯彻落实《地方志工作条例》和全国、长沙市《纲要》及省、市《意见》，率先全省实现区县市</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一年一鉴</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全覆盖。 （九）积极推进长沙方志馆规划建设。 （十）推进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长沙文库</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编纂。积极向市政府申报《长沙文库》项目立项，同步开展编纂前期工作。 （十一）开展地方志文化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六进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活动。拓展地方志文化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六进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活动新方式和新渠道，开展地方志文化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六进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活动。 （十二）开展地方志理论研究。继续编辑出版《长沙史志》期刊，积极向中指办、省志委及全国地方志期刊推介地方志编纂和理论研究成果。 （十三）进一步加强党风廉政建设和做好办公室日常工作。深入开展党风廉政建设和中心组学习等各类政治学习，提升全办干部职工廉洁自律的自觉性和履职尽责的担当精神，同时，按照市委市政府的有关要求，做好办公室日常工作，包括组织人事、机关管理、后勤保障、老干关协等各项工作。 </w:t>
            </w:r>
          </w:p>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四、部门整体支出情况 2017</w:t>
            </w:r>
            <w:r>
              <w:rPr>
                <w:rFonts w:ascii="宋体" w:hAnsi="宋体" w:eastAsia="宋体" w:cs="Times New Roman"/>
                <w:color w:val="000000"/>
                <w:kern w:val="0"/>
                <w:szCs w:val="21"/>
              </w:rPr>
              <w:t>年年初市本级部门批复预算为</w:t>
            </w:r>
            <w:r>
              <w:rPr>
                <w:rFonts w:ascii="Times New Roman" w:hAnsi="Times New Roman" w:eastAsia="宋体" w:cs="Times New Roman"/>
                <w:color w:val="000000"/>
                <w:kern w:val="0"/>
                <w:szCs w:val="21"/>
              </w:rPr>
              <w:t>741.92</w:t>
            </w:r>
            <w:r>
              <w:rPr>
                <w:rFonts w:ascii="宋体" w:hAnsi="宋体" w:eastAsia="宋体" w:cs="Times New Roman"/>
                <w:color w:val="000000"/>
                <w:kern w:val="0"/>
                <w:szCs w:val="21"/>
              </w:rPr>
              <w:t>万元，其中，基本支出</w:t>
            </w:r>
            <w:r>
              <w:rPr>
                <w:rFonts w:ascii="Times New Roman" w:hAnsi="Times New Roman" w:eastAsia="宋体" w:cs="Times New Roman"/>
                <w:color w:val="000000"/>
                <w:kern w:val="0"/>
                <w:szCs w:val="21"/>
              </w:rPr>
              <w:t>543.32</w:t>
            </w:r>
            <w:r>
              <w:rPr>
                <w:rFonts w:ascii="宋体" w:hAnsi="宋体" w:eastAsia="宋体" w:cs="Times New Roman"/>
                <w:color w:val="000000"/>
                <w:kern w:val="0"/>
                <w:szCs w:val="21"/>
              </w:rPr>
              <w:t>万元，经常性业务专项</w:t>
            </w:r>
            <w:r>
              <w:rPr>
                <w:rFonts w:ascii="Times New Roman" w:hAnsi="Times New Roman" w:eastAsia="宋体" w:cs="Times New Roman"/>
                <w:color w:val="000000"/>
                <w:kern w:val="0"/>
                <w:szCs w:val="21"/>
              </w:rPr>
              <w:t>198.6</w:t>
            </w:r>
            <w:r>
              <w:rPr>
                <w:rFonts w:ascii="宋体" w:hAnsi="宋体" w:eastAsia="宋体" w:cs="Times New Roman"/>
                <w:color w:val="000000"/>
                <w:kern w:val="0"/>
                <w:szCs w:val="21"/>
              </w:rPr>
              <w:t>万元： （一）基本支出：</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年年初预算数为</w:t>
            </w:r>
            <w:r>
              <w:rPr>
                <w:rFonts w:ascii="Times New Roman" w:hAnsi="Times New Roman" w:eastAsia="宋体" w:cs="Times New Roman"/>
                <w:color w:val="000000"/>
                <w:kern w:val="0"/>
                <w:szCs w:val="21"/>
              </w:rPr>
              <w:t>543.32</w:t>
            </w:r>
            <w:r>
              <w:rPr>
                <w:rFonts w:ascii="宋体" w:hAnsi="宋体" w:eastAsia="宋体" w:cs="Times New Roman"/>
                <w:color w:val="000000"/>
                <w:kern w:val="0"/>
                <w:szCs w:val="21"/>
              </w:rPr>
              <w:t>万元，是指为保障单位机构正常运转、完成日常工作任务而发生的各项支出，包括用于基本工资、津贴补贴等人员经费</w:t>
            </w:r>
            <w:r>
              <w:rPr>
                <w:rFonts w:ascii="Times New Roman" w:hAnsi="Times New Roman" w:eastAsia="宋体" w:cs="Times New Roman"/>
                <w:color w:val="000000"/>
                <w:kern w:val="0"/>
                <w:szCs w:val="21"/>
              </w:rPr>
              <w:t>456.53</w:t>
            </w:r>
            <w:r>
              <w:rPr>
                <w:rFonts w:ascii="宋体" w:hAnsi="宋体" w:eastAsia="宋体" w:cs="Times New Roman"/>
                <w:color w:val="000000"/>
                <w:kern w:val="0"/>
                <w:szCs w:val="21"/>
              </w:rPr>
              <w:t>万元以及办公费、印刷费、邮电费等日常公用经费</w:t>
            </w:r>
            <w:r>
              <w:rPr>
                <w:rFonts w:ascii="Times New Roman" w:hAnsi="Times New Roman" w:eastAsia="宋体" w:cs="Times New Roman"/>
                <w:color w:val="000000"/>
                <w:kern w:val="0"/>
                <w:szCs w:val="21"/>
              </w:rPr>
              <w:t>86.79</w:t>
            </w:r>
            <w:r>
              <w:rPr>
                <w:rFonts w:ascii="宋体" w:hAnsi="宋体" w:eastAsia="宋体" w:cs="Times New Roman"/>
                <w:color w:val="000000"/>
                <w:kern w:val="0"/>
                <w:szCs w:val="21"/>
              </w:rPr>
              <w:t>万元。 （二）项目支出：</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年年初预算数为</w:t>
            </w:r>
            <w:r>
              <w:rPr>
                <w:rFonts w:ascii="Times New Roman" w:hAnsi="Times New Roman" w:eastAsia="宋体" w:cs="Times New Roman"/>
                <w:color w:val="000000"/>
                <w:kern w:val="0"/>
                <w:szCs w:val="21"/>
              </w:rPr>
              <w:t>198.6</w:t>
            </w:r>
            <w:r>
              <w:rPr>
                <w:rFonts w:ascii="宋体" w:hAnsi="宋体" w:eastAsia="宋体" w:cs="Times New Roman"/>
                <w:color w:val="000000"/>
                <w:kern w:val="0"/>
                <w:szCs w:val="21"/>
              </w:rPr>
              <w:t>万元，是指单位为完成特定行政工作任务或事业发展目标而发生的支出，包括有关事业发展专项、专项业务费等。其中：市志资料年报工作专项经费支出</w:t>
            </w:r>
            <w:r>
              <w:rPr>
                <w:rFonts w:ascii="Times New Roman" w:hAnsi="Times New Roman" w:eastAsia="宋体" w:cs="Times New Roman"/>
                <w:color w:val="000000"/>
                <w:kern w:val="0"/>
                <w:szCs w:val="21"/>
              </w:rPr>
              <w:t>18</w:t>
            </w:r>
            <w:r>
              <w:rPr>
                <w:rFonts w:ascii="宋体" w:hAnsi="宋体" w:eastAsia="宋体" w:cs="Times New Roman"/>
                <w:color w:val="000000"/>
                <w:kern w:val="0"/>
                <w:szCs w:val="21"/>
              </w:rPr>
              <w:t>万元，志鉴编撰经费支出</w:t>
            </w:r>
            <w:r>
              <w:rPr>
                <w:rFonts w:ascii="Times New Roman" w:hAnsi="Times New Roman" w:eastAsia="宋体" w:cs="Times New Roman"/>
                <w:color w:val="000000"/>
                <w:kern w:val="0"/>
                <w:szCs w:val="21"/>
              </w:rPr>
              <w:t>180.6</w:t>
            </w:r>
            <w:r>
              <w:rPr>
                <w:rFonts w:ascii="宋体" w:hAnsi="宋体" w:eastAsia="宋体" w:cs="Times New Roman"/>
                <w:color w:val="000000"/>
                <w:kern w:val="0"/>
                <w:szCs w:val="21"/>
              </w:rPr>
              <w:t>万元。项目经费主要用于第二轮长沙市志修编工作</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《长沙年鉴（</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）》的编辑出版工作</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《长沙年鉴》年度人物、年度事件评选工作</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省级以上园区修志工作，《长沙史志》的编辑出版工作、《长沙文库》的编辑出版工作、长沙方志网及方志长沙微信公众号的运行维护工作等方面。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年度收入决算数为</w:t>
            </w:r>
            <w:r>
              <w:rPr>
                <w:rFonts w:ascii="Times New Roman" w:hAnsi="Times New Roman" w:eastAsia="宋体" w:cs="Times New Roman"/>
                <w:color w:val="000000"/>
                <w:kern w:val="0"/>
                <w:szCs w:val="21"/>
              </w:rPr>
              <w:t>1006.98</w:t>
            </w:r>
            <w:r>
              <w:rPr>
                <w:rFonts w:ascii="宋体" w:hAnsi="宋体" w:eastAsia="宋体" w:cs="Times New Roman"/>
                <w:color w:val="000000"/>
                <w:kern w:val="0"/>
                <w:szCs w:val="21"/>
              </w:rPr>
              <w:t>万元，支出决算数为</w:t>
            </w:r>
            <w:r>
              <w:rPr>
                <w:rFonts w:ascii="Times New Roman" w:hAnsi="Times New Roman" w:eastAsia="宋体" w:cs="Times New Roman"/>
                <w:color w:val="000000"/>
                <w:kern w:val="0"/>
                <w:szCs w:val="21"/>
              </w:rPr>
              <w:t>1007.16</w:t>
            </w:r>
            <w:r>
              <w:rPr>
                <w:rFonts w:ascii="宋体" w:hAnsi="宋体" w:eastAsia="宋体" w:cs="Times New Roman"/>
                <w:color w:val="000000"/>
                <w:kern w:val="0"/>
                <w:szCs w:val="21"/>
              </w:rPr>
              <w:t>万元，年初结转和结余</w:t>
            </w:r>
            <w:r>
              <w:rPr>
                <w:rFonts w:ascii="Times New Roman" w:hAnsi="Times New Roman" w:eastAsia="宋体" w:cs="Times New Roman"/>
                <w:color w:val="000000"/>
                <w:kern w:val="0"/>
                <w:szCs w:val="21"/>
              </w:rPr>
              <w:t>0.82</w:t>
            </w:r>
            <w:r>
              <w:rPr>
                <w:rFonts w:ascii="宋体" w:hAnsi="宋体" w:eastAsia="宋体" w:cs="Times New Roman"/>
                <w:color w:val="000000"/>
                <w:kern w:val="0"/>
                <w:szCs w:val="21"/>
              </w:rPr>
              <w:t>万元，年末结转和结余</w:t>
            </w:r>
            <w:r>
              <w:rPr>
                <w:rFonts w:ascii="Times New Roman" w:hAnsi="Times New Roman" w:eastAsia="宋体" w:cs="Times New Roman"/>
                <w:color w:val="000000"/>
                <w:kern w:val="0"/>
                <w:szCs w:val="21"/>
              </w:rPr>
              <w:t>0.63</w:t>
            </w:r>
            <w:r>
              <w:rPr>
                <w:rFonts w:ascii="宋体" w:hAnsi="宋体" w:eastAsia="宋体" w:cs="Times New Roman"/>
                <w:color w:val="000000"/>
                <w:kern w:val="0"/>
                <w:szCs w:val="21"/>
              </w:rPr>
              <w:t>万元。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年度财政拨款支出决算数为</w:t>
            </w:r>
            <w:r>
              <w:rPr>
                <w:rFonts w:ascii="Times New Roman" w:hAnsi="Times New Roman" w:eastAsia="宋体" w:cs="Times New Roman"/>
                <w:color w:val="000000"/>
                <w:kern w:val="0"/>
                <w:szCs w:val="21"/>
              </w:rPr>
              <w:t>1007.16</w:t>
            </w:r>
            <w:r>
              <w:rPr>
                <w:rFonts w:ascii="宋体" w:hAnsi="宋体" w:eastAsia="宋体" w:cs="Times New Roman"/>
                <w:color w:val="000000"/>
                <w:kern w:val="0"/>
                <w:szCs w:val="21"/>
              </w:rPr>
              <w:t>万元，财政拨款支出年初预算数为</w:t>
            </w:r>
            <w:r>
              <w:rPr>
                <w:rFonts w:ascii="Times New Roman" w:hAnsi="Times New Roman" w:eastAsia="宋体" w:cs="Times New Roman"/>
                <w:color w:val="000000"/>
                <w:kern w:val="0"/>
                <w:szCs w:val="21"/>
              </w:rPr>
              <w:t>741.92</w:t>
            </w:r>
            <w:r>
              <w:rPr>
                <w:rFonts w:ascii="宋体" w:hAnsi="宋体" w:eastAsia="宋体" w:cs="Times New Roman"/>
                <w:color w:val="000000"/>
                <w:kern w:val="0"/>
                <w:szCs w:val="21"/>
              </w:rPr>
              <w:t>万元，财政拨款支出决算比年初预算增加</w:t>
            </w:r>
            <w:r>
              <w:rPr>
                <w:rFonts w:ascii="Times New Roman" w:hAnsi="Times New Roman" w:eastAsia="宋体" w:cs="Times New Roman"/>
                <w:color w:val="000000"/>
                <w:kern w:val="0"/>
                <w:szCs w:val="21"/>
              </w:rPr>
              <w:t>265.24</w:t>
            </w:r>
            <w:r>
              <w:rPr>
                <w:rFonts w:ascii="宋体" w:hAnsi="宋体" w:eastAsia="宋体" w:cs="Times New Roman"/>
                <w:color w:val="000000"/>
                <w:kern w:val="0"/>
                <w:szCs w:val="21"/>
              </w:rPr>
              <w:t>万元。其中，行政运行基本支出决算数为</w:t>
            </w:r>
            <w:r>
              <w:rPr>
                <w:rFonts w:ascii="Times New Roman" w:hAnsi="Times New Roman" w:eastAsia="宋体" w:cs="Times New Roman"/>
                <w:color w:val="000000"/>
                <w:kern w:val="0"/>
                <w:szCs w:val="21"/>
              </w:rPr>
              <w:t>794.35</w:t>
            </w:r>
            <w:r>
              <w:rPr>
                <w:rFonts w:ascii="宋体" w:hAnsi="宋体" w:eastAsia="宋体" w:cs="Times New Roman"/>
                <w:color w:val="000000"/>
                <w:kern w:val="0"/>
                <w:szCs w:val="21"/>
              </w:rPr>
              <w:t>万元，年初预算数为</w:t>
            </w:r>
            <w:r>
              <w:rPr>
                <w:rFonts w:ascii="Times New Roman" w:hAnsi="Times New Roman" w:eastAsia="宋体" w:cs="Times New Roman"/>
                <w:color w:val="000000"/>
                <w:kern w:val="0"/>
                <w:szCs w:val="21"/>
              </w:rPr>
              <w:t>543.32</w:t>
            </w:r>
            <w:r>
              <w:rPr>
                <w:rFonts w:ascii="宋体" w:hAnsi="宋体" w:eastAsia="宋体" w:cs="Times New Roman"/>
                <w:color w:val="000000"/>
                <w:kern w:val="0"/>
                <w:szCs w:val="21"/>
              </w:rPr>
              <w:t>万元，行政运行基本支出决算比预算增加</w:t>
            </w:r>
            <w:r>
              <w:rPr>
                <w:rFonts w:ascii="Times New Roman" w:hAnsi="Times New Roman" w:eastAsia="宋体" w:cs="Times New Roman"/>
                <w:color w:val="000000"/>
                <w:kern w:val="0"/>
                <w:szCs w:val="21"/>
              </w:rPr>
              <w:t>251.03</w:t>
            </w:r>
            <w:r>
              <w:rPr>
                <w:rFonts w:ascii="宋体" w:hAnsi="宋体" w:eastAsia="宋体" w:cs="Times New Roman"/>
                <w:color w:val="000000"/>
                <w:kern w:val="0"/>
                <w:szCs w:val="21"/>
              </w:rPr>
              <w:t>万元，其增加原因是</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年新增了</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名在职人员，补发了全办在职人员</w:t>
            </w:r>
            <w:r>
              <w:rPr>
                <w:rFonts w:ascii="Times New Roman" w:hAnsi="Times New Roman" w:eastAsia="宋体" w:cs="Times New Roman"/>
                <w:color w:val="000000"/>
                <w:kern w:val="0"/>
                <w:szCs w:val="21"/>
              </w:rPr>
              <w:t>201301-201605</w:t>
            </w:r>
            <w:r>
              <w:rPr>
                <w:rFonts w:ascii="宋体" w:hAnsi="宋体" w:eastAsia="宋体" w:cs="Times New Roman"/>
                <w:color w:val="000000"/>
                <w:kern w:val="0"/>
                <w:szCs w:val="21"/>
              </w:rPr>
              <w:t>的津补贴，进行了全办的养老金结算，</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月通过预算调整，追加了</w:t>
            </w:r>
            <w:r>
              <w:rPr>
                <w:rFonts w:ascii="Times New Roman" w:hAnsi="Times New Roman" w:eastAsia="宋体" w:cs="Times New Roman"/>
                <w:color w:val="000000"/>
                <w:kern w:val="0"/>
                <w:szCs w:val="21"/>
              </w:rPr>
              <w:t>33</w:t>
            </w:r>
            <w:r>
              <w:rPr>
                <w:rFonts w:ascii="宋体" w:hAnsi="宋体" w:eastAsia="宋体" w:cs="Times New Roman"/>
                <w:color w:val="000000"/>
                <w:kern w:val="0"/>
                <w:szCs w:val="21"/>
              </w:rPr>
              <w:t>万余元临聘人员经费和社保经费等预算，补发了全办工作人员的综合治理奖，因此人员经费大幅度增加。一般行政管理事务项目支出决算数为</w:t>
            </w:r>
            <w:r>
              <w:rPr>
                <w:rFonts w:ascii="Times New Roman" w:hAnsi="Times New Roman" w:eastAsia="宋体" w:cs="Times New Roman"/>
                <w:color w:val="000000"/>
                <w:kern w:val="0"/>
                <w:szCs w:val="21"/>
              </w:rPr>
              <w:t>212.81</w:t>
            </w:r>
            <w:r>
              <w:rPr>
                <w:rFonts w:ascii="宋体" w:hAnsi="宋体" w:eastAsia="宋体" w:cs="Times New Roman"/>
                <w:color w:val="000000"/>
                <w:kern w:val="0"/>
                <w:szCs w:val="21"/>
              </w:rPr>
              <w:t>万元，年初预算数为</w:t>
            </w:r>
            <w:r>
              <w:rPr>
                <w:rFonts w:ascii="Times New Roman" w:hAnsi="Times New Roman" w:eastAsia="宋体" w:cs="Times New Roman"/>
                <w:color w:val="000000"/>
                <w:kern w:val="0"/>
                <w:szCs w:val="21"/>
              </w:rPr>
              <w:t>198.6</w:t>
            </w:r>
            <w:r>
              <w:rPr>
                <w:rFonts w:ascii="宋体" w:hAnsi="宋体" w:eastAsia="宋体" w:cs="Times New Roman"/>
                <w:color w:val="000000"/>
                <w:kern w:val="0"/>
                <w:szCs w:val="21"/>
              </w:rPr>
              <w:t>万元，一般行政管理事务项目支出决算比预算增加</w:t>
            </w:r>
            <w:r>
              <w:rPr>
                <w:rFonts w:ascii="Times New Roman" w:hAnsi="Times New Roman" w:eastAsia="宋体" w:cs="Times New Roman"/>
                <w:color w:val="000000"/>
                <w:kern w:val="0"/>
                <w:szCs w:val="21"/>
              </w:rPr>
              <w:t>14.21</w:t>
            </w:r>
            <w:r>
              <w:rPr>
                <w:rFonts w:ascii="宋体" w:hAnsi="宋体" w:eastAsia="宋体" w:cs="Times New Roman"/>
                <w:color w:val="000000"/>
                <w:kern w:val="0"/>
                <w:szCs w:val="21"/>
              </w:rPr>
              <w:t>万元，其增加原因是追加了会议专项经费</w:t>
            </w: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万元、年鉴荣获全国特等奖奖金</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万元。等奖奖金</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万元。</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部门整体支出管理及使用情况</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一、基本支出 基本支出用于为保障机构正常运转、完成日常工作任务而发生的支出，包括人员经费（含工资福利支出与对个人和家庭的补助）和商品和服务支出。2017</w:t>
            </w:r>
            <w:r>
              <w:rPr>
                <w:rFonts w:ascii="宋体" w:hAnsi="宋体" w:eastAsia="宋体" w:cs="Times New Roman"/>
                <w:color w:val="000000"/>
                <w:kern w:val="0"/>
                <w:szCs w:val="21"/>
              </w:rPr>
              <w:t>年决算基本支出</w:t>
            </w:r>
            <w:r>
              <w:rPr>
                <w:rFonts w:ascii="Times New Roman" w:hAnsi="Times New Roman" w:eastAsia="宋体" w:cs="Times New Roman"/>
                <w:color w:val="000000"/>
                <w:kern w:val="0"/>
                <w:szCs w:val="21"/>
              </w:rPr>
              <w:t>794.35</w:t>
            </w:r>
            <w:r>
              <w:rPr>
                <w:rFonts w:ascii="宋体" w:hAnsi="宋体" w:eastAsia="宋体" w:cs="Times New Roman"/>
                <w:color w:val="000000"/>
                <w:kern w:val="0"/>
                <w:szCs w:val="21"/>
              </w:rPr>
              <w:t>万元，比去年同期</w:t>
            </w:r>
            <w:r>
              <w:rPr>
                <w:rFonts w:ascii="Times New Roman" w:hAnsi="Times New Roman" w:eastAsia="宋体" w:cs="Times New Roman"/>
                <w:color w:val="000000"/>
                <w:kern w:val="0"/>
                <w:szCs w:val="21"/>
              </w:rPr>
              <w:t>462.62</w:t>
            </w:r>
            <w:r>
              <w:rPr>
                <w:rFonts w:ascii="宋体" w:hAnsi="宋体" w:eastAsia="宋体" w:cs="Times New Roman"/>
                <w:color w:val="000000"/>
                <w:kern w:val="0"/>
                <w:szCs w:val="21"/>
              </w:rPr>
              <w:t>万元增加</w:t>
            </w:r>
            <w:r>
              <w:rPr>
                <w:rFonts w:ascii="Times New Roman" w:hAnsi="Times New Roman" w:eastAsia="宋体" w:cs="Times New Roman"/>
                <w:color w:val="000000"/>
                <w:kern w:val="0"/>
                <w:szCs w:val="21"/>
              </w:rPr>
              <w:t>331.73</w:t>
            </w:r>
            <w:r>
              <w:rPr>
                <w:rFonts w:ascii="宋体" w:hAnsi="宋体" w:eastAsia="宋体" w:cs="Times New Roman"/>
                <w:color w:val="000000"/>
                <w:kern w:val="0"/>
                <w:szCs w:val="21"/>
              </w:rPr>
              <w:t>万元。其中：工资福利支出</w:t>
            </w:r>
            <w:r>
              <w:rPr>
                <w:rFonts w:ascii="Times New Roman" w:hAnsi="Times New Roman" w:eastAsia="宋体" w:cs="Times New Roman"/>
                <w:color w:val="000000"/>
                <w:kern w:val="0"/>
                <w:szCs w:val="21"/>
              </w:rPr>
              <w:t>517.82</w:t>
            </w:r>
            <w:r>
              <w:rPr>
                <w:rFonts w:ascii="宋体" w:hAnsi="宋体" w:eastAsia="宋体" w:cs="Times New Roman"/>
                <w:color w:val="000000"/>
                <w:kern w:val="0"/>
                <w:szCs w:val="21"/>
              </w:rPr>
              <w:t>万元、对个人和家庭的补助</w:t>
            </w:r>
            <w:r>
              <w:rPr>
                <w:rFonts w:ascii="Times New Roman" w:hAnsi="Times New Roman" w:eastAsia="宋体" w:cs="Times New Roman"/>
                <w:color w:val="000000"/>
                <w:kern w:val="0"/>
                <w:szCs w:val="21"/>
              </w:rPr>
              <w:t>193.02</w:t>
            </w:r>
            <w:r>
              <w:rPr>
                <w:rFonts w:ascii="宋体" w:hAnsi="宋体" w:eastAsia="宋体" w:cs="Times New Roman"/>
                <w:color w:val="000000"/>
                <w:kern w:val="0"/>
                <w:szCs w:val="21"/>
              </w:rPr>
              <w:t>万元、商品和服务支出</w:t>
            </w:r>
            <w:r>
              <w:rPr>
                <w:rFonts w:ascii="Times New Roman" w:hAnsi="Times New Roman" w:eastAsia="宋体" w:cs="Times New Roman"/>
                <w:color w:val="000000"/>
                <w:kern w:val="0"/>
                <w:szCs w:val="21"/>
              </w:rPr>
              <w:t>83.5</w:t>
            </w:r>
            <w:r>
              <w:rPr>
                <w:rFonts w:ascii="宋体" w:hAnsi="宋体" w:eastAsia="宋体" w:cs="Times New Roman"/>
                <w:color w:val="000000"/>
                <w:kern w:val="0"/>
                <w:szCs w:val="21"/>
              </w:rPr>
              <w:t>万元。 在编职工和政府雇员严格按照市编办核定人数和市人社局审核的工资福利标准进行统发，临聘人员按照市编办核定人数和市财政规定工资福利标准进行统发，所有人员社保金额按照市人社局和财政局统一规定进行缴纳，商品和服务支出按照财政采购相关规定执行，资金使用规范，符合国家财经法规和财务管理制度规定，资金的拨付履行了完整的审批程序和手续，资金使用基本符合部门预算批复的用途。 二、项目支出 项目支出是在基本支出之外为完成其特定的行政工作任务而发生的支出，主要包括经常性业务专项和一次性业务专项。</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年财政拨款收入</w:t>
            </w:r>
            <w:r>
              <w:rPr>
                <w:rFonts w:ascii="Times New Roman" w:hAnsi="Times New Roman" w:eastAsia="宋体" w:cs="Times New Roman"/>
                <w:color w:val="000000"/>
                <w:kern w:val="0"/>
                <w:szCs w:val="21"/>
              </w:rPr>
              <w:t>198.6</w:t>
            </w:r>
            <w:r>
              <w:rPr>
                <w:rFonts w:ascii="宋体" w:hAnsi="宋体" w:eastAsia="宋体" w:cs="Times New Roman"/>
                <w:color w:val="000000"/>
                <w:kern w:val="0"/>
                <w:szCs w:val="21"/>
              </w:rPr>
              <w:t>万元，决算支出</w:t>
            </w:r>
            <w:r>
              <w:rPr>
                <w:rFonts w:ascii="Times New Roman" w:hAnsi="Times New Roman" w:eastAsia="宋体" w:cs="Times New Roman"/>
                <w:color w:val="000000"/>
                <w:kern w:val="0"/>
                <w:szCs w:val="21"/>
              </w:rPr>
              <w:t>212.81</w:t>
            </w:r>
            <w:r>
              <w:rPr>
                <w:rFonts w:ascii="宋体" w:hAnsi="宋体" w:eastAsia="宋体" w:cs="Times New Roman"/>
                <w:color w:val="000000"/>
                <w:kern w:val="0"/>
                <w:szCs w:val="21"/>
              </w:rPr>
              <w:t>万元，年初结转结余</w:t>
            </w:r>
            <w:r>
              <w:rPr>
                <w:rFonts w:ascii="Times New Roman" w:hAnsi="Times New Roman" w:eastAsia="宋体" w:cs="Times New Roman"/>
                <w:color w:val="000000"/>
                <w:kern w:val="0"/>
                <w:szCs w:val="21"/>
              </w:rPr>
              <w:t>0.82</w:t>
            </w:r>
            <w:r>
              <w:rPr>
                <w:rFonts w:ascii="宋体" w:hAnsi="宋体" w:eastAsia="宋体" w:cs="Times New Roman"/>
                <w:color w:val="000000"/>
                <w:kern w:val="0"/>
                <w:szCs w:val="21"/>
              </w:rPr>
              <w:t>万元，年终结转结余</w:t>
            </w:r>
            <w:r>
              <w:rPr>
                <w:rFonts w:ascii="Times New Roman" w:hAnsi="Times New Roman" w:eastAsia="宋体" w:cs="Times New Roman"/>
                <w:color w:val="000000"/>
                <w:kern w:val="0"/>
                <w:szCs w:val="21"/>
              </w:rPr>
              <w:t>0.63</w:t>
            </w:r>
            <w:r>
              <w:rPr>
                <w:rFonts w:ascii="宋体" w:hAnsi="宋体" w:eastAsia="宋体" w:cs="Times New Roman"/>
                <w:color w:val="000000"/>
                <w:kern w:val="0"/>
                <w:szCs w:val="21"/>
              </w:rPr>
              <w:t>万元。主要用于长沙市志第二轮修编工作、《长沙年鉴（</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的编辑出版工作、《长沙年鉴》年度人物、年度事件评选工作、省级以上园区修志工作、《长沙史志》的编辑出版工作、《长沙文库》的编辑出版工作、长沙方志网及方志长沙微信公众号的运行维护工作等方面。支出决算比预算增加</w:t>
            </w:r>
            <w:r>
              <w:rPr>
                <w:rFonts w:ascii="Times New Roman" w:hAnsi="Times New Roman" w:eastAsia="宋体" w:cs="Times New Roman"/>
                <w:color w:val="000000"/>
                <w:kern w:val="0"/>
                <w:szCs w:val="21"/>
              </w:rPr>
              <w:t>14.21</w:t>
            </w:r>
            <w:r>
              <w:rPr>
                <w:rFonts w:ascii="宋体" w:hAnsi="宋体" w:eastAsia="宋体" w:cs="Times New Roman"/>
                <w:color w:val="000000"/>
                <w:kern w:val="0"/>
                <w:szCs w:val="21"/>
              </w:rPr>
              <w:t>万元，其增加原因是追加了会议专项经费</w:t>
            </w: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万元、年鉴荣获全国特等奖奖金</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万元。 项目支出按照长沙市地方志办公室专项资金管理制度以及市财政相关文件规定执行，资金使用无截留、挤占、挪用、虚列支出等情况。 三、</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经费支出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经费批复预算为</w:t>
            </w:r>
            <w:r>
              <w:rPr>
                <w:rFonts w:ascii="Times New Roman" w:hAnsi="Times New Roman" w:eastAsia="宋体" w:cs="Times New Roman"/>
                <w:color w:val="000000"/>
                <w:kern w:val="0"/>
                <w:szCs w:val="21"/>
              </w:rPr>
              <w:t>15</w:t>
            </w:r>
            <w:r>
              <w:rPr>
                <w:rFonts w:ascii="宋体" w:hAnsi="宋体" w:eastAsia="宋体" w:cs="Times New Roman"/>
                <w:color w:val="000000"/>
                <w:kern w:val="0"/>
                <w:szCs w:val="21"/>
              </w:rPr>
              <w:t>万元，其中公务接待费</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万元、公务用车购置及运行维护费</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万元、因公出国（境）费</w:t>
            </w:r>
            <w:r>
              <w:rPr>
                <w:rFonts w:ascii="Times New Roman" w:hAnsi="Times New Roman" w:eastAsia="宋体" w:cs="Times New Roman"/>
                <w:color w:val="000000"/>
                <w:kern w:val="0"/>
                <w:szCs w:val="21"/>
              </w:rPr>
              <w:t>0</w:t>
            </w:r>
            <w:r>
              <w:rPr>
                <w:rFonts w:ascii="宋体" w:hAnsi="宋体" w:eastAsia="宋体" w:cs="Times New Roman"/>
                <w:color w:val="000000"/>
                <w:kern w:val="0"/>
                <w:szCs w:val="21"/>
              </w:rPr>
              <w:t>万元。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年决算支出</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经费为</w:t>
            </w:r>
            <w:r>
              <w:rPr>
                <w:rFonts w:ascii="Times New Roman" w:hAnsi="Times New Roman" w:eastAsia="宋体" w:cs="Times New Roman"/>
                <w:color w:val="000000"/>
                <w:kern w:val="0"/>
                <w:szCs w:val="21"/>
              </w:rPr>
              <w:t>4.84</w:t>
            </w:r>
            <w:r>
              <w:rPr>
                <w:rFonts w:ascii="宋体" w:hAnsi="宋体" w:eastAsia="宋体" w:cs="Times New Roman"/>
                <w:color w:val="000000"/>
                <w:kern w:val="0"/>
                <w:szCs w:val="21"/>
              </w:rPr>
              <w:t>万元，较年初预算节约</w:t>
            </w:r>
            <w:r>
              <w:rPr>
                <w:rFonts w:ascii="Times New Roman" w:hAnsi="Times New Roman" w:eastAsia="宋体" w:cs="Times New Roman"/>
                <w:color w:val="000000"/>
                <w:kern w:val="0"/>
                <w:szCs w:val="21"/>
              </w:rPr>
              <w:t>10.16</w:t>
            </w:r>
            <w:r>
              <w:rPr>
                <w:rFonts w:ascii="宋体" w:hAnsi="宋体" w:eastAsia="宋体" w:cs="Times New Roman"/>
                <w:color w:val="000000"/>
                <w:kern w:val="0"/>
                <w:szCs w:val="21"/>
              </w:rPr>
              <w:t>万元，节约比为</w:t>
            </w:r>
            <w:r>
              <w:rPr>
                <w:rFonts w:ascii="Times New Roman" w:hAnsi="Times New Roman" w:eastAsia="宋体" w:cs="Times New Roman"/>
                <w:color w:val="000000"/>
                <w:kern w:val="0"/>
                <w:szCs w:val="21"/>
              </w:rPr>
              <w:t>66.67%</w:t>
            </w:r>
            <w:r>
              <w:rPr>
                <w:rFonts w:ascii="宋体" w:hAnsi="宋体" w:eastAsia="宋体" w:cs="Times New Roman"/>
                <w:color w:val="000000"/>
                <w:kern w:val="0"/>
                <w:szCs w:val="21"/>
              </w:rPr>
              <w:t>，控制率为</w:t>
            </w:r>
            <w:r>
              <w:rPr>
                <w:rFonts w:ascii="Times New Roman" w:hAnsi="Times New Roman" w:eastAsia="宋体" w:cs="Times New Roman"/>
                <w:color w:val="000000"/>
                <w:kern w:val="0"/>
                <w:szCs w:val="21"/>
              </w:rPr>
              <w:t>32.26%</w:t>
            </w:r>
            <w:r>
              <w:rPr>
                <w:rFonts w:ascii="宋体" w:hAnsi="宋体" w:eastAsia="宋体" w:cs="Times New Roman"/>
                <w:color w:val="000000"/>
                <w:kern w:val="0"/>
                <w:szCs w:val="21"/>
              </w:rPr>
              <w:t>。其中公务接待费</w:t>
            </w:r>
            <w:r>
              <w:rPr>
                <w:rFonts w:ascii="Times New Roman" w:hAnsi="Times New Roman" w:eastAsia="宋体" w:cs="Times New Roman"/>
                <w:color w:val="000000"/>
                <w:kern w:val="0"/>
                <w:szCs w:val="21"/>
              </w:rPr>
              <w:t>1.68</w:t>
            </w:r>
            <w:r>
              <w:rPr>
                <w:rFonts w:ascii="宋体" w:hAnsi="宋体" w:eastAsia="宋体" w:cs="Times New Roman"/>
                <w:color w:val="000000"/>
                <w:kern w:val="0"/>
                <w:szCs w:val="21"/>
              </w:rPr>
              <w:t>万元、公务用车运行维护费</w:t>
            </w:r>
            <w:r>
              <w:rPr>
                <w:rFonts w:ascii="Times New Roman" w:hAnsi="Times New Roman" w:eastAsia="宋体" w:cs="Times New Roman"/>
                <w:color w:val="000000"/>
                <w:kern w:val="0"/>
                <w:szCs w:val="21"/>
              </w:rPr>
              <w:t>3.16</w:t>
            </w:r>
            <w:r>
              <w:rPr>
                <w:rFonts w:ascii="宋体" w:hAnsi="宋体" w:eastAsia="宋体" w:cs="Times New Roman"/>
                <w:color w:val="000000"/>
                <w:kern w:val="0"/>
                <w:szCs w:val="21"/>
              </w:rPr>
              <w:t>万元（全年没有车辆购置费用）、因公出国（境）</w:t>
            </w:r>
            <w:r>
              <w:rPr>
                <w:rFonts w:ascii="Times New Roman" w:hAnsi="Times New Roman" w:eastAsia="宋体" w:cs="Times New Roman"/>
                <w:color w:val="000000"/>
                <w:kern w:val="0"/>
                <w:szCs w:val="21"/>
              </w:rPr>
              <w:t>0</w:t>
            </w:r>
            <w:r>
              <w:rPr>
                <w:rFonts w:ascii="宋体" w:hAnsi="宋体" w:eastAsia="宋体" w:cs="Times New Roman"/>
                <w:color w:val="000000"/>
                <w:kern w:val="0"/>
                <w:szCs w:val="21"/>
              </w:rPr>
              <w:t>万元。我办严格加强</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经费控制，厉行节约，使用规范，按季度进行公开公示，自觉接受监督。</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经费控制率为</w:t>
            </w:r>
            <w:r>
              <w:rPr>
                <w:rFonts w:ascii="Times New Roman" w:hAnsi="Times New Roman" w:eastAsia="宋体" w:cs="Times New Roman"/>
                <w:color w:val="000000"/>
                <w:kern w:val="0"/>
                <w:szCs w:val="21"/>
              </w:rPr>
              <w:t>32.26%</w:t>
            </w:r>
            <w:r>
              <w:rPr>
                <w:rFonts w:ascii="宋体" w:hAnsi="宋体" w:eastAsia="宋体" w:cs="Times New Roman"/>
                <w:color w:val="000000"/>
                <w:kern w:val="0"/>
                <w:szCs w:val="21"/>
              </w:rPr>
              <w:t>，节约</w:t>
            </w:r>
            <w:r>
              <w:rPr>
                <w:rFonts w:ascii="Times New Roman" w:hAnsi="Times New Roman" w:eastAsia="宋体" w:cs="Times New Roman"/>
                <w:color w:val="000000"/>
                <w:kern w:val="0"/>
                <w:szCs w:val="21"/>
              </w:rPr>
              <w:t>66.67%</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经费变动率为</w:t>
            </w:r>
            <w:r>
              <w:rPr>
                <w:rFonts w:ascii="Times New Roman" w:hAnsi="Times New Roman" w:eastAsia="宋体" w:cs="Times New Roman"/>
                <w:color w:val="000000"/>
                <w:kern w:val="0"/>
                <w:szCs w:val="21"/>
              </w:rPr>
              <w:t>79.5%</w:t>
            </w:r>
            <w:r>
              <w:rPr>
                <w:rFonts w:ascii="宋体" w:hAnsi="宋体" w:eastAsia="宋体" w:cs="Times New Roman"/>
                <w:color w:val="000000"/>
                <w:kern w:val="0"/>
                <w:szCs w:val="21"/>
              </w:rPr>
              <w:t>，支出额度较上年度大幅下降。 （一）公务接待费 全年国内公务接待共</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批次</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接待约</w:t>
            </w:r>
            <w:r>
              <w:rPr>
                <w:rFonts w:ascii="Times New Roman" w:hAnsi="Times New Roman" w:eastAsia="宋体" w:cs="Times New Roman"/>
                <w:color w:val="000000"/>
                <w:kern w:val="0"/>
                <w:szCs w:val="21"/>
              </w:rPr>
              <w:t>119 </w:t>
            </w:r>
            <w:r>
              <w:rPr>
                <w:rFonts w:ascii="宋体" w:hAnsi="宋体" w:eastAsia="宋体" w:cs="Times New Roman"/>
                <w:color w:val="000000"/>
                <w:kern w:val="0"/>
                <w:szCs w:val="21"/>
              </w:rPr>
              <w:t>人次。</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年初批复预算公务接待费</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万元，全年决算支出公务接待费</w:t>
            </w:r>
            <w:r>
              <w:rPr>
                <w:rFonts w:ascii="Times New Roman" w:hAnsi="Times New Roman" w:eastAsia="宋体" w:cs="Times New Roman"/>
                <w:color w:val="000000"/>
                <w:kern w:val="0"/>
                <w:szCs w:val="21"/>
              </w:rPr>
              <w:t>1.68</w:t>
            </w:r>
            <w:r>
              <w:rPr>
                <w:rFonts w:ascii="宋体" w:hAnsi="宋体" w:eastAsia="宋体" w:cs="Times New Roman"/>
                <w:color w:val="000000"/>
                <w:kern w:val="0"/>
                <w:szCs w:val="21"/>
              </w:rPr>
              <w:t>万元，较年初预算节约</w:t>
            </w:r>
            <w:r>
              <w:rPr>
                <w:rFonts w:ascii="Times New Roman" w:hAnsi="Times New Roman" w:eastAsia="宋体" w:cs="Times New Roman"/>
                <w:color w:val="000000"/>
                <w:kern w:val="0"/>
                <w:szCs w:val="21"/>
              </w:rPr>
              <w:t>3.32</w:t>
            </w:r>
            <w:r>
              <w:rPr>
                <w:rFonts w:ascii="宋体" w:hAnsi="宋体" w:eastAsia="宋体" w:cs="Times New Roman"/>
                <w:color w:val="000000"/>
                <w:kern w:val="0"/>
                <w:szCs w:val="21"/>
              </w:rPr>
              <w:t>万元，节约比为</w:t>
            </w:r>
            <w:r>
              <w:rPr>
                <w:rFonts w:ascii="Times New Roman" w:hAnsi="Times New Roman" w:eastAsia="宋体" w:cs="Times New Roman"/>
                <w:color w:val="000000"/>
                <w:kern w:val="0"/>
                <w:szCs w:val="21"/>
              </w:rPr>
              <w:t>66.4%</w:t>
            </w:r>
            <w:r>
              <w:rPr>
                <w:rFonts w:ascii="宋体" w:hAnsi="宋体" w:eastAsia="宋体" w:cs="Times New Roman"/>
                <w:color w:val="000000"/>
                <w:kern w:val="0"/>
                <w:szCs w:val="21"/>
              </w:rPr>
              <w:t>，控制率为</w:t>
            </w:r>
            <w:r>
              <w:rPr>
                <w:rFonts w:ascii="Times New Roman" w:hAnsi="Times New Roman" w:eastAsia="宋体" w:cs="Times New Roman"/>
                <w:color w:val="000000"/>
                <w:kern w:val="0"/>
                <w:szCs w:val="21"/>
              </w:rPr>
              <w:t>33.6%</w:t>
            </w:r>
            <w:r>
              <w:rPr>
                <w:rFonts w:ascii="宋体" w:hAnsi="宋体" w:eastAsia="宋体" w:cs="Times New Roman"/>
                <w:color w:val="000000"/>
                <w:kern w:val="0"/>
                <w:szCs w:val="21"/>
              </w:rPr>
              <w:t>。 （二）公务用车购置及运行维护费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年初批复预算公务用车购置及运行维护费</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万元，</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年部门实有车辆</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辆，全年没有车辆购置费用，全年决算支出公务车运行维护费为</w:t>
            </w:r>
            <w:r>
              <w:rPr>
                <w:rFonts w:ascii="Times New Roman" w:hAnsi="Times New Roman" w:eastAsia="宋体" w:cs="Times New Roman"/>
                <w:color w:val="000000"/>
                <w:kern w:val="0"/>
                <w:szCs w:val="21"/>
              </w:rPr>
              <w:t>3.16</w:t>
            </w:r>
            <w:r>
              <w:rPr>
                <w:rFonts w:ascii="宋体" w:hAnsi="宋体" w:eastAsia="宋体" w:cs="Times New Roman"/>
                <w:color w:val="000000"/>
                <w:kern w:val="0"/>
                <w:szCs w:val="21"/>
              </w:rPr>
              <w:t>万元，较年初预算节约</w:t>
            </w:r>
            <w:r>
              <w:rPr>
                <w:rFonts w:ascii="Times New Roman" w:hAnsi="Times New Roman" w:eastAsia="宋体" w:cs="Times New Roman"/>
                <w:color w:val="000000"/>
                <w:kern w:val="0"/>
                <w:szCs w:val="21"/>
              </w:rPr>
              <w:t>6.84</w:t>
            </w:r>
            <w:r>
              <w:rPr>
                <w:rFonts w:ascii="宋体" w:hAnsi="宋体" w:eastAsia="宋体" w:cs="Times New Roman"/>
                <w:color w:val="000000"/>
                <w:kern w:val="0"/>
                <w:szCs w:val="21"/>
              </w:rPr>
              <w:t>万元，节约比为</w:t>
            </w:r>
            <w:r>
              <w:rPr>
                <w:rFonts w:ascii="Times New Roman" w:hAnsi="Times New Roman" w:eastAsia="宋体" w:cs="Times New Roman"/>
                <w:color w:val="000000"/>
                <w:kern w:val="0"/>
                <w:szCs w:val="21"/>
              </w:rPr>
              <w:t>68.4%</w:t>
            </w:r>
            <w:r>
              <w:rPr>
                <w:rFonts w:ascii="宋体" w:hAnsi="宋体" w:eastAsia="宋体" w:cs="Times New Roman"/>
                <w:color w:val="000000"/>
                <w:kern w:val="0"/>
                <w:szCs w:val="21"/>
              </w:rPr>
              <w:t>，控制率为</w:t>
            </w:r>
            <w:r>
              <w:rPr>
                <w:rFonts w:ascii="Times New Roman" w:hAnsi="Times New Roman" w:eastAsia="宋体" w:cs="Times New Roman"/>
                <w:color w:val="000000"/>
                <w:kern w:val="0"/>
                <w:szCs w:val="21"/>
              </w:rPr>
              <w:t>31.6%</w:t>
            </w:r>
            <w:r>
              <w:rPr>
                <w:rFonts w:ascii="宋体" w:hAnsi="宋体" w:eastAsia="宋体" w:cs="Times New Roman"/>
                <w:color w:val="000000"/>
                <w:kern w:val="0"/>
                <w:szCs w:val="21"/>
              </w:rPr>
              <w:t>。 （三）因公出国（境）费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年市地方志办全年无因公出国（境）费。</w:t>
            </w:r>
          </w:p>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部门专项组织实施情况</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w:t>
            </w:r>
          </w:p>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资产管理情况 反映部门资产的配置、管理、处置等综合情况。包括制 度建设、管理措施、配置处置的程序等 </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一、资产情况分析   </w:t>
            </w:r>
            <w:r>
              <w:rPr>
                <w:rFonts w:ascii="宋体" w:hAnsi="宋体" w:eastAsia="宋体" w:cs="Times New Roman"/>
                <w:color w:val="000000"/>
                <w:kern w:val="0"/>
                <w:szCs w:val="21"/>
              </w:rPr>
              <w:t>（一）截至</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12</w:t>
            </w:r>
            <w:r>
              <w:rPr>
                <w:rFonts w:ascii="宋体" w:hAnsi="宋体" w:eastAsia="宋体" w:cs="Times New Roman"/>
                <w:color w:val="000000"/>
                <w:kern w:val="0"/>
                <w:szCs w:val="21"/>
              </w:rPr>
              <w:t>月</w:t>
            </w:r>
            <w:r>
              <w:rPr>
                <w:rFonts w:ascii="Times New Roman" w:hAnsi="Times New Roman" w:eastAsia="宋体" w:cs="Times New Roman"/>
                <w:color w:val="000000"/>
                <w:kern w:val="0"/>
                <w:szCs w:val="21"/>
              </w:rPr>
              <w:t>31</w:t>
            </w:r>
            <w:r>
              <w:rPr>
                <w:rFonts w:ascii="宋体" w:hAnsi="宋体" w:eastAsia="宋体" w:cs="Times New Roman"/>
                <w:color w:val="000000"/>
                <w:kern w:val="0"/>
                <w:szCs w:val="21"/>
              </w:rPr>
              <w:t>日，我办资产总额为</w:t>
            </w:r>
            <w:r>
              <w:rPr>
                <w:rFonts w:ascii="Times New Roman" w:hAnsi="Times New Roman" w:eastAsia="宋体" w:cs="Times New Roman"/>
                <w:color w:val="000000"/>
                <w:kern w:val="0"/>
                <w:szCs w:val="21"/>
              </w:rPr>
              <w:t>1366206.88</w:t>
            </w:r>
            <w:r>
              <w:rPr>
                <w:rFonts w:ascii="宋体" w:hAnsi="宋体" w:eastAsia="宋体" w:cs="Times New Roman"/>
                <w:color w:val="000000"/>
                <w:kern w:val="0"/>
                <w:szCs w:val="21"/>
              </w:rPr>
              <w:t>元，主要由以下两部分构成：</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流动资产</w:t>
            </w:r>
            <w:r>
              <w:rPr>
                <w:rFonts w:ascii="Times New Roman" w:hAnsi="Times New Roman" w:eastAsia="宋体" w:cs="Times New Roman"/>
                <w:color w:val="000000"/>
                <w:kern w:val="0"/>
                <w:szCs w:val="21"/>
              </w:rPr>
              <w:t>19158.92</w:t>
            </w:r>
            <w:r>
              <w:rPr>
                <w:rFonts w:ascii="宋体" w:hAnsi="宋体" w:eastAsia="宋体" w:cs="Times New Roman"/>
                <w:color w:val="000000"/>
                <w:kern w:val="0"/>
                <w:szCs w:val="21"/>
              </w:rPr>
              <w:t>元</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占资产总额的</w:t>
            </w:r>
            <w:r>
              <w:rPr>
                <w:rFonts w:ascii="Times New Roman" w:hAnsi="Times New Roman" w:eastAsia="宋体" w:cs="Times New Roman"/>
                <w:color w:val="000000"/>
                <w:kern w:val="0"/>
                <w:szCs w:val="21"/>
              </w:rPr>
              <w:t>1.4%,</w:t>
            </w:r>
            <w:r>
              <w:rPr>
                <w:rFonts w:ascii="宋体" w:hAnsi="宋体" w:eastAsia="宋体" w:cs="Times New Roman"/>
                <w:color w:val="000000"/>
                <w:kern w:val="0"/>
                <w:szCs w:val="21"/>
              </w:rPr>
              <w:t>主要为其他应收款；</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固定资产</w:t>
            </w:r>
            <w:r>
              <w:rPr>
                <w:rFonts w:ascii="Times New Roman" w:hAnsi="Times New Roman" w:eastAsia="宋体" w:cs="Times New Roman"/>
                <w:color w:val="000000"/>
                <w:kern w:val="0"/>
                <w:szCs w:val="21"/>
              </w:rPr>
              <w:t>1347047.96</w:t>
            </w:r>
            <w:r>
              <w:rPr>
                <w:rFonts w:ascii="宋体" w:hAnsi="宋体" w:eastAsia="宋体" w:cs="Times New Roman"/>
                <w:color w:val="000000"/>
                <w:kern w:val="0"/>
                <w:szCs w:val="21"/>
              </w:rPr>
              <w:t>元</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占资产总额的</w:t>
            </w:r>
            <w:r>
              <w:rPr>
                <w:rFonts w:ascii="Times New Roman" w:hAnsi="Times New Roman" w:eastAsia="宋体" w:cs="Times New Roman"/>
                <w:color w:val="000000"/>
                <w:kern w:val="0"/>
                <w:szCs w:val="21"/>
              </w:rPr>
              <w:t>98.6%</w:t>
            </w:r>
            <w:r>
              <w:rPr>
                <w:rFonts w:ascii="宋体" w:hAnsi="宋体" w:eastAsia="宋体" w:cs="Times New Roman"/>
                <w:color w:val="000000"/>
                <w:kern w:val="0"/>
                <w:szCs w:val="21"/>
              </w:rPr>
              <w:t>，主要包括办公设备、汽车和家具用具等。 （二）</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年度我办资产总额较</w:t>
            </w:r>
            <w:r>
              <w:rPr>
                <w:rFonts w:ascii="Times New Roman" w:hAnsi="Times New Roman" w:eastAsia="宋体" w:cs="Times New Roman"/>
                <w:color w:val="000000"/>
                <w:kern w:val="0"/>
                <w:szCs w:val="21"/>
              </w:rPr>
              <w:t>2016</w:t>
            </w:r>
            <w:r>
              <w:rPr>
                <w:rFonts w:ascii="宋体" w:hAnsi="宋体" w:eastAsia="宋体" w:cs="Times New Roman"/>
                <w:color w:val="000000"/>
                <w:kern w:val="0"/>
                <w:szCs w:val="21"/>
              </w:rPr>
              <w:t>年度资产总额减少</w:t>
            </w:r>
            <w:r>
              <w:rPr>
                <w:rFonts w:ascii="Times New Roman" w:hAnsi="Times New Roman" w:eastAsia="宋体" w:cs="Times New Roman"/>
                <w:color w:val="000000"/>
                <w:kern w:val="0"/>
                <w:szCs w:val="21"/>
              </w:rPr>
              <w:t>474906.3</w:t>
            </w:r>
            <w:r>
              <w:rPr>
                <w:rFonts w:ascii="宋体" w:hAnsi="宋体" w:eastAsia="宋体" w:cs="Times New Roman"/>
                <w:color w:val="000000"/>
                <w:kern w:val="0"/>
                <w:szCs w:val="21"/>
              </w:rPr>
              <w:t>元，变动情况主要包括两方面</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一方面，流动资产总额比</w:t>
            </w:r>
            <w:r>
              <w:rPr>
                <w:rFonts w:ascii="Times New Roman" w:hAnsi="Times New Roman" w:eastAsia="宋体" w:cs="Times New Roman"/>
                <w:color w:val="000000"/>
                <w:kern w:val="0"/>
                <w:szCs w:val="21"/>
              </w:rPr>
              <w:t>2016</w:t>
            </w:r>
            <w:r>
              <w:rPr>
                <w:rFonts w:ascii="宋体" w:hAnsi="宋体" w:eastAsia="宋体" w:cs="Times New Roman"/>
                <w:color w:val="000000"/>
                <w:kern w:val="0"/>
                <w:szCs w:val="21"/>
              </w:rPr>
              <w:t>年减少</w:t>
            </w:r>
            <w:r>
              <w:rPr>
                <w:rFonts w:ascii="Times New Roman" w:hAnsi="Times New Roman" w:eastAsia="宋体" w:cs="Times New Roman"/>
                <w:color w:val="000000"/>
                <w:kern w:val="0"/>
                <w:szCs w:val="21"/>
              </w:rPr>
              <w:t>1795.3</w:t>
            </w:r>
            <w:r>
              <w:rPr>
                <w:rFonts w:ascii="宋体" w:hAnsi="宋体" w:eastAsia="宋体" w:cs="Times New Roman"/>
                <w:color w:val="000000"/>
                <w:kern w:val="0"/>
                <w:szCs w:val="21"/>
              </w:rPr>
              <w:t>元；另一方面，新增</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台台式电脑、</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台打印机、</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台复印机、</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台碎纸机、</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台空气净化机、</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台空调、</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台除湿机等通用设备，新增</w:t>
            </w:r>
            <w:r>
              <w:rPr>
                <w:rFonts w:ascii="Times New Roman" w:hAnsi="Times New Roman" w:eastAsia="宋体" w:cs="Times New Roman"/>
                <w:color w:val="000000"/>
                <w:kern w:val="0"/>
                <w:szCs w:val="21"/>
              </w:rPr>
              <w:t>11</w:t>
            </w:r>
            <w:r>
              <w:rPr>
                <w:rFonts w:ascii="宋体" w:hAnsi="宋体" w:eastAsia="宋体" w:cs="Times New Roman"/>
                <w:color w:val="000000"/>
                <w:kern w:val="0"/>
                <w:szCs w:val="21"/>
              </w:rPr>
              <w:t>张档案柜、</w:t>
            </w:r>
            <w:r>
              <w:rPr>
                <w:rFonts w:ascii="Times New Roman" w:hAnsi="Times New Roman" w:eastAsia="宋体" w:cs="Times New Roman"/>
                <w:color w:val="000000"/>
                <w:kern w:val="0"/>
                <w:szCs w:val="21"/>
              </w:rPr>
              <w:t>15</w:t>
            </w:r>
            <w:r>
              <w:rPr>
                <w:rFonts w:ascii="宋体" w:hAnsi="宋体" w:eastAsia="宋体" w:cs="Times New Roman"/>
                <w:color w:val="000000"/>
                <w:kern w:val="0"/>
                <w:szCs w:val="21"/>
              </w:rPr>
              <w:t>张办公桌、</w:t>
            </w:r>
            <w:r>
              <w:rPr>
                <w:rFonts w:ascii="Times New Roman" w:hAnsi="Times New Roman" w:eastAsia="宋体" w:cs="Times New Roman"/>
                <w:color w:val="000000"/>
                <w:kern w:val="0"/>
                <w:szCs w:val="21"/>
              </w:rPr>
              <w:t>16</w:t>
            </w:r>
            <w:r>
              <w:rPr>
                <w:rFonts w:ascii="宋体" w:hAnsi="宋体" w:eastAsia="宋体" w:cs="Times New Roman"/>
                <w:color w:val="000000"/>
                <w:kern w:val="0"/>
                <w:szCs w:val="21"/>
              </w:rPr>
              <w:t>张办公椅、</w:t>
            </w:r>
            <w:r>
              <w:rPr>
                <w:rFonts w:ascii="Times New Roman" w:hAnsi="Times New Roman" w:eastAsia="宋体" w:cs="Times New Roman"/>
                <w:color w:val="000000"/>
                <w:kern w:val="0"/>
                <w:szCs w:val="21"/>
              </w:rPr>
              <w:t>6</w:t>
            </w:r>
            <w:r>
              <w:rPr>
                <w:rFonts w:ascii="宋体" w:hAnsi="宋体" w:eastAsia="宋体" w:cs="Times New Roman"/>
                <w:color w:val="000000"/>
                <w:kern w:val="0"/>
                <w:szCs w:val="21"/>
              </w:rPr>
              <w:t>张沙发、</w:t>
            </w:r>
            <w:r>
              <w:rPr>
                <w:rFonts w:ascii="Times New Roman" w:hAnsi="Times New Roman" w:eastAsia="宋体" w:cs="Times New Roman"/>
                <w:color w:val="000000"/>
                <w:kern w:val="0"/>
                <w:szCs w:val="21"/>
              </w:rPr>
              <w:t>6</w:t>
            </w:r>
            <w:r>
              <w:rPr>
                <w:rFonts w:ascii="宋体" w:hAnsi="宋体" w:eastAsia="宋体" w:cs="Times New Roman"/>
                <w:color w:val="000000"/>
                <w:kern w:val="0"/>
                <w:szCs w:val="21"/>
              </w:rPr>
              <w:t>张茶几等办公家具，新增资产总价共</w:t>
            </w:r>
            <w:r>
              <w:rPr>
                <w:rFonts w:ascii="Times New Roman" w:hAnsi="Times New Roman" w:eastAsia="宋体" w:cs="Times New Roman"/>
                <w:color w:val="000000"/>
                <w:kern w:val="0"/>
                <w:szCs w:val="21"/>
              </w:rPr>
              <w:t>165319</w:t>
            </w:r>
            <w:r>
              <w:rPr>
                <w:rFonts w:ascii="宋体" w:hAnsi="宋体" w:eastAsia="宋体" w:cs="Times New Roman"/>
                <w:color w:val="000000"/>
                <w:kern w:val="0"/>
                <w:szCs w:val="21"/>
              </w:rPr>
              <w:t>元。依据长财资产〔</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31</w:t>
            </w:r>
            <w:r>
              <w:rPr>
                <w:rFonts w:ascii="宋体" w:hAnsi="宋体" w:eastAsia="宋体" w:cs="Times New Roman"/>
                <w:color w:val="000000"/>
                <w:kern w:val="0"/>
                <w:szCs w:val="21"/>
              </w:rPr>
              <w:t>号文件，报废一批电脑、打印机等固定资产，价值为</w:t>
            </w:r>
            <w:r>
              <w:rPr>
                <w:rFonts w:ascii="Times New Roman" w:hAnsi="Times New Roman" w:eastAsia="宋体" w:cs="Times New Roman"/>
                <w:color w:val="000000"/>
                <w:kern w:val="0"/>
                <w:szCs w:val="21"/>
              </w:rPr>
              <w:t>72240</w:t>
            </w:r>
            <w:r>
              <w:rPr>
                <w:rFonts w:ascii="宋体" w:hAnsi="宋体" w:eastAsia="宋体" w:cs="Times New Roman"/>
                <w:color w:val="000000"/>
                <w:kern w:val="0"/>
                <w:szCs w:val="21"/>
              </w:rPr>
              <w:t>元；依据长财资产〔</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21</w:t>
            </w:r>
            <w:r>
              <w:rPr>
                <w:rFonts w:ascii="宋体" w:hAnsi="宋体" w:eastAsia="宋体" w:cs="Times New Roman"/>
                <w:color w:val="000000"/>
                <w:kern w:val="0"/>
                <w:szCs w:val="21"/>
              </w:rPr>
              <w:t>号文件，报废一辆桑塔纳公务车（湘</w:t>
            </w:r>
            <w:r>
              <w:rPr>
                <w:rFonts w:ascii="Times New Roman" w:hAnsi="Times New Roman" w:eastAsia="宋体" w:cs="Times New Roman"/>
                <w:color w:val="000000"/>
                <w:kern w:val="0"/>
                <w:szCs w:val="21"/>
              </w:rPr>
              <w:t>A00924</w:t>
            </w:r>
            <w:r>
              <w:rPr>
                <w:rFonts w:ascii="宋体" w:hAnsi="宋体" w:eastAsia="宋体" w:cs="Times New Roman"/>
                <w:color w:val="000000"/>
                <w:kern w:val="0"/>
                <w:szCs w:val="21"/>
              </w:rPr>
              <w:t>），价值为</w:t>
            </w:r>
            <w:r>
              <w:rPr>
                <w:rFonts w:ascii="Times New Roman" w:hAnsi="Times New Roman" w:eastAsia="宋体" w:cs="Times New Roman"/>
                <w:color w:val="000000"/>
                <w:kern w:val="0"/>
                <w:szCs w:val="21"/>
              </w:rPr>
              <w:t>202975</w:t>
            </w:r>
            <w:r>
              <w:rPr>
                <w:rFonts w:ascii="宋体" w:hAnsi="宋体" w:eastAsia="宋体" w:cs="Times New Roman"/>
                <w:color w:val="000000"/>
                <w:kern w:val="0"/>
                <w:szCs w:val="21"/>
              </w:rPr>
              <w:t>元；依据长财资产〔</w:t>
            </w:r>
            <w:r>
              <w:rPr>
                <w:rFonts w:ascii="Times New Roman" w:hAnsi="Times New Roman" w:eastAsia="宋体" w:cs="Times New Roman"/>
                <w:color w:val="000000"/>
                <w:kern w:val="0"/>
                <w:szCs w:val="21"/>
              </w:rPr>
              <w:t>2016</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号文件，报废一辆本田雅阁公务车（湘</w:t>
            </w:r>
            <w:r>
              <w:rPr>
                <w:rFonts w:ascii="Times New Roman" w:hAnsi="Times New Roman" w:eastAsia="宋体" w:cs="Times New Roman"/>
                <w:color w:val="000000"/>
                <w:kern w:val="0"/>
                <w:szCs w:val="21"/>
              </w:rPr>
              <w:t>AS0070</w:t>
            </w:r>
            <w:r>
              <w:rPr>
                <w:rFonts w:ascii="宋体" w:hAnsi="宋体" w:eastAsia="宋体" w:cs="Times New Roman"/>
                <w:color w:val="000000"/>
                <w:kern w:val="0"/>
                <w:szCs w:val="21"/>
              </w:rPr>
              <w:t>），价值为</w:t>
            </w:r>
            <w:r>
              <w:rPr>
                <w:rFonts w:ascii="Times New Roman" w:hAnsi="Times New Roman" w:eastAsia="宋体" w:cs="Times New Roman"/>
                <w:color w:val="000000"/>
                <w:kern w:val="0"/>
                <w:szCs w:val="21"/>
              </w:rPr>
              <w:t>203000</w:t>
            </w:r>
            <w:r>
              <w:rPr>
                <w:rFonts w:ascii="宋体" w:hAnsi="宋体" w:eastAsia="宋体" w:cs="Times New Roman"/>
                <w:color w:val="000000"/>
                <w:kern w:val="0"/>
                <w:szCs w:val="21"/>
              </w:rPr>
              <w:t>元、报废一辆菲亚特菲翔公务车（湘</w:t>
            </w:r>
            <w:r>
              <w:rPr>
                <w:rFonts w:ascii="Times New Roman" w:hAnsi="Times New Roman" w:eastAsia="宋体" w:cs="Times New Roman"/>
                <w:color w:val="000000"/>
                <w:kern w:val="0"/>
                <w:szCs w:val="21"/>
              </w:rPr>
              <w:t>AQG840</w:t>
            </w:r>
            <w:r>
              <w:rPr>
                <w:rFonts w:ascii="宋体" w:hAnsi="宋体" w:eastAsia="宋体" w:cs="Times New Roman"/>
                <w:color w:val="000000"/>
                <w:kern w:val="0"/>
                <w:szCs w:val="21"/>
              </w:rPr>
              <w:t>），价值为</w:t>
            </w:r>
            <w:r>
              <w:rPr>
                <w:rFonts w:ascii="Times New Roman" w:hAnsi="Times New Roman" w:eastAsia="宋体" w:cs="Times New Roman"/>
                <w:color w:val="000000"/>
                <w:kern w:val="0"/>
                <w:szCs w:val="21"/>
              </w:rPr>
              <w:t>160215</w:t>
            </w:r>
            <w:r>
              <w:rPr>
                <w:rFonts w:ascii="宋体" w:hAnsi="宋体" w:eastAsia="宋体" w:cs="Times New Roman"/>
                <w:color w:val="000000"/>
                <w:kern w:val="0"/>
                <w:szCs w:val="21"/>
              </w:rPr>
              <w:t>元，减少资产总价共</w:t>
            </w:r>
            <w:r>
              <w:rPr>
                <w:rFonts w:ascii="Times New Roman" w:hAnsi="Times New Roman" w:eastAsia="宋体" w:cs="Times New Roman"/>
                <w:color w:val="000000"/>
                <w:kern w:val="0"/>
                <w:szCs w:val="21"/>
              </w:rPr>
              <w:t>638430</w:t>
            </w:r>
            <w:r>
              <w:rPr>
                <w:rFonts w:ascii="宋体" w:hAnsi="宋体" w:eastAsia="宋体" w:cs="Times New Roman"/>
                <w:color w:val="000000"/>
                <w:kern w:val="0"/>
                <w:szCs w:val="21"/>
              </w:rPr>
              <w:t>元。 （三）经认真统计、对比，我单位填报的资产情况报表数据与</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年度部门决算报表数据相符，资产状况良好。</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（四）我单位没有对外投资、出租以及出借国有资产。 二、资产管理工作的成效及经验</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（一）资产管理体制和制度建设方面。</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建立健全资产管理制度，合理配备并节约、有效使用资产，提高资产使用效率，保障资产的安全和完整。管理和使用应坚持统一政策、统一领导、分级管理、责任到人、物尽其用的原则。综合处负责对全办资产管理进行指导和监督，对纳入政府采购范围的资产进行统一购置。设置一名资产管理专员，具体负责本单位资产的采购、分配、清查，以及资产使用、维护过程中的监督任务，资产管理专员由在职在编人员担任，工作调动时必须办理交接手续。</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（二）运行机制和管理方式</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我单位建立了严格的资产交付使用验收制度。资产采购应当根据合同、供应商发货单等对所购资产的品种、规格、数量、质量、技术要求及其他内容进行验收。资产管理由单位会计进行价值核算，由资产管理专员进行资产实物卡片管理及使用情况监督。 （三）信息化建设方面。</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我单位通过资产管理系统严格管理资产卡片，包括卡片的增加、删除、查询、打印、汇总等。正确、全面、及时地记录资产的增加、减少、使用等情况。真实地反映和监督资产的增减变动和实际情况，建立健全了资产账簿体系。</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三、资产管理工作存在的问题及原因分析 （一）管理体制方面存在的问题。单位内普遍存在缺乏对资产的重视和认识，受到传统观念的影响，大部分人对资产管理工作不重视。 （二）管理方式和工作流程方面的问题。资产管理员一般身兼多职，工作任务繁重，难以适应国有资产管理的新要求。</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五、加强资产管理工作的建议。</w:t>
            </w:r>
            <w:r>
              <w:rPr>
                <w:rFonts w:ascii="Times New Roman" w:hAnsi="Times New Roman" w:eastAsia="宋体" w:cs="Times New Roman"/>
                <w:color w:val="000000"/>
                <w:kern w:val="0"/>
                <w:szCs w:val="21"/>
              </w:rPr>
              <w:t>  (</w:t>
            </w:r>
            <w:r>
              <w:rPr>
                <w:rFonts w:ascii="宋体" w:hAnsi="宋体" w:eastAsia="宋体" w:cs="Times New Roman"/>
                <w:color w:val="000000"/>
                <w:kern w:val="0"/>
                <w:szCs w:val="21"/>
              </w:rPr>
              <w:t>一</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转变观念，创新管理，提高事业单位固定资产的使用效率 各单位的资产管理部门应积极发挥领导调配职能，建立调剂体制，实行资产使用的动态管理，本着</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合理、节约、有效</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原则适时进行调剂，这有利于现有资产存量满足增量需要，盘活单位存量资产，提高资产使用效益，节约资金。在单位内部必须实行资源共享，以防止一个部门的设备闲置，另一个部门又要买设备的现象，最大限度的发挥设备的使用效率，达到减少支出的目的。 </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二</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建立健全固定资产管理制度和科学的管理机制 在固定资产管理中要有科学的管理程序和方法，以规范管理活动的常规运行。具体管理要本着渐进的原则，做好清产核资，摸清家底，改进常规管理制度，除了一般综合性的制度还应区分门类，探索制定针对性的管理制度。这些制度的建立要结合本单位特点，切合实际，便于操作，特别要注意制度体系的完整性、配套性和可行性。健全规范的固定资产管理制度，强化固定资产的日常管理，固定资产登记、使用、保管等制度，健全固定资产总账和明细账，做到账实相符，加强单位内部财产物资的管理，及时准确记录资产的增减、结存、分布等情况，定期进行资产清查盘点，严禁产生账外资产。只有建立健全各项固定资产管理制度，把管理纳入规范化、制度化的轨道，在管理中才能做到有章可循，有据可依。</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部门整体支出绩效情况 反映部门履职及履职效益情况</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年，全市地方志工作在市委、市政府的正确领导下，在省地方志编纂委员会的精心指导下，以党的十八</w:t>
            </w:r>
            <w:r>
              <w:rPr>
                <w:rFonts w:hint="eastAsia" w:ascii="宋体" w:hAnsi="宋体" w:eastAsia="宋体" w:cs="Times New Roman"/>
                <w:color w:val="000000"/>
                <w:kern w:val="0"/>
                <w:szCs w:val="21"/>
                <w:lang w:val="en-US" w:eastAsia="zh-CN"/>
              </w:rPr>
              <w:t>届</w:t>
            </w:r>
            <w:r>
              <w:rPr>
                <w:rFonts w:ascii="宋体" w:hAnsi="宋体" w:eastAsia="宋体" w:cs="Times New Roman"/>
                <w:color w:val="000000"/>
                <w:kern w:val="0"/>
                <w:szCs w:val="21"/>
              </w:rPr>
              <w:t>六中、七中全会，</w:t>
            </w:r>
            <w:r>
              <w:rPr>
                <w:rFonts w:hint="eastAsia" w:ascii="宋体" w:hAnsi="宋体" w:eastAsia="宋体" w:cs="Times New Roman"/>
                <w:color w:val="000000"/>
                <w:kern w:val="0"/>
                <w:szCs w:val="21"/>
                <w:lang w:eastAsia="zh-CN"/>
              </w:rPr>
              <w:t>党的十九大</w:t>
            </w:r>
            <w:r>
              <w:rPr>
                <w:rFonts w:ascii="宋体" w:hAnsi="宋体" w:eastAsia="宋体" w:cs="Times New Roman"/>
                <w:color w:val="000000"/>
                <w:kern w:val="0"/>
                <w:szCs w:val="21"/>
              </w:rPr>
              <w:t>精神为指引，认真贯彻党中央关于编史修志的重要指示，扎实推进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两学一做</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学习教育常态化，全面贯彻落实国务院《地方志工作条例》《全国地方志事业发展规划纲要》，统筹兼顾、团结奋发、开拓进取，圆满完成全年工作目标和任务。《长沙年鉴》获评中指办全国地方志优秀成果特等奖，中国版协年鉴质量评比特等奖，承办了全省地方志资料年报工作经验现场推介会并获得中指办、省志委领导高度赞赏。 一、紧扣市委市政府中心工作，发挥部门优势奋力作为 </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、为建设国家中心城市建言献策。围绕市委</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建设国家中心城市实现基本现代化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这一目标，我办深入挖掘地方志优势，从历史文化的视角助力目标实现，编辑出版《中心城市视角下的长沙历史文化》一书。全书深度挖掘和梳理长沙的历史文化，探索提出了打造长沙历史文化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一城两中心</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的对策建议，以彰显长沙的历史文化特色，提高长沙在国际国内的历史感知度和影响力。书中由我办课题研究组撰写的《中心城市视角下的长沙历史文化研究报告》于</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11</w:t>
            </w:r>
            <w:r>
              <w:rPr>
                <w:rFonts w:ascii="宋体" w:hAnsi="宋体" w:eastAsia="宋体" w:cs="Times New Roman"/>
                <w:color w:val="000000"/>
                <w:kern w:val="0"/>
                <w:szCs w:val="21"/>
              </w:rPr>
              <w:t>月被中国地方志指导小组办公室发布的《中国地情报告》蓝皮书收录。 </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、将全市中心工作载入史册。《长沙年鉴（</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）》围绕市委、市政府中心决策和全市服务民生重大事项，设置长沙市拆违控违工作纪实、长沙市三年造绿大行动工作纪实等专文。根据</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法治中国</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理念，设置</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法治</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类目，充分体现长沙在法治领域的城市特质和竞争优势。全书前页加入</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长沙荣誉、长沙数字</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，以</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历史文化名城</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交通枢纽中心</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智能制造中心</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两型引领之市</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四个专题制作长沙宣传彩页，讲好长沙故事，推介长沙形象。 二、立足修志编鉴主业，不断夯实地方志事业发展基础 </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、统筹协调，推进市志修编有序发展 一是启动市志总纂。</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月</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日，面向全市印发《 </w:t>
            </w:r>
            <w:r>
              <w:rPr>
                <w:rFonts w:ascii="Times New Roman" w:hAnsi="Times New Roman" w:eastAsia="宋体" w:cs="Times New Roman"/>
                <w:color w:val="000000"/>
                <w:kern w:val="0"/>
                <w:szCs w:val="21"/>
              </w:rPr>
              <w:t>&lt;</w:t>
            </w:r>
            <w:r>
              <w:rPr>
                <w:rFonts w:ascii="宋体" w:hAnsi="宋体" w:eastAsia="宋体" w:cs="Times New Roman"/>
                <w:color w:val="000000"/>
                <w:kern w:val="0"/>
                <w:szCs w:val="21"/>
              </w:rPr>
              <w:t>长沙市志</w:t>
            </w:r>
            <w:r>
              <w:rPr>
                <w:rFonts w:ascii="Times New Roman" w:hAnsi="Times New Roman" w:eastAsia="宋体" w:cs="Times New Roman"/>
                <w:color w:val="000000"/>
                <w:kern w:val="0"/>
                <w:szCs w:val="21"/>
              </w:rPr>
              <w:t>&gt; </w:t>
            </w:r>
            <w:r>
              <w:rPr>
                <w:rFonts w:ascii="宋体" w:hAnsi="宋体" w:eastAsia="宋体" w:cs="Times New Roman"/>
                <w:color w:val="000000"/>
                <w:kern w:val="0"/>
                <w:szCs w:val="21"/>
              </w:rPr>
              <w:t>总纂工作方案》，明确了市志编纂完成时间、质量等要求，增强了修志工作的紧迫感。由市政府特批聘请</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位修志经验丰富的老同志担任《长沙市志》分卷主编，组建</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个编辑室，负责市志各卷分纂验收和总纂工作。 二是抓好分志稿审阅验收。共收到市人大办等</w:t>
            </w:r>
            <w:r>
              <w:rPr>
                <w:rFonts w:ascii="Times New Roman" w:hAnsi="Times New Roman" w:eastAsia="宋体" w:cs="Times New Roman"/>
                <w:color w:val="000000"/>
                <w:kern w:val="0"/>
                <w:szCs w:val="21"/>
              </w:rPr>
              <w:t>82</w:t>
            </w:r>
            <w:r>
              <w:rPr>
                <w:rFonts w:ascii="宋体" w:hAnsi="宋体" w:eastAsia="宋体" w:cs="Times New Roman"/>
                <w:color w:val="000000"/>
                <w:kern w:val="0"/>
                <w:szCs w:val="21"/>
              </w:rPr>
              <w:t>家市志承编单位提交的初稿和试写稿约</w:t>
            </w:r>
            <w:r>
              <w:rPr>
                <w:rFonts w:ascii="Times New Roman" w:hAnsi="Times New Roman" w:eastAsia="宋体" w:cs="Times New Roman"/>
                <w:color w:val="000000"/>
                <w:kern w:val="0"/>
                <w:szCs w:val="21"/>
              </w:rPr>
              <w:t>471</w:t>
            </w:r>
            <w:r>
              <w:rPr>
                <w:rFonts w:ascii="宋体" w:hAnsi="宋体" w:eastAsia="宋体" w:cs="Times New Roman"/>
                <w:color w:val="000000"/>
                <w:kern w:val="0"/>
                <w:szCs w:val="21"/>
              </w:rPr>
              <w:t>万字，出具书面评审意见</w:t>
            </w:r>
            <w:r>
              <w:rPr>
                <w:rFonts w:ascii="Times New Roman" w:hAnsi="Times New Roman" w:eastAsia="宋体" w:cs="Times New Roman"/>
                <w:color w:val="000000"/>
                <w:kern w:val="0"/>
                <w:szCs w:val="21"/>
              </w:rPr>
              <w:t>135</w:t>
            </w:r>
            <w:r>
              <w:rPr>
                <w:rFonts w:ascii="宋体" w:hAnsi="宋体" w:eastAsia="宋体" w:cs="Times New Roman"/>
                <w:color w:val="000000"/>
                <w:kern w:val="0"/>
                <w:szCs w:val="21"/>
              </w:rPr>
              <w:t>份，约</w:t>
            </w:r>
            <w:r>
              <w:rPr>
                <w:rFonts w:ascii="Times New Roman" w:hAnsi="Times New Roman" w:eastAsia="宋体" w:cs="Times New Roman"/>
                <w:color w:val="000000"/>
                <w:kern w:val="0"/>
                <w:szCs w:val="21"/>
              </w:rPr>
              <w:t>30</w:t>
            </w:r>
            <w:r>
              <w:rPr>
                <w:rFonts w:ascii="宋体" w:hAnsi="宋体" w:eastAsia="宋体" w:cs="Times New Roman"/>
                <w:color w:val="000000"/>
                <w:kern w:val="0"/>
                <w:szCs w:val="21"/>
              </w:rPr>
              <w:t>万字。全年共完成市政府办公厅等</w:t>
            </w:r>
            <w:r>
              <w:rPr>
                <w:rFonts w:ascii="Times New Roman" w:hAnsi="Times New Roman" w:eastAsia="宋体" w:cs="Times New Roman"/>
                <w:color w:val="000000"/>
                <w:kern w:val="0"/>
                <w:szCs w:val="21"/>
              </w:rPr>
              <w:t>11</w:t>
            </w:r>
            <w:r>
              <w:rPr>
                <w:rFonts w:ascii="宋体" w:hAnsi="宋体" w:eastAsia="宋体" w:cs="Times New Roman"/>
                <w:color w:val="000000"/>
                <w:kern w:val="0"/>
                <w:szCs w:val="21"/>
              </w:rPr>
              <w:t>家单位的志稿验收，超额完成了本年度绩考目标任务。 三是强化分类指导。针对园区修志、</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市志文化篇</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编纂等纷繁复杂的问题，通过办培训班、开协调会、研讨会等形式，加强修志业务指导和工作协调，共同推动修志进展。 </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、突出特色，全面推进修志特色工作 一是特色志编修成效卓越。开发区志成果丰硕。已有</w:t>
            </w:r>
            <w:r>
              <w:rPr>
                <w:rFonts w:ascii="Times New Roman" w:hAnsi="Times New Roman" w:eastAsia="宋体" w:cs="Times New Roman"/>
                <w:color w:val="000000"/>
                <w:kern w:val="0"/>
                <w:szCs w:val="21"/>
              </w:rPr>
              <w:t>12</w:t>
            </w:r>
            <w:r>
              <w:rPr>
                <w:rFonts w:ascii="宋体" w:hAnsi="宋体" w:eastAsia="宋体" w:cs="Times New Roman"/>
                <w:color w:val="000000"/>
                <w:kern w:val="0"/>
                <w:szCs w:val="21"/>
              </w:rPr>
              <w:t>家省级以上开发区按要求完成初稿，</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部志书通过终审。名山志进展顺利。《岳麓山风景名胜志》已完成初稿，《沩山风景名胜志》已完成资料收集和部分初稿的撰写。乡镇（街道）简志编纂全面告捷。各区县（市）乡镇（街道）简志于</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月底全部通过初审；《湖南乡镇（街道）简志</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卷》初稿已完成。启动名镇名村志项目。为更好地记录长沙市新型城镇化进程，抢救保护传统文化，经报请市政府同意，面向全市印发《长沙市名镇志名村志文化工程实施方案》，启动名镇志名村志项目。指导雨花区《红星村志》编修，并向中指组申报《红星村志》有关材料，争取入围中国名村志文化工程。 二是地方志资料年报工作引领全省。 </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6</w:t>
            </w:r>
            <w:r>
              <w:rPr>
                <w:rFonts w:ascii="宋体" w:hAnsi="宋体" w:eastAsia="宋体" w:cs="Times New Roman"/>
                <w:color w:val="000000"/>
                <w:kern w:val="0"/>
                <w:szCs w:val="21"/>
              </w:rPr>
              <w:t>月，湖南省地方志资料年报工作经验现场推介会在长沙召开。</w:t>
            </w:r>
            <w:r>
              <w:rPr>
                <w:rFonts w:ascii="Times New Roman" w:hAnsi="Times New Roman" w:eastAsia="宋体" w:cs="Times New Roman"/>
                <w:color w:val="000000"/>
                <w:kern w:val="0"/>
                <w:szCs w:val="21"/>
              </w:rPr>
              <w:t>2013</w:t>
            </w:r>
            <w:r>
              <w:rPr>
                <w:rFonts w:ascii="宋体" w:hAnsi="宋体" w:eastAsia="宋体" w:cs="Times New Roman"/>
                <w:color w:val="000000"/>
                <w:kern w:val="0"/>
                <w:szCs w:val="21"/>
              </w:rPr>
              <w:t>年长沙市在全省率先实施地方志资料年报制度，现已建立起由党政机关、事业单位、社会团体等</w:t>
            </w:r>
            <w:r>
              <w:rPr>
                <w:rFonts w:ascii="Times New Roman" w:hAnsi="Times New Roman" w:eastAsia="宋体" w:cs="Times New Roman"/>
                <w:color w:val="000000"/>
                <w:kern w:val="0"/>
                <w:szCs w:val="21"/>
              </w:rPr>
              <w:t>122</w:t>
            </w:r>
            <w:r>
              <w:rPr>
                <w:rFonts w:ascii="宋体" w:hAnsi="宋体" w:eastAsia="宋体" w:cs="Times New Roman"/>
                <w:color w:val="000000"/>
                <w:kern w:val="0"/>
                <w:szCs w:val="21"/>
              </w:rPr>
              <w:t>家单位组成的网络，年报工作逐渐走向规范成熟，获得中国地方志指导小组办公室和湖南省地方志编委会的高度肯定，并向全省推广长沙工作经验。 </w:t>
            </w:r>
            <w:r>
              <w:rPr>
                <w:rFonts w:ascii="Times New Roman" w:hAnsi="Times New Roman" w:eastAsia="宋体" w:cs="Times New Roman"/>
                <w:color w:val="000000"/>
                <w:kern w:val="0"/>
                <w:szCs w:val="21"/>
              </w:rPr>
              <w:t>3</w:t>
            </w:r>
            <w:r>
              <w:rPr>
                <w:rFonts w:ascii="宋体" w:hAnsi="宋体" w:eastAsia="宋体" w:cs="Times New Roman"/>
                <w:color w:val="000000"/>
                <w:kern w:val="0"/>
                <w:szCs w:val="21"/>
              </w:rPr>
              <w:t>、精益求精，砥砺长沙年鉴文化品牌 一是长沙年鉴品质稳居全国第一阵营。</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3</w:t>
            </w:r>
            <w:r>
              <w:rPr>
                <w:rFonts w:ascii="宋体" w:hAnsi="宋体" w:eastAsia="宋体" w:cs="Times New Roman"/>
                <w:color w:val="000000"/>
                <w:kern w:val="0"/>
                <w:szCs w:val="21"/>
              </w:rPr>
              <w:t>月，《长沙年鉴》参加中国出版协会年鉴工作委员会组织的全国年鉴编校质量检查评比，在入围的全国上千部年鉴中脱颖而出获得特等奖。</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月，该卷经过中国地方志指导小组办公室的权威评审，在全国地方志优秀成果评比中再度获评特等奖。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双特奖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的获得系全国省会城市年鉴中的唯一。</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年，《长沙年鉴》成功申报中国地方志指导小组年鉴精品工程，既是《长沙年鉴》一次全新的启航，又是《长沙年鉴》不断突破自我的一种挑战。 二是放大</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双评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效应，弘扬全市创建国家中心城市的正能量。活动秉承</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将大事件存史，替小人物立传</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的宗旨，共征集对长沙经济社会发展有深远影响的大事</w:t>
            </w:r>
            <w:r>
              <w:rPr>
                <w:rFonts w:ascii="Times New Roman" w:hAnsi="Times New Roman" w:eastAsia="宋体" w:cs="Times New Roman"/>
                <w:color w:val="000000"/>
                <w:kern w:val="0"/>
                <w:szCs w:val="21"/>
              </w:rPr>
              <w:t>51</w:t>
            </w:r>
            <w:r>
              <w:rPr>
                <w:rFonts w:ascii="宋体" w:hAnsi="宋体" w:eastAsia="宋体" w:cs="Times New Roman"/>
                <w:color w:val="000000"/>
                <w:kern w:val="0"/>
                <w:szCs w:val="21"/>
              </w:rPr>
              <w:t>个、典型人物</w:t>
            </w:r>
            <w:r>
              <w:rPr>
                <w:rFonts w:ascii="Times New Roman" w:hAnsi="Times New Roman" w:eastAsia="宋体" w:cs="Times New Roman"/>
                <w:color w:val="000000"/>
                <w:kern w:val="0"/>
                <w:szCs w:val="21"/>
              </w:rPr>
              <w:t>44</w:t>
            </w:r>
            <w:r>
              <w:rPr>
                <w:rFonts w:ascii="宋体" w:hAnsi="宋体" w:eastAsia="宋体" w:cs="Times New Roman"/>
                <w:color w:val="000000"/>
                <w:kern w:val="0"/>
                <w:szCs w:val="21"/>
              </w:rPr>
              <w:t>名，经专业评委审阅、专家初审、网络评选、终评揭晓，最终评选出何江等</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名年度人物、长沙获评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东亚文化之都</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等</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个年度事件，评选结果载入《长沙年鉴（</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）》，增强了年鉴的资料性和可读性，同时让为长沙经济社会发展做出贡献的市民，体会到荣誉感、归属感。借助</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双评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活动五周年之际，制作</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双评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活动五周年宣传册</w:t>
            </w:r>
            <w:r>
              <w:rPr>
                <w:rFonts w:ascii="Times New Roman" w:hAnsi="Times New Roman" w:eastAsia="宋体" w:cs="Times New Roman"/>
                <w:color w:val="000000"/>
                <w:kern w:val="0"/>
                <w:szCs w:val="21"/>
              </w:rPr>
              <w:t>1000</w:t>
            </w:r>
            <w:r>
              <w:rPr>
                <w:rFonts w:ascii="宋体" w:hAnsi="宋体" w:eastAsia="宋体" w:cs="Times New Roman"/>
                <w:color w:val="000000"/>
                <w:kern w:val="0"/>
                <w:szCs w:val="21"/>
              </w:rPr>
              <w:t>册，分别在天心区、雨花区、芙蓉区、市旅游局开展地方志文化宣传活动</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次，使读者更好的了解五年来在长沙的经济社会发展中涌现的典型人物及重要事件，进一步弘扬了社会正能量，激励更多的长沙市民投身到长沙创建国家中心城市的伟大实践中。 三、抓住转型升级契机，推动地方志走进新时代 </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、多措并举，推动落实</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一意见一纲要</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w:t>
            </w:r>
            <w:r>
              <w:rPr>
                <w:rFonts w:ascii="Times New Roman" w:hAnsi="Times New Roman" w:eastAsia="宋体" w:cs="Times New Roman"/>
                <w:color w:val="000000"/>
                <w:kern w:val="0"/>
                <w:szCs w:val="21"/>
              </w:rPr>
              <w:t>3</w:t>
            </w:r>
            <w:r>
              <w:rPr>
                <w:rFonts w:ascii="宋体" w:hAnsi="宋体" w:eastAsia="宋体" w:cs="Times New Roman"/>
                <w:color w:val="000000"/>
                <w:kern w:val="0"/>
                <w:szCs w:val="21"/>
              </w:rPr>
              <w:t>月，我办会同市委督查室、市政府督查室联合对全市地方志工作进行了专项督查，深入到湖南湘江新区、</w:t>
            </w:r>
            <w:r>
              <w:rPr>
                <w:rFonts w:ascii="Times New Roman" w:hAnsi="Times New Roman" w:eastAsia="宋体" w:cs="Times New Roman"/>
                <w:color w:val="000000"/>
                <w:kern w:val="0"/>
                <w:szCs w:val="21"/>
              </w:rPr>
              <w:t>13</w:t>
            </w:r>
            <w:r>
              <w:rPr>
                <w:rFonts w:ascii="宋体" w:hAnsi="宋体" w:eastAsia="宋体" w:cs="Times New Roman"/>
                <w:color w:val="000000"/>
                <w:kern w:val="0"/>
                <w:szCs w:val="21"/>
              </w:rPr>
              <w:t>家省级以上园区、</w:t>
            </w:r>
            <w:r>
              <w:rPr>
                <w:rFonts w:ascii="Times New Roman" w:hAnsi="Times New Roman" w:eastAsia="宋体" w:cs="Times New Roman"/>
                <w:color w:val="000000"/>
                <w:kern w:val="0"/>
                <w:szCs w:val="21"/>
              </w:rPr>
              <w:t>54</w:t>
            </w:r>
            <w:r>
              <w:rPr>
                <w:rFonts w:ascii="宋体" w:hAnsi="宋体" w:eastAsia="宋体" w:cs="Times New Roman"/>
                <w:color w:val="000000"/>
                <w:kern w:val="0"/>
                <w:szCs w:val="21"/>
              </w:rPr>
              <w:t>家市直单位、</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个区县（市），采取听取汇报、查阅资料、座谈调研等形式进行了现场督查，向</w:t>
            </w:r>
            <w:r>
              <w:rPr>
                <w:rFonts w:ascii="Times New Roman" w:hAnsi="Times New Roman" w:eastAsia="宋体" w:cs="Times New Roman"/>
                <w:color w:val="000000"/>
                <w:kern w:val="0"/>
                <w:szCs w:val="21"/>
              </w:rPr>
              <w:t>14</w:t>
            </w:r>
            <w:r>
              <w:rPr>
                <w:rFonts w:ascii="宋体" w:hAnsi="宋体" w:eastAsia="宋体" w:cs="Times New Roman"/>
                <w:color w:val="000000"/>
                <w:kern w:val="0"/>
                <w:szCs w:val="21"/>
              </w:rPr>
              <w:t>家单位下达整改通知，并通过</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回头看</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的方式落实整改效果。在督查中，特别就新时期地方志事业转型升级进行了深入宣讲，使地方志从业者深刻认识到从一项工作向一项事业的转变。 </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、突出重点，推进地方志事业全面发展。按照中国地方志指导小组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十业并举</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有关要求，我办统筹兼顾，全面发力，力推地方志事业转型升级。一是积极推动方志馆建设。不断呼吁和推动，年内进一步征求了市规划局、市发改委、市财政局的意见，向市政府做了全面汇报。根据全市</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调缓停</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的有关要求，方志馆项目被暂缓。二是扎实推进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长沙文库</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项目。会同全市地方文史专家和出版行业专家，以及有关业务部门不断修改和完善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长沙文库</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编辑出版方案，反复征求市发改委、市财政局、市编委办等相关部门单位意见，同时还通过政协提案等方式多角度发力，目前在等待市政府进一步的批示。</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年，点校出版了同治《浏阳县志》，为整理、利用、保存古籍起到了重要作用。三是大力开展地方志文化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六进</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活动。印制</w:t>
            </w:r>
            <w:r>
              <w:rPr>
                <w:rFonts w:ascii="Times New Roman" w:hAnsi="Times New Roman" w:eastAsia="宋体" w:cs="Times New Roman"/>
                <w:color w:val="000000"/>
                <w:kern w:val="0"/>
                <w:szCs w:val="21"/>
              </w:rPr>
              <w:t>2000</w:t>
            </w:r>
            <w:r>
              <w:rPr>
                <w:rFonts w:ascii="宋体" w:hAnsi="宋体" w:eastAsia="宋体" w:cs="Times New Roman"/>
                <w:color w:val="000000"/>
                <w:kern w:val="0"/>
                <w:szCs w:val="21"/>
              </w:rPr>
              <w:t>份折叠宣传册，配上活泼可爱的</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方志宝宝</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的卡通形象，来介绍地方志，让人耳目一新；整理国家、省、市出台的《条例》《纲要》《意见》等文件，编辑成书，发放到各机关单位和园区企业进行宣传；制作</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史志之家</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牌匾，并对结对的单位举行授牌，形成地方志文化的宣传阵地；利用全市旅游导游培训推介会，与市旅游局合作，以</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旅游推介方志传承</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为主题，创新性地将地方志文化在旅游领域推介；组织全办干部职工和区（县）史志档案局同志，到开福区花城小学、长沙县果园镇浔龙河村、芙蓉区白沙湾社区、雨花区永祥社区、进行形式多样的方志文化宣传活动，让地方志走向社会，走向千家万户。四是深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互联网</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地方志</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宣传模式。不断深化</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互联网</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地方志</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信息化工作模式，不断巩固</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长沙方志网</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的门户宣传作用；运行</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方志长沙</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微信公众号，</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方志长沙</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现已推送</w:t>
            </w:r>
            <w:r>
              <w:rPr>
                <w:rFonts w:ascii="Times New Roman" w:hAnsi="Times New Roman" w:eastAsia="宋体" w:cs="Times New Roman"/>
                <w:color w:val="000000"/>
                <w:kern w:val="0"/>
                <w:szCs w:val="21"/>
              </w:rPr>
              <w:t>84</w:t>
            </w:r>
            <w:r>
              <w:rPr>
                <w:rFonts w:ascii="宋体" w:hAnsi="宋体" w:eastAsia="宋体" w:cs="Times New Roman"/>
                <w:color w:val="000000"/>
                <w:kern w:val="0"/>
                <w:szCs w:val="21"/>
              </w:rPr>
              <w:t>期；不断加强地方志资源信息化建设，年内将《长沙年鉴》自出版以来共</w:t>
            </w:r>
            <w:r>
              <w:rPr>
                <w:rFonts w:ascii="Times New Roman" w:hAnsi="Times New Roman" w:eastAsia="宋体" w:cs="Times New Roman"/>
                <w:color w:val="000000"/>
                <w:kern w:val="0"/>
                <w:szCs w:val="21"/>
              </w:rPr>
              <w:t>30</w:t>
            </w:r>
            <w:r>
              <w:rPr>
                <w:rFonts w:ascii="宋体" w:hAnsi="宋体" w:eastAsia="宋体" w:cs="Times New Roman"/>
                <w:color w:val="000000"/>
                <w:kern w:val="0"/>
                <w:szCs w:val="21"/>
              </w:rPr>
              <w:t>卷近</w:t>
            </w:r>
            <w:r>
              <w:rPr>
                <w:rFonts w:ascii="Times New Roman" w:hAnsi="Times New Roman" w:eastAsia="宋体" w:cs="Times New Roman"/>
                <w:color w:val="000000"/>
                <w:kern w:val="0"/>
                <w:szCs w:val="21"/>
              </w:rPr>
              <w:t>4000</w:t>
            </w:r>
            <w:r>
              <w:rPr>
                <w:rFonts w:ascii="宋体" w:hAnsi="宋体" w:eastAsia="宋体" w:cs="Times New Roman"/>
                <w:color w:val="000000"/>
                <w:kern w:val="0"/>
                <w:szCs w:val="21"/>
              </w:rPr>
              <w:t>万字全部数字化。 四、夯实党建基础，打造干事创业人才队伍 落实全面从严治党主体责任。一是构建责任体系。研究制定《长沙市地方志办</w:t>
            </w:r>
            <w:r>
              <w:rPr>
                <w:rFonts w:ascii="Times New Roman" w:hAnsi="Times New Roman" w:eastAsia="宋体" w:cs="Times New Roman"/>
                <w:color w:val="000000"/>
                <w:kern w:val="0"/>
                <w:szCs w:val="21"/>
              </w:rPr>
              <w:t>2017</w:t>
            </w:r>
            <w:r>
              <w:rPr>
                <w:rFonts w:ascii="宋体" w:hAnsi="宋体" w:eastAsia="宋体" w:cs="Times New Roman"/>
                <w:color w:val="000000"/>
                <w:kern w:val="0"/>
                <w:szCs w:val="21"/>
              </w:rPr>
              <w:t>年全面从严治党主体责任清单》，明确了主体责任</w:t>
            </w:r>
            <w:r>
              <w:rPr>
                <w:rFonts w:ascii="Times New Roman" w:hAnsi="Times New Roman" w:eastAsia="宋体" w:cs="Times New Roman"/>
                <w:color w:val="000000"/>
                <w:kern w:val="0"/>
                <w:szCs w:val="21"/>
              </w:rPr>
              <w:t>34</w:t>
            </w:r>
            <w:r>
              <w:rPr>
                <w:rFonts w:ascii="宋体" w:hAnsi="宋体" w:eastAsia="宋体" w:cs="Times New Roman"/>
                <w:color w:val="000000"/>
                <w:kern w:val="0"/>
                <w:szCs w:val="21"/>
              </w:rPr>
              <w:t>项，强调办党组书记、主任作为第一责任人，对全面从严治党负全面责任、直接责任、首要责任。严格落实民主集中制，</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三重一大</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事项集体决策，落实</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一把手末位表态</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和</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三个不直接分管</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。全面落实</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一岗双责</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党组成员对分管范围内的全面从严治党负直接领导责任，对分管范围内的全面从严治党、反腐败工作、意识形态工作和综合治理工作定期研究、部署、检查和报告，形成压力传导，促使处室负责人也积极发挥作用，形成一级抓一级、层层抓落实的工作格局。 二是夯实党建基础。扎实推进基层党建七项重点任务落实，严格落实</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三会一课</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制度，对</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三会一课</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实施痕迹化管理。落实党建工作经费</w:t>
            </w:r>
            <w:r>
              <w:rPr>
                <w:rFonts w:ascii="Times New Roman" w:hAnsi="Times New Roman" w:eastAsia="宋体" w:cs="Times New Roman"/>
                <w:color w:val="000000"/>
                <w:kern w:val="0"/>
                <w:szCs w:val="21"/>
              </w:rPr>
              <w:t>7.53</w:t>
            </w:r>
            <w:r>
              <w:rPr>
                <w:rFonts w:ascii="宋体" w:hAnsi="宋体" w:eastAsia="宋体" w:cs="Times New Roman"/>
                <w:color w:val="000000"/>
                <w:kern w:val="0"/>
                <w:szCs w:val="21"/>
              </w:rPr>
              <w:t>万元。组织在职党员进社区志愿服务，与四季花城社区、新园社区开展结对共建，支持资金</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万元，为基层党员讲党课</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次，慰问结对困难党员</w:t>
            </w:r>
            <w:r>
              <w:rPr>
                <w:rFonts w:ascii="Times New Roman" w:hAnsi="Times New Roman" w:eastAsia="宋体" w:cs="Times New Roman"/>
                <w:color w:val="000000"/>
                <w:kern w:val="0"/>
                <w:szCs w:val="21"/>
              </w:rPr>
              <w:t>4</w:t>
            </w:r>
            <w:r>
              <w:rPr>
                <w:rFonts w:ascii="宋体" w:hAnsi="宋体" w:eastAsia="宋体" w:cs="Times New Roman"/>
                <w:color w:val="000000"/>
                <w:kern w:val="0"/>
                <w:szCs w:val="21"/>
              </w:rPr>
              <w:t>次。建设了</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道德讲堂</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和</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学习园地</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阵地，整合中心组学习和党员教育资源，单位党员理论素养全面提升。结合业务围绕四个专题开展学习讨论。 三是狠抓党员教育。按照</w:t>
            </w: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大学习主题，组织了</w:t>
            </w: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次共计</w:t>
            </w:r>
            <w:r>
              <w:rPr>
                <w:rFonts w:ascii="Times New Roman" w:hAnsi="Times New Roman" w:eastAsia="宋体" w:cs="Times New Roman"/>
                <w:color w:val="000000"/>
                <w:kern w:val="0"/>
                <w:szCs w:val="21"/>
              </w:rPr>
              <w:t>16</w:t>
            </w:r>
            <w:r>
              <w:rPr>
                <w:rFonts w:ascii="宋体" w:hAnsi="宋体" w:eastAsia="宋体" w:cs="Times New Roman"/>
                <w:color w:val="000000"/>
                <w:kern w:val="0"/>
                <w:szCs w:val="21"/>
              </w:rPr>
              <w:t>天的中心组专题集中学习，党组书记作学习报告</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次，其他班子成员讲党课</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次，邀请专家授课</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次，机关支部组织党员集中学习</w:t>
            </w: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次，购买各类学习辅导资料</w:t>
            </w:r>
            <w:r>
              <w:rPr>
                <w:rFonts w:ascii="Times New Roman" w:hAnsi="Times New Roman" w:eastAsia="宋体" w:cs="Times New Roman"/>
                <w:color w:val="000000"/>
                <w:kern w:val="0"/>
                <w:szCs w:val="21"/>
              </w:rPr>
              <w:t>300</w:t>
            </w:r>
            <w:r>
              <w:rPr>
                <w:rFonts w:ascii="宋体" w:hAnsi="宋体" w:eastAsia="宋体" w:cs="Times New Roman"/>
                <w:color w:val="000000"/>
                <w:kern w:val="0"/>
                <w:szCs w:val="21"/>
              </w:rPr>
              <w:t>余本，开展主题党日活动</w:t>
            </w: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次。大力开展业务培训。在加强对市直修志承编单位和区县（市）地方志工作者业务指导培训的同时，不断加大修志编鉴队伍的业务培训力度。组织全市年鉴和地方志资料年报培训会，培训</w:t>
            </w:r>
            <w:r>
              <w:rPr>
                <w:rFonts w:ascii="Times New Roman" w:hAnsi="Times New Roman" w:eastAsia="宋体" w:cs="Times New Roman"/>
                <w:color w:val="000000"/>
                <w:kern w:val="0"/>
                <w:szCs w:val="21"/>
              </w:rPr>
              <w:t>300</w:t>
            </w:r>
            <w:r>
              <w:rPr>
                <w:rFonts w:ascii="宋体" w:hAnsi="宋体" w:eastAsia="宋体" w:cs="Times New Roman"/>
                <w:color w:val="000000"/>
                <w:kern w:val="0"/>
                <w:szCs w:val="21"/>
              </w:rPr>
              <w:t>多人次。组织办内业务培训和研讨会议</w:t>
            </w:r>
            <w:r>
              <w:rPr>
                <w:rFonts w:ascii="Times New Roman" w:hAnsi="Times New Roman" w:eastAsia="宋体" w:cs="Times New Roman"/>
                <w:color w:val="000000"/>
                <w:kern w:val="0"/>
                <w:szCs w:val="21"/>
              </w:rPr>
              <w:t>10</w:t>
            </w:r>
            <w:r>
              <w:rPr>
                <w:rFonts w:ascii="宋体" w:hAnsi="宋体" w:eastAsia="宋体" w:cs="Times New Roman"/>
                <w:color w:val="000000"/>
                <w:kern w:val="0"/>
                <w:szCs w:val="21"/>
              </w:rPr>
              <w:t>多次。同时，全年共选派干部</w:t>
            </w:r>
            <w:r>
              <w:rPr>
                <w:rFonts w:ascii="Times New Roman" w:hAnsi="Times New Roman" w:eastAsia="宋体" w:cs="Times New Roman"/>
                <w:color w:val="000000"/>
                <w:kern w:val="0"/>
                <w:szCs w:val="21"/>
              </w:rPr>
              <w:t>14</w:t>
            </w:r>
            <w:r>
              <w:rPr>
                <w:rFonts w:ascii="宋体" w:hAnsi="宋体" w:eastAsia="宋体" w:cs="Times New Roman"/>
                <w:color w:val="000000"/>
                <w:kern w:val="0"/>
                <w:szCs w:val="21"/>
              </w:rPr>
              <w:t>批</w:t>
            </w:r>
            <w:r>
              <w:rPr>
                <w:rFonts w:ascii="Times New Roman" w:hAnsi="Times New Roman" w:eastAsia="宋体" w:cs="Times New Roman"/>
                <w:color w:val="000000"/>
                <w:kern w:val="0"/>
                <w:szCs w:val="21"/>
              </w:rPr>
              <w:t>24</w:t>
            </w:r>
            <w:r>
              <w:rPr>
                <w:rFonts w:ascii="宋体" w:hAnsi="宋体" w:eastAsia="宋体" w:cs="Times New Roman"/>
                <w:color w:val="000000"/>
                <w:kern w:val="0"/>
                <w:szCs w:val="21"/>
              </w:rPr>
              <w:t>人次外出学习培训，与</w:t>
            </w:r>
            <w:r>
              <w:rPr>
                <w:rFonts w:ascii="Times New Roman" w:hAnsi="Times New Roman" w:eastAsia="宋体" w:cs="Times New Roman"/>
                <w:color w:val="000000"/>
                <w:kern w:val="0"/>
                <w:szCs w:val="21"/>
              </w:rPr>
              <w:t>6</w:t>
            </w:r>
            <w:r>
              <w:rPr>
                <w:rFonts w:ascii="宋体" w:hAnsi="宋体" w:eastAsia="宋体" w:cs="Times New Roman"/>
                <w:color w:val="000000"/>
                <w:kern w:val="0"/>
                <w:szCs w:val="21"/>
              </w:rPr>
              <w:t>家来长兄弟单位</w:t>
            </w:r>
            <w:r>
              <w:rPr>
                <w:rFonts w:ascii="Times New Roman" w:hAnsi="Times New Roman" w:eastAsia="宋体" w:cs="Times New Roman"/>
                <w:color w:val="000000"/>
                <w:kern w:val="0"/>
                <w:szCs w:val="21"/>
              </w:rPr>
              <w:t>38</w:t>
            </w:r>
            <w:r>
              <w:rPr>
                <w:rFonts w:ascii="宋体" w:hAnsi="宋体" w:eastAsia="宋体" w:cs="Times New Roman"/>
                <w:color w:val="000000"/>
                <w:kern w:val="0"/>
                <w:szCs w:val="21"/>
              </w:rPr>
              <w:t>人次进行了业务交流。 四是严明各项纪律。始终将政治纪律和政治规矩摆在首位。坚持每会必提，将各类典型案例作为反面教材开展教育，严防</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四风</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问题反弹。结合纪检专项整治行动，通过加强理论学习，建章立制、严格执行组织生活制度、完善服务群众机制、转变服务群众作风等整改措施，切实增强每位党员践行</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两学一做</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常态化的思想自觉和行动自觉。一年来，单位未发生任何违纪违规现象。 认真组织学习贯彻党的</w:t>
            </w:r>
            <w:r>
              <w:rPr>
                <w:rFonts w:hint="eastAsia" w:ascii="宋体" w:hAnsi="宋体" w:eastAsia="宋体" w:cs="Times New Roman"/>
                <w:color w:val="000000"/>
                <w:kern w:val="0"/>
                <w:szCs w:val="21"/>
                <w:lang w:eastAsia="zh-CN"/>
              </w:rPr>
              <w:t>十九大</w:t>
            </w:r>
            <w:r>
              <w:rPr>
                <w:rFonts w:ascii="宋体" w:hAnsi="宋体" w:eastAsia="宋体" w:cs="Times New Roman"/>
                <w:color w:val="000000"/>
                <w:kern w:val="0"/>
                <w:szCs w:val="21"/>
              </w:rPr>
              <w:t>精神。将</w:t>
            </w:r>
            <w:r>
              <w:rPr>
                <w:rFonts w:hint="eastAsia" w:ascii="宋体" w:hAnsi="宋体" w:eastAsia="宋体" w:cs="Times New Roman"/>
                <w:color w:val="000000"/>
                <w:kern w:val="0"/>
                <w:szCs w:val="21"/>
                <w:lang w:eastAsia="zh-CN"/>
              </w:rPr>
              <w:t>党的十九大</w:t>
            </w:r>
            <w:r>
              <w:rPr>
                <w:rFonts w:ascii="宋体" w:hAnsi="宋体" w:eastAsia="宋体" w:cs="Times New Roman"/>
                <w:color w:val="000000"/>
                <w:kern w:val="0"/>
                <w:szCs w:val="21"/>
              </w:rPr>
              <w:t>报告、新修订的党章内容纳入党组中心组和党支部</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三会一课</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主题党日活动</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之中。通过观看开幕式、专题学习、上党课、自学原文和辅导教材、邀请专家学者授课等形式集中开展专题研讨、撰写学习心得体会，促进党员深刻理解、全面把握</w:t>
            </w:r>
            <w:r>
              <w:rPr>
                <w:rFonts w:hint="eastAsia" w:ascii="宋体" w:hAnsi="宋体" w:eastAsia="宋体" w:cs="Times New Roman"/>
                <w:color w:val="000000"/>
                <w:kern w:val="0"/>
                <w:szCs w:val="21"/>
                <w:lang w:eastAsia="zh-CN"/>
              </w:rPr>
              <w:t>党的十九大</w:t>
            </w:r>
            <w:r>
              <w:rPr>
                <w:rFonts w:ascii="宋体" w:hAnsi="宋体" w:eastAsia="宋体" w:cs="Times New Roman"/>
                <w:color w:val="000000"/>
                <w:kern w:val="0"/>
                <w:szCs w:val="21"/>
              </w:rPr>
              <w:t>报告的新思想、新论断、新提法和新举措，引导党员形成</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不忘初心、牢记使命</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的思想自觉、政治自觉和行动自觉，切实把党的</w:t>
            </w:r>
            <w:bookmarkStart w:id="0" w:name="_GoBack"/>
            <w:bookmarkEnd w:id="0"/>
            <w:r>
              <w:rPr>
                <w:rFonts w:hint="eastAsia" w:ascii="宋体" w:hAnsi="宋体" w:eastAsia="宋体" w:cs="Times New Roman"/>
                <w:color w:val="000000"/>
                <w:kern w:val="0"/>
                <w:szCs w:val="21"/>
                <w:lang w:eastAsia="zh-CN"/>
              </w:rPr>
              <w:t>十九大</w:t>
            </w:r>
            <w:r>
              <w:rPr>
                <w:rFonts w:ascii="宋体" w:hAnsi="宋体" w:eastAsia="宋体" w:cs="Times New Roman"/>
                <w:color w:val="000000"/>
                <w:kern w:val="0"/>
                <w:szCs w:val="21"/>
              </w:rPr>
              <w:t>精神转化为武装头脑、指导实践、推动工作的强大动力。 积极参与全市群众工作。今年我办选派了一名中层骨干为</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一推行四公开</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群工组队员，为开福区清水塘街道四季花城社区拨付后盾资金</w:t>
            </w:r>
            <w:r>
              <w:rPr>
                <w:rFonts w:ascii="Times New Roman" w:hAnsi="Times New Roman" w:eastAsia="宋体" w:cs="Times New Roman"/>
                <w:color w:val="000000"/>
                <w:kern w:val="0"/>
                <w:szCs w:val="21"/>
              </w:rPr>
              <w:t>5</w:t>
            </w:r>
            <w:r>
              <w:rPr>
                <w:rFonts w:ascii="宋体" w:hAnsi="宋体" w:eastAsia="宋体" w:cs="Times New Roman"/>
                <w:color w:val="000000"/>
                <w:kern w:val="0"/>
                <w:szCs w:val="21"/>
              </w:rPr>
              <w:t>万元，送去慰问金</w:t>
            </w:r>
            <w:r>
              <w:rPr>
                <w:rFonts w:ascii="Times New Roman" w:hAnsi="Times New Roman" w:eastAsia="宋体" w:cs="Times New Roman"/>
                <w:color w:val="000000"/>
                <w:kern w:val="0"/>
                <w:szCs w:val="21"/>
              </w:rPr>
              <w:t>8000</w:t>
            </w:r>
            <w:r>
              <w:rPr>
                <w:rFonts w:ascii="宋体" w:hAnsi="宋体" w:eastAsia="宋体" w:cs="Times New Roman"/>
                <w:color w:val="000000"/>
                <w:kern w:val="0"/>
                <w:szCs w:val="21"/>
              </w:rPr>
              <w:t>余元。全年重点完成五件大事：一是协助并监督社区两委换届选举；二是协调德雅路</w:t>
            </w:r>
            <w:r>
              <w:rPr>
                <w:rFonts w:ascii="Times New Roman" w:hAnsi="Times New Roman" w:eastAsia="宋体" w:cs="Times New Roman"/>
                <w:color w:val="000000"/>
                <w:kern w:val="0"/>
                <w:szCs w:val="21"/>
              </w:rPr>
              <w:t>126</w:t>
            </w:r>
            <w:r>
              <w:rPr>
                <w:rFonts w:ascii="宋体" w:hAnsi="宋体" w:eastAsia="宋体" w:cs="Times New Roman"/>
                <w:color w:val="000000"/>
                <w:kern w:val="0"/>
                <w:szCs w:val="21"/>
              </w:rPr>
              <w:t>号居民楼周边环境整治改造的项目落实；三是推进姚正街、四季花城小区水管改造工程；四是为花城小学四年级学生讲授</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毛泽东雕像的故事</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青年毛泽东长沙求学记</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方志小课堂；五是由党组书记、主任王习加同志为社区党员讲授</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历史虚无主义的现象及其危害</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意识形态专题党课。 掀起地方志理论研究高潮。深入开展地方志理论研究，用语言生态和学术成果说话。一是着眼于长沙地情风貌、史志文化资源发掘以及优秀传统文化传承发展等内容，编辑出版了两期《长沙史志》。二是积极向中指组、省志委及全国地方志期刊推介地方志理论研究成果。党组书记、主任王习加在国家方志馆</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方志大讲堂</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以《 </w:t>
            </w:r>
            <w:r>
              <w:rPr>
                <w:rFonts w:ascii="Times New Roman" w:hAnsi="Times New Roman" w:eastAsia="宋体" w:cs="Times New Roman"/>
                <w:color w:val="000000"/>
                <w:kern w:val="0"/>
                <w:szCs w:val="21"/>
              </w:rPr>
              <w:t>&lt;</w:t>
            </w:r>
            <w:r>
              <w:rPr>
                <w:rFonts w:ascii="宋体" w:hAnsi="宋体" w:eastAsia="宋体" w:cs="Times New Roman"/>
                <w:color w:val="000000"/>
                <w:kern w:val="0"/>
                <w:szCs w:val="21"/>
              </w:rPr>
              <w:t>长沙史话</w:t>
            </w:r>
            <w:r>
              <w:rPr>
                <w:rFonts w:ascii="Times New Roman" w:hAnsi="Times New Roman" w:eastAsia="宋体" w:cs="Times New Roman"/>
                <w:color w:val="000000"/>
                <w:kern w:val="0"/>
                <w:szCs w:val="21"/>
              </w:rPr>
              <w:t>&gt; </w:t>
            </w:r>
            <w:r>
              <w:rPr>
                <w:rFonts w:ascii="宋体" w:hAnsi="宋体" w:eastAsia="宋体" w:cs="Times New Roman"/>
                <w:color w:val="000000"/>
                <w:kern w:val="0"/>
                <w:szCs w:val="21"/>
              </w:rPr>
              <w:t>的若干编纂考量》为题做主题报告，赢得广泛好评。全年共有</w:t>
            </w:r>
            <w:r>
              <w:rPr>
                <w:rFonts w:ascii="Times New Roman" w:hAnsi="Times New Roman" w:eastAsia="宋体" w:cs="Times New Roman"/>
                <w:color w:val="000000"/>
                <w:kern w:val="0"/>
                <w:szCs w:val="21"/>
              </w:rPr>
              <w:t>20</w:t>
            </w:r>
            <w:r>
              <w:rPr>
                <w:rFonts w:ascii="宋体" w:hAnsi="宋体" w:eastAsia="宋体" w:cs="Times New Roman"/>
                <w:color w:val="000000"/>
                <w:kern w:val="0"/>
                <w:szCs w:val="21"/>
              </w:rPr>
              <w:t>余篇理论研究文章获国家及省市理论研究成果，其中，有</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篇研究报告被中国地方志指导小组办公室发布的《中国地情报告》蓝皮书收录，</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篇论文获全国社科联</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改革与城市发展</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征文二等奖，</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篇论文入选中国出版协会年鉴学术论文集，</w:t>
            </w: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篇论文获湖南省第八届社会科学论文评比特等奖，</w:t>
            </w:r>
            <w:r>
              <w:rPr>
                <w:rFonts w:ascii="Times New Roman" w:hAnsi="Times New Roman" w:eastAsia="宋体" w:cs="Times New Roman"/>
                <w:color w:val="000000"/>
                <w:kern w:val="0"/>
                <w:szCs w:val="21"/>
              </w:rPr>
              <w:t>7</w:t>
            </w:r>
            <w:r>
              <w:rPr>
                <w:rFonts w:ascii="宋体" w:hAnsi="宋体" w:eastAsia="宋体" w:cs="Times New Roman"/>
                <w:color w:val="000000"/>
                <w:kern w:val="0"/>
                <w:szCs w:val="21"/>
              </w:rPr>
              <w:t>篇论文获湖南省地方志编纂委员会优秀论文奖，多篇文章在《文献与人物》《湖南地方志》《长沙社科》《长沙晚报》等报刊发表。 </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存在的主要问题 主要阐述资金安排、使用，资产管理过程中存在的问题</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、基本支出没有得到有效的保障。人均工作经费不足，导致有些工作开展起来存在困难，影响机关行政运行效能。 </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、部门预算编制不够科学、完整。预算管理不够规范，预算编制的准确性有待进一步提高。</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24"/>
                <w:szCs w:val="24"/>
              </w:rPr>
              <w:t>资产管理情况 反映部门资产的配置、管理、处置等综合情况。包括制 度建设、管理措施、配置处置的程序等</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宋体" w:hAnsi="宋体" w:eastAsia="宋体" w:cs="Times New Roman"/>
                <w:color w:val="000000"/>
                <w:kern w:val="0"/>
                <w:szCs w:val="21"/>
              </w:rPr>
              <w:t>、细化预算编制。本着</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勤俭节约，保障运转</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的原则进行预算编制，进一步强化局内设处室的预算管理意识，尽量落实</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先有预算，后有支出</w:t>
            </w:r>
            <w:r>
              <w:rPr>
                <w:rFonts w:ascii="Times New Roman" w:hAnsi="Times New Roman" w:eastAsia="宋体" w:cs="Times New Roman"/>
                <w:color w:val="000000"/>
                <w:kern w:val="0"/>
                <w:szCs w:val="21"/>
              </w:rPr>
              <w:t>”</w:t>
            </w:r>
            <w:r>
              <w:rPr>
                <w:rFonts w:ascii="宋体" w:hAnsi="宋体" w:eastAsia="宋体" w:cs="Times New Roman"/>
                <w:color w:val="000000"/>
                <w:kern w:val="0"/>
                <w:szCs w:val="21"/>
              </w:rPr>
              <w:t>的要求，预算编制前多与内设处室做好沟通衔接，进一步提高预算编制的科学性、合理性、准确性和可控性。 </w:t>
            </w:r>
            <w:r>
              <w:rPr>
                <w:rFonts w:ascii="Times New Roman" w:hAnsi="Times New Roman" w:eastAsia="宋体" w:cs="Times New Roman"/>
                <w:color w:val="000000"/>
                <w:kern w:val="0"/>
                <w:szCs w:val="21"/>
              </w:rPr>
              <w:t>2</w:t>
            </w:r>
            <w:r>
              <w:rPr>
                <w:rFonts w:ascii="宋体" w:hAnsi="宋体" w:eastAsia="宋体" w:cs="Times New Roman"/>
                <w:color w:val="000000"/>
                <w:kern w:val="0"/>
                <w:szCs w:val="21"/>
              </w:rPr>
              <w:t>、进一步严格财务审核。在费用报账支付时，按照预算规定的费用项目和用途进行资金使用的审核，严格按照实际的费用支出内容进行财务核算，在预算资金内严格控制费用的支出。 </w:t>
            </w:r>
            <w:r>
              <w:rPr>
                <w:rFonts w:ascii="Times New Roman" w:hAnsi="Times New Roman" w:eastAsia="宋体" w:cs="Times New Roman"/>
                <w:color w:val="000000"/>
                <w:kern w:val="0"/>
                <w:szCs w:val="21"/>
              </w:rPr>
              <w:t>3</w:t>
            </w:r>
            <w:r>
              <w:rPr>
                <w:rFonts w:ascii="宋体" w:hAnsi="宋体" w:eastAsia="宋体" w:cs="Times New Roman"/>
                <w:color w:val="000000"/>
                <w:kern w:val="0"/>
                <w:szCs w:val="21"/>
              </w:rPr>
              <w:t>、支出预算财务分析常态化。定期做好支出预算财务分析，及时对费用预算执行情况进行通报，做好部门整体支出预算评价工作。</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62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一级指标</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权重</w:t>
            </w:r>
          </w:p>
        </w:tc>
        <w:tc>
          <w:tcPr>
            <w:tcW w:w="62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二级指标</w:t>
            </w:r>
          </w:p>
        </w:tc>
        <w:tc>
          <w:tcPr>
            <w:tcW w:w="62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权重</w:t>
            </w:r>
          </w:p>
        </w:tc>
        <w:tc>
          <w:tcPr>
            <w:tcW w:w="66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三级指标</w:t>
            </w:r>
          </w:p>
        </w:tc>
        <w:tc>
          <w:tcPr>
            <w:tcW w:w="66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权重</w:t>
            </w:r>
          </w:p>
        </w:tc>
        <w:tc>
          <w:tcPr>
            <w:tcW w:w="2660" w:type="dxa"/>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评价标准</w:t>
            </w:r>
          </w:p>
        </w:tc>
        <w:tc>
          <w:tcPr>
            <w:tcW w:w="3123" w:type="dxa"/>
            <w:gridSpan w:val="4"/>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指标说明</w:t>
            </w:r>
          </w:p>
        </w:tc>
        <w:tc>
          <w:tcPr>
            <w:tcW w:w="67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得分</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4"/>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gridAfter w:val="1"/>
          <w:wAfter w:w="36" w:type="dxa"/>
          <w:trHeight w:val="400" w:hRule="atLeast"/>
        </w:trPr>
        <w:tc>
          <w:tcPr>
            <w:tcW w:w="62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投 入</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13</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预算配置</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13</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在职人员控制率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以100%为标准。在职人员控制率</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100%，计5分；每超过一个百分点扣0.5分，扣完为止。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在职人员控制率=（在职人员数/编制数）</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100%，在职人员数：部门（单位）实际在职人数，以财政局确定的部门决算编制口径为准。 编制数：机构编制部门核定批复的部门（单位）的人员编制数。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变动率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变动率</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0,计8分；</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＞0，每超过一个百分点扣0.8分，扣完为止。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“在公经费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变动率=[（本年度</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预算数-上年度</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预算数）/上年度</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预算数]</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r>
      <w:tr>
        <w:tblPrEx>
          <w:tblCellMar>
            <w:top w:w="15" w:type="dxa"/>
            <w:left w:w="15" w:type="dxa"/>
            <w:bottom w:w="15" w:type="dxa"/>
            <w:right w:w="15" w:type="dxa"/>
          </w:tblCellMar>
        </w:tblPrEx>
        <w:trPr>
          <w:gridAfter w:val="1"/>
          <w:wAfter w:w="36" w:type="dxa"/>
          <w:trHeight w:val="400" w:hRule="atLeast"/>
        </w:trPr>
        <w:tc>
          <w:tcPr>
            <w:tcW w:w="62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过程</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61</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预算执行</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20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预算完成率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100%计满分，每低于5%扣2分，扣完为止。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预算完成率=（上年结转+年初预算+本年追加预算-年末结余/上年结转+年初预算+本年追加预算）</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预算控制率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预算控制率=0，计5分；0-10%（含），计4分；10-20%（含），计3分；20-30%（含），计2分；大于30%不得分</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预算控制率=（本年追加预算/年初预算）</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4</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新建楼堂馆所面积控制率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100%以下（含）计满分，每超出5%扣2分，扣完为止。没有楼梯馆所项目的部门按满分计算</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楼堂馆所面积控制率=实际建设面积/批准建设面积</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 该指标以2015年完工的新建楼堂馆所为评价内容。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新建楼堂馆所投资概算控制率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100%以下（含）计满分，每超出5%扣2分，扣完为止。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楼堂馆所投资预算控制率=实际投资金额/批准投资金额</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 该指标以2015年完工的新建楼堂馆所为评价内容。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预算管理</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41</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公用经费控制率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100%以下（含）计满分，每超出1%扣1分，扣完为止。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公用经费控制率=（实际支出公用经费总额/预算安排公用经费总额）</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公用经费支出是指部门基本支出中的一般商品和服务支出。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控制率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100%以下（含）计满分，每超出1%扣1分，扣完为止。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控制率-（</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实际支出数/</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三公经费</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预算安排数）</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政府采购执行率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100%计满分，每超过（降低）5%扣2分。扣完为止。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政府采购执行率=（实际政府采购金额/政府采购预算数）</w:t>
            </w:r>
            <w:r>
              <w:rPr>
                <w:rFonts w:hint="eastAsia" w:ascii="Times New Roman" w:hAnsi="Times New Roman" w:eastAsia="仿宋_GB2312" w:cs="Times New Roman"/>
                <w:color w:val="000000"/>
                <w:kern w:val="0"/>
                <w:sz w:val="18"/>
                <w:szCs w:val="18"/>
              </w:rPr>
              <w:t>×</w:t>
            </w:r>
            <w:r>
              <w:rPr>
                <w:rFonts w:hint="eastAsia" w:ascii="仿宋_GB2312" w:hAnsi="Times New Roman" w:eastAsia="仿宋_GB2312" w:cs="Times New Roman"/>
                <w:color w:val="000000"/>
                <w:kern w:val="0"/>
                <w:sz w:val="18"/>
                <w:szCs w:val="18"/>
              </w:rPr>
              <w:t>100%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4</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管理制度健全性</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①有内部财务管理制度、会计核算制度等管理制度，2分； </w:t>
            </w:r>
            <w:r>
              <w:rPr>
                <w:rFonts w:hint="eastAsia" w:ascii="Times New Roman" w:hAnsi="Times New Roman" w:eastAsia="仿宋_GB2312" w:cs="Times New Roman"/>
                <w:color w:val="000000"/>
                <w:kern w:val="0"/>
                <w:sz w:val="18"/>
                <w:szCs w:val="18"/>
              </w:rPr>
              <w:t>②</w:t>
            </w:r>
            <w:r>
              <w:rPr>
                <w:rFonts w:hint="eastAsia" w:ascii="仿宋_GB2312" w:hAnsi="Times New Roman" w:eastAsia="仿宋_GB2312" w:cs="Times New Roman"/>
                <w:color w:val="000000"/>
                <w:kern w:val="0"/>
                <w:sz w:val="18"/>
                <w:szCs w:val="18"/>
              </w:rPr>
              <w:t>有本部门厉行节约制度,2分； </w:t>
            </w:r>
            <w:r>
              <w:rPr>
                <w:rFonts w:hint="eastAsia" w:ascii="Times New Roman" w:hAnsi="Times New Roman" w:eastAsia="仿宋_GB2312" w:cs="Times New Roman"/>
                <w:color w:val="000000"/>
                <w:kern w:val="0"/>
                <w:sz w:val="18"/>
                <w:szCs w:val="18"/>
              </w:rPr>
              <w:t>③</w:t>
            </w:r>
            <w:r>
              <w:rPr>
                <w:rFonts w:hint="eastAsia" w:ascii="仿宋_GB2312" w:hAnsi="Times New Roman" w:eastAsia="仿宋_GB2312" w:cs="Times New Roman"/>
                <w:color w:val="000000"/>
                <w:kern w:val="0"/>
                <w:sz w:val="18"/>
                <w:szCs w:val="18"/>
              </w:rPr>
              <w:t>相关管理制度合法、合规、完整，2分；</w:t>
            </w:r>
            <w:r>
              <w:rPr>
                <w:rFonts w:hint="eastAsia" w:ascii="Times New Roman" w:hAnsi="Times New Roman" w:eastAsia="仿宋_GB2312" w:cs="Times New Roman"/>
                <w:color w:val="000000"/>
                <w:kern w:val="0"/>
                <w:sz w:val="18"/>
                <w:szCs w:val="18"/>
              </w:rPr>
              <w:t>④</w:t>
            </w:r>
            <w:r>
              <w:rPr>
                <w:rFonts w:hint="eastAsia" w:ascii="仿宋_GB2312" w:hAnsi="Times New Roman" w:eastAsia="仿宋_GB2312" w:cs="Times New Roman"/>
                <w:color w:val="000000"/>
                <w:kern w:val="0"/>
                <w:sz w:val="18"/>
                <w:szCs w:val="18"/>
              </w:rPr>
              <w:t>相关管理制度得到有效执行，2分。</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宋体" w:hAnsi="宋体" w:eastAsia="宋体" w:cs="Times New Roman"/>
                <w:color w:val="000000"/>
                <w:kern w:val="0"/>
                <w:sz w:val="24"/>
                <w:szCs w:val="24"/>
              </w:rPr>
              <w:t>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资金使用合规性</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①支出符合国家财经法规和财务管理制度规定以及有关专项资金管理办法的规定；</w:t>
            </w:r>
            <w:r>
              <w:rPr>
                <w:rFonts w:hint="eastAsia" w:ascii="Times New Roman" w:hAnsi="Times New Roman" w:eastAsia="仿宋_GB2312" w:cs="Times New Roman"/>
                <w:color w:val="000000"/>
                <w:kern w:val="0"/>
                <w:sz w:val="18"/>
                <w:szCs w:val="18"/>
              </w:rPr>
              <w:t>②</w:t>
            </w:r>
            <w:r>
              <w:rPr>
                <w:rFonts w:hint="eastAsia" w:ascii="仿宋_GB2312" w:hAnsi="Times New Roman" w:eastAsia="仿宋_GB2312" w:cs="Times New Roman"/>
                <w:color w:val="000000"/>
                <w:kern w:val="0"/>
                <w:sz w:val="18"/>
                <w:szCs w:val="18"/>
              </w:rPr>
              <w:t>资金拨付有完整的审批程序和手续；</w:t>
            </w:r>
            <w:r>
              <w:rPr>
                <w:rFonts w:hint="eastAsia" w:ascii="Times New Roman" w:hAnsi="Times New Roman" w:eastAsia="仿宋_GB2312" w:cs="Times New Roman"/>
                <w:color w:val="000000"/>
                <w:kern w:val="0"/>
                <w:sz w:val="18"/>
                <w:szCs w:val="18"/>
              </w:rPr>
              <w:t>③</w:t>
            </w:r>
            <w:r>
              <w:rPr>
                <w:rFonts w:hint="eastAsia" w:ascii="仿宋_GB2312" w:hAnsi="Times New Roman" w:eastAsia="仿宋_GB2312" w:cs="Times New Roman"/>
                <w:color w:val="000000"/>
                <w:kern w:val="0"/>
                <w:sz w:val="18"/>
                <w:szCs w:val="18"/>
              </w:rPr>
              <w:t>项目支出按规定经过评估论证；</w:t>
            </w:r>
            <w:r>
              <w:rPr>
                <w:rFonts w:hint="eastAsia" w:ascii="Times New Roman" w:hAnsi="Times New Roman" w:eastAsia="仿宋_GB2312" w:cs="Times New Roman"/>
                <w:color w:val="000000"/>
                <w:kern w:val="0"/>
                <w:sz w:val="18"/>
                <w:szCs w:val="18"/>
              </w:rPr>
              <w:t>④</w:t>
            </w:r>
            <w:r>
              <w:rPr>
                <w:rFonts w:hint="eastAsia" w:ascii="仿宋_GB2312" w:hAnsi="Times New Roman" w:eastAsia="仿宋_GB2312" w:cs="Times New Roman"/>
                <w:color w:val="000000"/>
                <w:kern w:val="0"/>
                <w:sz w:val="18"/>
                <w:szCs w:val="18"/>
              </w:rPr>
              <w:t>支出符合部门预算批复的用途；</w:t>
            </w:r>
            <w:r>
              <w:rPr>
                <w:rFonts w:hint="eastAsia" w:ascii="Times New Roman" w:hAnsi="Times New Roman" w:eastAsia="仿宋_GB2312" w:cs="Times New Roman"/>
                <w:color w:val="000000"/>
                <w:kern w:val="0"/>
                <w:sz w:val="18"/>
                <w:szCs w:val="18"/>
              </w:rPr>
              <w:t>⑤</w:t>
            </w:r>
            <w:r>
              <w:rPr>
                <w:rFonts w:hint="eastAsia" w:ascii="仿宋_GB2312" w:hAnsi="Times New Roman" w:eastAsia="仿宋_GB2312" w:cs="Times New Roman"/>
                <w:color w:val="000000"/>
                <w:kern w:val="0"/>
                <w:sz w:val="18"/>
                <w:szCs w:val="18"/>
              </w:rPr>
              <w:t>资金使用无截留、挤占、挪用、虚列支出等情况。 以上情况每出现一例不符合要求的扣1分，扣完为止。</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宋体" w:hAnsi="宋体" w:eastAsia="宋体" w:cs="Times New Roman"/>
                <w:color w:val="000000"/>
                <w:kern w:val="0"/>
                <w:sz w:val="24"/>
                <w:szCs w:val="24"/>
              </w:rPr>
              <w:t>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预决算信息公开性</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①按规定内容公开预决算信息，1分；</w:t>
            </w:r>
            <w:r>
              <w:rPr>
                <w:rFonts w:hint="eastAsia" w:ascii="Times New Roman" w:hAnsi="Times New Roman" w:eastAsia="仿宋_GB2312" w:cs="Times New Roman"/>
                <w:color w:val="000000"/>
                <w:kern w:val="0"/>
                <w:sz w:val="18"/>
                <w:szCs w:val="18"/>
              </w:rPr>
              <w:t>②</w:t>
            </w:r>
            <w:r>
              <w:rPr>
                <w:rFonts w:hint="eastAsia" w:ascii="仿宋_GB2312" w:hAnsi="Times New Roman" w:eastAsia="仿宋_GB2312" w:cs="Times New Roman"/>
                <w:color w:val="000000"/>
                <w:kern w:val="0"/>
                <w:sz w:val="18"/>
                <w:szCs w:val="18"/>
              </w:rPr>
              <w:t>按规定时限公开预决算信息，1分；</w:t>
            </w:r>
            <w:r>
              <w:rPr>
                <w:rFonts w:hint="eastAsia" w:ascii="Times New Roman" w:hAnsi="Times New Roman" w:eastAsia="仿宋_GB2312" w:cs="Times New Roman"/>
                <w:color w:val="000000"/>
                <w:kern w:val="0"/>
                <w:sz w:val="18"/>
                <w:szCs w:val="18"/>
              </w:rPr>
              <w:t>③</w:t>
            </w:r>
            <w:r>
              <w:rPr>
                <w:rFonts w:hint="eastAsia" w:ascii="仿宋_GB2312" w:hAnsi="Times New Roman" w:eastAsia="仿宋_GB2312" w:cs="Times New Roman"/>
                <w:color w:val="000000"/>
                <w:kern w:val="0"/>
                <w:sz w:val="18"/>
                <w:szCs w:val="18"/>
              </w:rPr>
              <w:t>基础数据信息和会计信息资料真实，1分；</w:t>
            </w:r>
            <w:r>
              <w:rPr>
                <w:rFonts w:hint="eastAsia" w:ascii="Times New Roman" w:hAnsi="Times New Roman" w:eastAsia="仿宋_GB2312" w:cs="Times New Roman"/>
                <w:color w:val="000000"/>
                <w:kern w:val="0"/>
                <w:sz w:val="18"/>
                <w:szCs w:val="18"/>
              </w:rPr>
              <w:t>④</w:t>
            </w:r>
            <w:r>
              <w:rPr>
                <w:rFonts w:hint="eastAsia" w:ascii="仿宋_GB2312" w:hAnsi="Times New Roman" w:eastAsia="仿宋_GB2312" w:cs="Times New Roman"/>
                <w:color w:val="000000"/>
                <w:kern w:val="0"/>
                <w:sz w:val="18"/>
                <w:szCs w:val="18"/>
              </w:rPr>
              <w:t>基础数据信息和会计信息资料完整，1分；</w:t>
            </w:r>
            <w:r>
              <w:rPr>
                <w:rFonts w:hint="eastAsia" w:ascii="Times New Roman" w:hAnsi="Times New Roman" w:eastAsia="仿宋_GB2312" w:cs="Times New Roman"/>
                <w:color w:val="000000"/>
                <w:kern w:val="0"/>
                <w:sz w:val="18"/>
                <w:szCs w:val="18"/>
              </w:rPr>
              <w:t>⑤</w:t>
            </w:r>
            <w:r>
              <w:rPr>
                <w:rFonts w:hint="eastAsia" w:ascii="仿宋_GB2312" w:hAnsi="Times New Roman" w:eastAsia="仿宋_GB2312" w:cs="Times New Roman"/>
                <w:color w:val="000000"/>
                <w:kern w:val="0"/>
                <w:sz w:val="18"/>
                <w:szCs w:val="18"/>
              </w:rPr>
              <w:t>基础数据信息和汇集信息资料准确，1分。 </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预决算信息是指与部门预算、执行、决算、监督、绩效等管理相关的信息。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5</w:t>
            </w:r>
          </w:p>
        </w:tc>
      </w:tr>
      <w:tr>
        <w:tblPrEx>
          <w:tblCellMar>
            <w:top w:w="15" w:type="dxa"/>
            <w:left w:w="15" w:type="dxa"/>
            <w:bottom w:w="15" w:type="dxa"/>
            <w:right w:w="15" w:type="dxa"/>
          </w:tblCellMar>
        </w:tblPrEx>
        <w:trPr>
          <w:gridAfter w:val="1"/>
          <w:wAfter w:w="36" w:type="dxa"/>
          <w:trHeight w:val="400" w:hRule="atLeast"/>
        </w:trPr>
        <w:tc>
          <w:tcPr>
            <w:tcW w:w="62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产出及效率</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26</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职责履行</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重点工作实际完成率</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根据绩效办2015年对各部门为民办实事和部门重点工程与重点工作考核分数折算。 该项得分=（实际产出数/计划产出数）*8</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宋体" w:hAnsi="宋体" w:eastAsia="宋体" w:cs="Times New Roman"/>
                <w:color w:val="000000"/>
                <w:kern w:val="0"/>
                <w:sz w:val="24"/>
                <w:szCs w:val="24"/>
              </w:rPr>
              <w:t>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8</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履职效益</w:t>
            </w:r>
          </w:p>
        </w:tc>
        <w:tc>
          <w:tcPr>
            <w:tcW w:w="6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18</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经济效益</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3</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此两项指标为设置部门整体支出绩效评价指标时必须考虑的共性要素，可根据部门实际情况有选择的进行设置，并将其细化为相应的个性化指标。</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宋体" w:hAnsi="宋体" w:eastAsia="宋体" w:cs="Times New Roman"/>
                <w:color w:val="000000"/>
                <w:kern w:val="0"/>
                <w:sz w:val="24"/>
                <w:szCs w:val="24"/>
              </w:rPr>
              <w:t>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3</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社会效益</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3</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此两项指标为设置部门整体支出绩效评价指标时必须考虑的共性要素，可根据部门实际情况有选择的进行设置，并将其细化为相应的个性化指标。</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宋体" w:hAnsi="宋体" w:eastAsia="宋体" w:cs="Times New Roman"/>
                <w:color w:val="000000"/>
                <w:kern w:val="0"/>
                <w:sz w:val="24"/>
                <w:szCs w:val="24"/>
              </w:rPr>
              <w:t>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3</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行政效能</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促进部门改进文风会风，加强经费及资产管理，推动网上办事，提高行政效率，降低行政成本效果较好的计6分；一般3分；无效果或者效果不明显0分。</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根据部门自评材料评定。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r>
      <w:tr>
        <w:tblPrEx>
          <w:tblCellMar>
            <w:top w:w="15" w:type="dxa"/>
            <w:left w:w="15" w:type="dxa"/>
            <w:bottom w:w="15" w:type="dxa"/>
            <w:right w:w="15" w:type="dxa"/>
          </w:tblCellMar>
        </w:tblPrEx>
        <w:trPr>
          <w:gridAfter w:val="1"/>
          <w:wAfter w:w="36" w:type="dxa"/>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社会公众或服务对象满意度</w:t>
            </w:r>
          </w:p>
        </w:tc>
        <w:tc>
          <w:tcPr>
            <w:tcW w:w="6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c>
          <w:tcPr>
            <w:tcW w:w="266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90%（含）以上计6分； 80%（含）-90%，计4分； 70%（含）-80%，计2分； 低于70%计0分。</w:t>
            </w:r>
          </w:p>
        </w:tc>
        <w:tc>
          <w:tcPr>
            <w:tcW w:w="312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社会公众或服务对象是指部门（单位）履行职责而影响到的部门、群体或个人，一般采取社会调查的方式。 </w:t>
            </w:r>
          </w:p>
        </w:tc>
        <w:tc>
          <w:tcPr>
            <w:tcW w:w="6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18"/>
                <w:szCs w:val="18"/>
              </w:rPr>
              <w:t>6</w:t>
            </w:r>
          </w:p>
        </w:tc>
      </w:tr>
      <w:tr>
        <w:tblPrEx>
          <w:tblCellMar>
            <w:top w:w="15" w:type="dxa"/>
            <w:left w:w="15" w:type="dxa"/>
            <w:bottom w:w="15" w:type="dxa"/>
            <w:right w:w="15" w:type="dxa"/>
          </w:tblCellMar>
        </w:tblPrEx>
        <w:trPr>
          <w:gridAfter w:val="1"/>
          <w:wAfter w:w="36" w:type="dxa"/>
          <w:trHeight w:val="400" w:hRule="atLeast"/>
        </w:trPr>
        <w:tc>
          <w:tcPr>
            <w:tcW w:w="3805" w:type="dxa"/>
            <w:gridSpan w:val="6"/>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8"/>
                <w:szCs w:val="28"/>
              </w:rPr>
              <w:t>审核意见：</w:t>
            </w:r>
          </w:p>
        </w:tc>
        <w:tc>
          <w:tcPr>
            <w:tcW w:w="6454" w:type="dxa"/>
            <w:gridSpan w:val="8"/>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0"/>
                <w:szCs w:val="20"/>
              </w:rPr>
              <w:t> </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28"/>
                <w:szCs w:val="28"/>
              </w:rPr>
              <w:t>                单位（盖章）：</w:t>
            </w:r>
          </w:p>
        </w:tc>
      </w:tr>
      <w:tr>
        <w:tblPrEx>
          <w:tblCellMar>
            <w:top w:w="15" w:type="dxa"/>
            <w:left w:w="15" w:type="dxa"/>
            <w:bottom w:w="15" w:type="dxa"/>
            <w:right w:w="15" w:type="dxa"/>
          </w:tblCellMar>
        </w:tblPrEx>
        <w:trPr>
          <w:gridAfter w:val="1"/>
          <w:wAfter w:w="36" w:type="dxa"/>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r>
      <w:tr>
        <w:tblPrEx>
          <w:tblCellMar>
            <w:top w:w="15" w:type="dxa"/>
            <w:left w:w="15" w:type="dxa"/>
            <w:bottom w:w="15" w:type="dxa"/>
            <w:right w:w="15" w:type="dxa"/>
          </w:tblCellMar>
        </w:tblPrEx>
        <w:trPr>
          <w:trHeight w:val="400" w:hRule="atLeast"/>
        </w:trPr>
        <w:tc>
          <w:tcPr>
            <w:tcW w:w="0" w:type="auto"/>
            <w:gridSpan w:val="6"/>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gridSpan w:val="8"/>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kern w:val="0"/>
                <w:szCs w:val="21"/>
              </w:rPr>
            </w:pPr>
          </w:p>
        </w:tc>
        <w:tc>
          <w:tcPr>
            <w:tcW w:w="0" w:type="auto"/>
            <w:vAlign w:val="center"/>
          </w:tcPr>
          <w:p>
            <w:pPr>
              <w:widowControl/>
              <w:jc w:val="left"/>
              <w:rPr>
                <w:rFonts w:ascii="Times New Roman" w:hAnsi="Times New Roman" w:eastAsia="宋体" w:cs="Times New Roman"/>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2YWVlYzU4NDc4NmY5M2IxYjNmM2ZkNDc0OGUzZDEifQ=="/>
  </w:docVars>
  <w:rsids>
    <w:rsidRoot w:val="004E7490"/>
    <w:rsid w:val="00024E3F"/>
    <w:rsid w:val="004E7490"/>
    <w:rsid w:val="33564B3A"/>
    <w:rsid w:val="3AFA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www.diannaotuan.com</Company>
  <Pages>8</Pages>
  <Words>2064</Words>
  <Characters>11767</Characters>
  <Lines>98</Lines>
  <Paragraphs>27</Paragraphs>
  <TotalTime>3</TotalTime>
  <ScaleCrop>false</ScaleCrop>
  <LinksUpToDate>false</LinksUpToDate>
  <CharactersWithSpaces>13804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2021-06-10T07:23:00Z</dcterms:created>
  <dc:creator>电脑团</dc:creator>
  <cp:lastModifiedBy>C-YANG</cp:lastModifiedBy>
  <dcterms:modified xsi:type="dcterms:W3CDTF">2024-01-31T08:16:07Z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80F404E1EFA34ADFB374FD4DC6D48ADE_12</vt:lpwstr>
  </property>
</Properties>
</file>