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100" w:after="100"/>
        <w:ind w:right="75"/>
        <w:jc w:val="center"/>
        <w:rPr>
          <w:rFonts w:ascii="Times New Roman" w:hAnsi="Times New Roman" w:eastAsia="方正小标宋_GBK"/>
          <w:b/>
          <w:sz w:val="44"/>
          <w:szCs w:val="44"/>
          <w:shd w:val="clear" w:color="auto" w:fill="FFFFFF"/>
        </w:rPr>
      </w:pPr>
      <w:bookmarkStart w:id="1" w:name="_GoBack"/>
      <w:bookmarkEnd w:id="1"/>
    </w:p>
    <w:p>
      <w:pPr>
        <w:pStyle w:val="5"/>
        <w:widowControl/>
        <w:spacing w:before="100" w:after="100"/>
        <w:ind w:right="75"/>
        <w:jc w:val="center"/>
        <w:rPr>
          <w:rFonts w:ascii="Times New Roman" w:hAnsi="Times New Roman" w:eastAsia="方正小标宋_GBK"/>
          <w:b/>
          <w:sz w:val="44"/>
          <w:szCs w:val="44"/>
          <w:shd w:val="clear" w:color="auto" w:fill="FFFFFF"/>
        </w:rPr>
      </w:pPr>
    </w:p>
    <w:p>
      <w:pPr>
        <w:pStyle w:val="5"/>
        <w:widowControl/>
        <w:spacing w:before="100" w:after="100"/>
        <w:ind w:right="75"/>
        <w:jc w:val="center"/>
        <w:rPr>
          <w:rFonts w:ascii="Times New Roman" w:hAnsi="Times New Roman" w:eastAsia="方正小标宋_GBK"/>
          <w:b/>
          <w:sz w:val="44"/>
          <w:szCs w:val="44"/>
          <w:shd w:val="clear" w:color="auto" w:fill="FFFFFF"/>
        </w:rPr>
      </w:pPr>
    </w:p>
    <w:p>
      <w:pPr>
        <w:pStyle w:val="5"/>
        <w:widowControl/>
        <w:spacing w:before="100" w:after="100"/>
        <w:ind w:right="75"/>
        <w:jc w:val="center"/>
        <w:rPr>
          <w:rFonts w:ascii="Times New Roman" w:hAnsi="Times New Roman" w:eastAsia="方正小标宋_GBK"/>
          <w:b/>
          <w:sz w:val="44"/>
          <w:szCs w:val="44"/>
          <w:shd w:val="clear" w:color="auto" w:fill="FFFFFF"/>
        </w:rPr>
      </w:pPr>
    </w:p>
    <w:p>
      <w:pPr>
        <w:pStyle w:val="5"/>
        <w:widowControl/>
        <w:spacing w:before="100" w:after="100"/>
        <w:ind w:right="75"/>
        <w:jc w:val="center"/>
        <w:rPr>
          <w:rFonts w:ascii="Times New Roman" w:hAnsi="Times New Roman" w:eastAsia="方正小标宋_GBK"/>
          <w:bCs/>
          <w:sz w:val="44"/>
          <w:szCs w:val="44"/>
        </w:rPr>
      </w:pPr>
      <w:r>
        <w:rPr>
          <w:rFonts w:ascii="Times New Roman" w:hAnsi="Times New Roman" w:eastAsia="方正小标宋_GBK"/>
          <w:bCs/>
          <w:sz w:val="44"/>
          <w:szCs w:val="44"/>
          <w:shd w:val="clear" w:color="auto" w:fill="FFFFFF"/>
        </w:rPr>
        <w:t>2020年度</w:t>
      </w:r>
    </w:p>
    <w:p>
      <w:pPr>
        <w:pStyle w:val="5"/>
        <w:widowControl/>
        <w:ind w:right="75"/>
        <w:jc w:val="center"/>
        <w:rPr>
          <w:rFonts w:ascii="Times New Roman" w:hAnsi="Times New Roman" w:eastAsia="方正小标宋_GBK"/>
          <w:bCs/>
          <w:sz w:val="44"/>
          <w:szCs w:val="44"/>
        </w:rPr>
      </w:pPr>
      <w:r>
        <w:rPr>
          <w:rFonts w:ascii="Times New Roman" w:hAnsi="Times New Roman" w:eastAsia="方正小标宋_GBK"/>
          <w:bCs/>
          <w:sz w:val="44"/>
          <w:szCs w:val="44"/>
          <w:shd w:val="clear" w:color="auto" w:fill="FFFFFF"/>
        </w:rPr>
        <w:t>长沙市地方志编纂室部门决算</w:t>
      </w:r>
    </w:p>
    <w:p>
      <w:pPr>
        <w:pStyle w:val="5"/>
        <w:widowControl/>
        <w:ind w:right="75"/>
        <w:jc w:val="center"/>
        <w:rPr>
          <w:rFonts w:ascii="Times New Roman" w:hAnsi="Times New Roman"/>
        </w:rPr>
      </w:pPr>
      <w:r>
        <w:rPr>
          <w:rFonts w:ascii="Times New Roman" w:hAnsi="Times New Roman"/>
          <w:sz w:val="18"/>
          <w:szCs w:val="18"/>
          <w:shd w:val="clear" w:color="auto" w:fill="FFFFFF"/>
        </w:rPr>
        <w:t>  </w:t>
      </w:r>
    </w:p>
    <w:p>
      <w:pPr>
        <w:pStyle w:val="5"/>
        <w:widowControl/>
        <w:ind w:right="75"/>
        <w:jc w:val="center"/>
        <w:rPr>
          <w:rStyle w:val="9"/>
          <w:rFonts w:ascii="Times New Roman" w:hAnsi="Times New Roman"/>
          <w:sz w:val="36"/>
          <w:szCs w:val="36"/>
          <w:shd w:val="clear" w:color="auto" w:fill="FFFFFF"/>
        </w:rPr>
      </w:pPr>
    </w:p>
    <w:p>
      <w:pPr>
        <w:pStyle w:val="5"/>
        <w:widowControl/>
        <w:ind w:right="75"/>
        <w:jc w:val="center"/>
        <w:rPr>
          <w:rStyle w:val="9"/>
          <w:rFonts w:ascii="Times New Roman" w:hAnsi="Times New Roman"/>
          <w:sz w:val="36"/>
          <w:szCs w:val="36"/>
          <w:shd w:val="clear" w:color="auto" w:fill="FFFFFF"/>
        </w:rPr>
      </w:pPr>
    </w:p>
    <w:p>
      <w:pPr>
        <w:pStyle w:val="5"/>
        <w:widowControl/>
        <w:ind w:right="75"/>
        <w:jc w:val="center"/>
        <w:rPr>
          <w:rStyle w:val="9"/>
          <w:rFonts w:ascii="Times New Roman" w:hAnsi="Times New Roman"/>
          <w:sz w:val="36"/>
          <w:szCs w:val="36"/>
          <w:shd w:val="clear" w:color="auto" w:fill="FFFFFF"/>
        </w:rPr>
      </w:pPr>
    </w:p>
    <w:p>
      <w:pPr>
        <w:pStyle w:val="5"/>
        <w:widowControl/>
        <w:ind w:right="75"/>
        <w:jc w:val="center"/>
        <w:rPr>
          <w:rStyle w:val="9"/>
          <w:rFonts w:ascii="Times New Roman" w:hAnsi="Times New Roman"/>
          <w:sz w:val="36"/>
          <w:szCs w:val="36"/>
          <w:shd w:val="clear" w:color="auto" w:fill="FFFFFF"/>
        </w:rPr>
      </w:pPr>
    </w:p>
    <w:p>
      <w:pPr>
        <w:pStyle w:val="5"/>
        <w:widowControl/>
        <w:ind w:right="75"/>
        <w:jc w:val="center"/>
        <w:rPr>
          <w:rStyle w:val="9"/>
          <w:rFonts w:ascii="Times New Roman" w:hAnsi="Times New Roman"/>
          <w:sz w:val="36"/>
          <w:szCs w:val="36"/>
          <w:shd w:val="clear" w:color="auto" w:fill="FFFFFF"/>
        </w:rPr>
      </w:pPr>
    </w:p>
    <w:p>
      <w:pPr>
        <w:pStyle w:val="5"/>
        <w:widowControl/>
        <w:ind w:right="75"/>
        <w:jc w:val="center"/>
        <w:rPr>
          <w:rStyle w:val="9"/>
          <w:rFonts w:ascii="Times New Roman" w:hAnsi="Times New Roman"/>
          <w:sz w:val="36"/>
          <w:szCs w:val="36"/>
          <w:shd w:val="clear" w:color="auto" w:fill="FFFFFF"/>
        </w:rPr>
      </w:pPr>
    </w:p>
    <w:p>
      <w:pPr>
        <w:pStyle w:val="5"/>
        <w:widowControl/>
        <w:ind w:right="75"/>
        <w:jc w:val="center"/>
        <w:rPr>
          <w:rStyle w:val="9"/>
          <w:rFonts w:ascii="Times New Roman" w:hAnsi="Times New Roman"/>
          <w:sz w:val="36"/>
          <w:szCs w:val="36"/>
          <w:shd w:val="clear" w:color="auto" w:fill="FFFFFF"/>
        </w:rPr>
      </w:pPr>
    </w:p>
    <w:p>
      <w:pPr>
        <w:pStyle w:val="5"/>
        <w:widowControl/>
        <w:ind w:right="75"/>
        <w:jc w:val="center"/>
        <w:rPr>
          <w:rStyle w:val="9"/>
          <w:rFonts w:ascii="Times New Roman" w:hAnsi="Times New Roman"/>
          <w:sz w:val="44"/>
          <w:szCs w:val="44"/>
          <w:shd w:val="clear" w:color="auto" w:fill="FFFFFF"/>
        </w:rPr>
      </w:pPr>
    </w:p>
    <w:p>
      <w:pPr>
        <w:pStyle w:val="5"/>
        <w:widowControl/>
        <w:ind w:right="75"/>
        <w:jc w:val="center"/>
        <w:rPr>
          <w:rStyle w:val="9"/>
          <w:rFonts w:ascii="Times New Roman" w:hAnsi="Times New Roman"/>
          <w:sz w:val="44"/>
          <w:szCs w:val="44"/>
          <w:shd w:val="clear" w:color="auto" w:fill="FFFFFF"/>
        </w:rPr>
      </w:pPr>
      <w:r>
        <w:rPr>
          <w:rStyle w:val="9"/>
          <w:rFonts w:ascii="Times New Roman" w:hAnsi="Times New Roman"/>
          <w:sz w:val="44"/>
          <w:szCs w:val="44"/>
          <w:shd w:val="clear" w:color="auto" w:fill="FFFFFF"/>
        </w:rPr>
        <w:t>目   录</w:t>
      </w:r>
    </w:p>
    <w:p>
      <w:pPr>
        <w:pStyle w:val="5"/>
        <w:widowControl/>
        <w:ind w:right="75"/>
        <w:jc w:val="center"/>
        <w:rPr>
          <w:rFonts w:ascii="Times New Roman" w:hAnsi="Times New Roman"/>
          <w:sz w:val="36"/>
          <w:szCs w:val="36"/>
        </w:rPr>
      </w:pPr>
    </w:p>
    <w:p>
      <w:pPr>
        <w:pStyle w:val="5"/>
        <w:widowControl/>
        <w:spacing w:before="100" w:after="100" w:line="480" w:lineRule="exact"/>
        <w:ind w:right="74"/>
        <w:rPr>
          <w:rFonts w:ascii="Times New Roman" w:hAnsi="Times New Roman"/>
        </w:rPr>
      </w:pPr>
      <w:r>
        <w:rPr>
          <w:rStyle w:val="9"/>
          <w:rFonts w:ascii="Times New Roman" w:hAnsi="Times New Roman"/>
          <w:sz w:val="27"/>
          <w:szCs w:val="27"/>
          <w:shd w:val="clear" w:color="auto" w:fill="FFFFFF"/>
        </w:rPr>
        <w:t>第一部分长沙市地方志编纂室概况</w:t>
      </w:r>
    </w:p>
    <w:p>
      <w:pPr>
        <w:pStyle w:val="5"/>
        <w:widowControl/>
        <w:spacing w:before="100" w:after="100" w:line="480" w:lineRule="exact"/>
        <w:ind w:right="74"/>
        <w:rPr>
          <w:rFonts w:ascii="Times New Roman" w:hAnsi="Times New Roman"/>
        </w:rPr>
      </w:pPr>
      <w:r>
        <w:rPr>
          <w:rFonts w:ascii="Times New Roman" w:hAnsi="Times New Roman"/>
          <w:sz w:val="27"/>
          <w:szCs w:val="27"/>
          <w:shd w:val="clear" w:color="auto" w:fill="FFFFFF"/>
        </w:rPr>
        <w:t>一、部门职责</w:t>
      </w:r>
    </w:p>
    <w:p>
      <w:pPr>
        <w:pStyle w:val="5"/>
        <w:widowControl/>
        <w:spacing w:before="100" w:after="100" w:line="480" w:lineRule="exact"/>
        <w:ind w:right="74"/>
        <w:rPr>
          <w:rFonts w:ascii="Times New Roman" w:hAnsi="Times New Roman"/>
        </w:rPr>
      </w:pPr>
      <w:r>
        <w:rPr>
          <w:rFonts w:ascii="Times New Roman" w:hAnsi="Times New Roman"/>
          <w:sz w:val="27"/>
          <w:szCs w:val="27"/>
          <w:shd w:val="clear" w:color="auto" w:fill="FFFFFF"/>
        </w:rPr>
        <w:t>二、</w:t>
      </w:r>
      <w:r>
        <w:rPr>
          <w:rFonts w:hint="eastAsia" w:ascii="Times New Roman" w:hAnsi="Times New Roman"/>
          <w:sz w:val="27"/>
          <w:szCs w:val="27"/>
          <w:shd w:val="clear" w:color="auto" w:fill="FFFFFF"/>
        </w:rPr>
        <w:t>机构设置及决算单位构成</w:t>
      </w:r>
    </w:p>
    <w:p>
      <w:pPr>
        <w:pStyle w:val="5"/>
        <w:widowControl/>
        <w:spacing w:before="100" w:after="100" w:line="480" w:lineRule="exact"/>
        <w:ind w:right="74"/>
        <w:rPr>
          <w:rFonts w:ascii="Times New Roman" w:hAnsi="Times New Roman"/>
        </w:rPr>
      </w:pPr>
      <w:r>
        <w:rPr>
          <w:rStyle w:val="9"/>
          <w:rFonts w:ascii="Times New Roman" w:hAnsi="Times New Roman"/>
          <w:sz w:val="27"/>
          <w:szCs w:val="27"/>
          <w:shd w:val="clear" w:color="auto" w:fill="FFFFFF"/>
        </w:rPr>
        <w:t>第二部分2020年度部门决算表</w:t>
      </w:r>
    </w:p>
    <w:p>
      <w:pPr>
        <w:pStyle w:val="5"/>
        <w:widowControl/>
        <w:spacing w:before="100" w:after="100" w:line="480" w:lineRule="exact"/>
        <w:ind w:right="74"/>
        <w:rPr>
          <w:rFonts w:ascii="Times New Roman" w:hAnsi="Times New Roman"/>
        </w:rPr>
      </w:pPr>
      <w:r>
        <w:rPr>
          <w:rFonts w:ascii="Times New Roman" w:hAnsi="Times New Roman"/>
          <w:sz w:val="27"/>
          <w:szCs w:val="27"/>
          <w:shd w:val="clear" w:color="auto" w:fill="FFFFFF"/>
        </w:rPr>
        <w:t>一、收入支出决算总表</w:t>
      </w:r>
    </w:p>
    <w:p>
      <w:pPr>
        <w:pStyle w:val="5"/>
        <w:widowControl/>
        <w:spacing w:before="100" w:after="100" w:line="480" w:lineRule="exact"/>
        <w:ind w:right="74"/>
        <w:rPr>
          <w:rFonts w:ascii="Times New Roman" w:hAnsi="Times New Roman"/>
        </w:rPr>
      </w:pPr>
      <w:r>
        <w:rPr>
          <w:rFonts w:ascii="Times New Roman" w:hAnsi="Times New Roman"/>
          <w:sz w:val="27"/>
          <w:szCs w:val="27"/>
          <w:shd w:val="clear" w:color="auto" w:fill="FFFFFF"/>
        </w:rPr>
        <w:t>二、收入决算表</w:t>
      </w:r>
    </w:p>
    <w:p>
      <w:pPr>
        <w:pStyle w:val="5"/>
        <w:widowControl/>
        <w:spacing w:before="100" w:after="100" w:line="480" w:lineRule="exact"/>
        <w:ind w:right="74"/>
        <w:rPr>
          <w:rFonts w:ascii="Times New Roman" w:hAnsi="Times New Roman"/>
        </w:rPr>
      </w:pPr>
      <w:r>
        <w:rPr>
          <w:rFonts w:ascii="Times New Roman" w:hAnsi="Times New Roman"/>
          <w:sz w:val="27"/>
          <w:szCs w:val="27"/>
          <w:shd w:val="clear" w:color="auto" w:fill="FFFFFF"/>
        </w:rPr>
        <w:t>三、支出决算表</w:t>
      </w:r>
    </w:p>
    <w:p>
      <w:pPr>
        <w:pStyle w:val="5"/>
        <w:widowControl/>
        <w:spacing w:before="100" w:after="100" w:line="480" w:lineRule="exact"/>
        <w:ind w:right="74"/>
        <w:rPr>
          <w:rFonts w:ascii="Times New Roman" w:hAnsi="Times New Roman"/>
        </w:rPr>
      </w:pPr>
      <w:r>
        <w:rPr>
          <w:rFonts w:ascii="Times New Roman" w:hAnsi="Times New Roman"/>
          <w:sz w:val="27"/>
          <w:szCs w:val="27"/>
          <w:shd w:val="clear" w:color="auto" w:fill="FFFFFF"/>
        </w:rPr>
        <w:t>四、财政拨款收入支出决算总表</w:t>
      </w:r>
    </w:p>
    <w:p>
      <w:pPr>
        <w:pStyle w:val="5"/>
        <w:widowControl/>
        <w:spacing w:before="100" w:after="100" w:line="480" w:lineRule="exact"/>
        <w:ind w:right="74"/>
        <w:rPr>
          <w:rFonts w:ascii="Times New Roman" w:hAnsi="Times New Roman"/>
        </w:rPr>
      </w:pPr>
      <w:r>
        <w:rPr>
          <w:rFonts w:ascii="Times New Roman" w:hAnsi="Times New Roman"/>
          <w:sz w:val="27"/>
          <w:szCs w:val="27"/>
          <w:shd w:val="clear" w:color="auto" w:fill="FFFFFF"/>
        </w:rPr>
        <w:t>五、一般公共预算财政拨款支出决算表</w:t>
      </w:r>
    </w:p>
    <w:p>
      <w:pPr>
        <w:pStyle w:val="5"/>
        <w:widowControl/>
        <w:spacing w:before="100" w:after="100" w:line="480" w:lineRule="exact"/>
        <w:ind w:right="74"/>
        <w:rPr>
          <w:rFonts w:ascii="Times New Roman" w:hAnsi="Times New Roman"/>
        </w:rPr>
      </w:pPr>
      <w:r>
        <w:rPr>
          <w:rFonts w:ascii="Times New Roman" w:hAnsi="Times New Roman"/>
          <w:sz w:val="27"/>
          <w:szCs w:val="27"/>
          <w:shd w:val="clear" w:color="auto" w:fill="FFFFFF"/>
        </w:rPr>
        <w:t>六、一般公共预算财政拨款基本支出决算表</w:t>
      </w:r>
    </w:p>
    <w:p>
      <w:pPr>
        <w:pStyle w:val="5"/>
        <w:widowControl/>
        <w:spacing w:before="100" w:after="100" w:line="480" w:lineRule="exact"/>
        <w:ind w:right="74"/>
        <w:rPr>
          <w:rFonts w:ascii="Times New Roman" w:hAnsi="Times New Roman"/>
        </w:rPr>
      </w:pPr>
      <w:r>
        <w:rPr>
          <w:rFonts w:ascii="Times New Roman" w:hAnsi="Times New Roman"/>
          <w:sz w:val="27"/>
          <w:szCs w:val="27"/>
          <w:shd w:val="clear" w:color="auto" w:fill="FFFFFF"/>
        </w:rPr>
        <w:t>七、一般公共预算财政拨款“三公”经费支出决算表</w:t>
      </w:r>
    </w:p>
    <w:p>
      <w:pPr>
        <w:pStyle w:val="5"/>
        <w:widowControl/>
        <w:spacing w:before="100" w:after="100" w:line="480" w:lineRule="exact"/>
        <w:ind w:right="74"/>
        <w:rPr>
          <w:rFonts w:ascii="Times New Roman" w:hAnsi="Times New Roman"/>
        </w:rPr>
      </w:pPr>
      <w:r>
        <w:rPr>
          <w:rFonts w:ascii="Times New Roman" w:hAnsi="Times New Roman"/>
          <w:sz w:val="27"/>
          <w:szCs w:val="27"/>
          <w:shd w:val="clear" w:color="auto" w:fill="FFFFFF"/>
        </w:rPr>
        <w:t>八、政府性基金预算财政拨款收入支出决算表</w:t>
      </w:r>
    </w:p>
    <w:p>
      <w:pPr>
        <w:pStyle w:val="5"/>
        <w:widowControl/>
        <w:spacing w:before="100" w:after="100" w:line="480" w:lineRule="exact"/>
        <w:ind w:right="74"/>
        <w:rPr>
          <w:rFonts w:ascii="Times New Roman" w:hAnsi="Times New Roman"/>
        </w:rPr>
      </w:pPr>
      <w:r>
        <w:rPr>
          <w:rFonts w:ascii="Times New Roman" w:hAnsi="Times New Roman"/>
          <w:sz w:val="27"/>
          <w:szCs w:val="27"/>
          <w:shd w:val="clear" w:color="auto" w:fill="FFFFFF"/>
        </w:rPr>
        <w:t>九、国有资本经营预算财政拨款支出决算表</w:t>
      </w:r>
    </w:p>
    <w:p>
      <w:pPr>
        <w:pStyle w:val="5"/>
        <w:widowControl/>
        <w:spacing w:before="100" w:after="100" w:line="480" w:lineRule="exact"/>
        <w:ind w:right="74"/>
        <w:rPr>
          <w:rFonts w:ascii="Times New Roman" w:hAnsi="Times New Roman"/>
        </w:rPr>
      </w:pPr>
      <w:r>
        <w:rPr>
          <w:rStyle w:val="9"/>
          <w:rFonts w:ascii="Times New Roman" w:hAnsi="Times New Roman"/>
          <w:sz w:val="27"/>
          <w:szCs w:val="27"/>
          <w:shd w:val="clear" w:color="auto" w:fill="FFFFFF"/>
        </w:rPr>
        <w:t>第三部分2020年度部门决算情况说明</w:t>
      </w:r>
    </w:p>
    <w:p>
      <w:pPr>
        <w:pStyle w:val="5"/>
        <w:widowControl/>
        <w:spacing w:before="100" w:after="100" w:line="480" w:lineRule="exact"/>
        <w:ind w:right="74"/>
        <w:rPr>
          <w:rFonts w:ascii="Times New Roman" w:hAnsi="Times New Roman"/>
        </w:rPr>
      </w:pPr>
      <w:r>
        <w:rPr>
          <w:rFonts w:ascii="Times New Roman" w:hAnsi="Times New Roman"/>
          <w:sz w:val="27"/>
          <w:szCs w:val="27"/>
          <w:shd w:val="clear" w:color="auto" w:fill="FFFFFF"/>
        </w:rPr>
        <w:t>一、收入支出决算总体情况说明</w:t>
      </w:r>
    </w:p>
    <w:p>
      <w:pPr>
        <w:pStyle w:val="5"/>
        <w:widowControl/>
        <w:spacing w:before="100" w:after="100" w:line="480" w:lineRule="exact"/>
        <w:ind w:right="74"/>
        <w:rPr>
          <w:rFonts w:ascii="Times New Roman" w:hAnsi="Times New Roman"/>
        </w:rPr>
      </w:pPr>
      <w:r>
        <w:rPr>
          <w:rFonts w:ascii="Times New Roman" w:hAnsi="Times New Roman"/>
          <w:sz w:val="27"/>
          <w:szCs w:val="27"/>
          <w:shd w:val="clear" w:color="auto" w:fill="FFFFFF"/>
        </w:rPr>
        <w:t>二、收入决算情况说明</w:t>
      </w:r>
    </w:p>
    <w:p>
      <w:pPr>
        <w:pStyle w:val="5"/>
        <w:widowControl/>
        <w:spacing w:before="100" w:after="100" w:line="480" w:lineRule="exact"/>
        <w:ind w:right="74"/>
        <w:rPr>
          <w:rFonts w:ascii="Times New Roman" w:hAnsi="Times New Roman"/>
        </w:rPr>
      </w:pPr>
      <w:r>
        <w:rPr>
          <w:rFonts w:ascii="Times New Roman" w:hAnsi="Times New Roman"/>
          <w:sz w:val="27"/>
          <w:szCs w:val="27"/>
          <w:shd w:val="clear" w:color="auto" w:fill="FFFFFF"/>
        </w:rPr>
        <w:t>三、支出决算情况说明</w:t>
      </w:r>
    </w:p>
    <w:p>
      <w:pPr>
        <w:pStyle w:val="5"/>
        <w:widowControl/>
        <w:spacing w:before="100" w:after="100" w:line="480" w:lineRule="exact"/>
        <w:ind w:right="74"/>
        <w:rPr>
          <w:rFonts w:ascii="Times New Roman" w:hAnsi="Times New Roman"/>
        </w:rPr>
      </w:pPr>
      <w:r>
        <w:rPr>
          <w:rFonts w:ascii="Times New Roman" w:hAnsi="Times New Roman"/>
          <w:sz w:val="27"/>
          <w:szCs w:val="27"/>
          <w:shd w:val="clear" w:color="auto" w:fill="FFFFFF"/>
        </w:rPr>
        <w:t>四、财政拨款收入支出决算总体情况说明</w:t>
      </w:r>
    </w:p>
    <w:p>
      <w:pPr>
        <w:pStyle w:val="5"/>
        <w:widowControl/>
        <w:spacing w:before="100" w:after="100" w:line="480" w:lineRule="exact"/>
        <w:ind w:right="74"/>
        <w:rPr>
          <w:rFonts w:ascii="Times New Roman" w:hAnsi="Times New Roman"/>
        </w:rPr>
      </w:pPr>
      <w:r>
        <w:rPr>
          <w:rFonts w:ascii="Times New Roman" w:hAnsi="Times New Roman"/>
          <w:sz w:val="27"/>
          <w:szCs w:val="27"/>
          <w:shd w:val="clear" w:color="auto" w:fill="FFFFFF"/>
        </w:rPr>
        <w:t>五、一般公共预算财政拨款支出决算情况说明</w:t>
      </w:r>
    </w:p>
    <w:p>
      <w:pPr>
        <w:pStyle w:val="5"/>
        <w:widowControl/>
        <w:spacing w:before="100" w:after="100" w:line="480" w:lineRule="exact"/>
        <w:ind w:right="74"/>
        <w:rPr>
          <w:rFonts w:ascii="Times New Roman" w:hAnsi="Times New Roman"/>
        </w:rPr>
      </w:pPr>
      <w:r>
        <w:rPr>
          <w:rFonts w:ascii="Times New Roman" w:hAnsi="Times New Roman"/>
          <w:sz w:val="27"/>
          <w:szCs w:val="27"/>
          <w:shd w:val="clear" w:color="auto" w:fill="FFFFFF"/>
        </w:rPr>
        <w:t>六、一般公共预算财政拨款基本支出决算情况说明</w:t>
      </w:r>
    </w:p>
    <w:p>
      <w:pPr>
        <w:pStyle w:val="5"/>
        <w:widowControl/>
        <w:spacing w:before="100" w:after="100" w:line="480" w:lineRule="exact"/>
        <w:ind w:right="74"/>
        <w:rPr>
          <w:rFonts w:ascii="Times New Roman" w:hAnsi="Times New Roman"/>
        </w:rPr>
      </w:pPr>
      <w:r>
        <w:rPr>
          <w:rFonts w:ascii="Times New Roman" w:hAnsi="Times New Roman"/>
          <w:sz w:val="27"/>
          <w:szCs w:val="27"/>
          <w:shd w:val="clear" w:color="auto" w:fill="FFFFFF"/>
        </w:rPr>
        <w:t>七、一般公共预算财政拨款三公经费支出决算情况说明</w:t>
      </w:r>
    </w:p>
    <w:p>
      <w:pPr>
        <w:pStyle w:val="5"/>
        <w:widowControl/>
        <w:spacing w:before="100" w:after="100" w:line="480" w:lineRule="exact"/>
        <w:ind w:right="74"/>
        <w:rPr>
          <w:rFonts w:ascii="Times New Roman" w:hAnsi="Times New Roman"/>
        </w:rPr>
      </w:pPr>
      <w:r>
        <w:rPr>
          <w:rFonts w:ascii="Times New Roman" w:hAnsi="Times New Roman"/>
          <w:sz w:val="27"/>
          <w:szCs w:val="27"/>
          <w:shd w:val="clear" w:color="auto" w:fill="FFFFFF"/>
        </w:rPr>
        <w:t>八、政府性基金预算收入支出决算情况</w:t>
      </w:r>
    </w:p>
    <w:p>
      <w:pPr>
        <w:pStyle w:val="5"/>
        <w:widowControl/>
        <w:spacing w:before="100" w:after="100" w:line="480" w:lineRule="exact"/>
        <w:ind w:right="74"/>
        <w:rPr>
          <w:rFonts w:ascii="Times New Roman" w:hAnsi="Times New Roman"/>
        </w:rPr>
      </w:pPr>
      <w:r>
        <w:rPr>
          <w:rFonts w:ascii="Times New Roman" w:hAnsi="Times New Roman"/>
          <w:sz w:val="27"/>
          <w:szCs w:val="27"/>
          <w:shd w:val="clear" w:color="auto" w:fill="FFFFFF"/>
        </w:rPr>
        <w:t>九、国有资本经营预算财政拨款支出决算情况</w:t>
      </w:r>
    </w:p>
    <w:p>
      <w:pPr>
        <w:pStyle w:val="5"/>
        <w:widowControl/>
        <w:spacing w:before="100" w:after="100" w:line="480" w:lineRule="exact"/>
        <w:ind w:right="74"/>
        <w:rPr>
          <w:rFonts w:ascii="Times New Roman" w:hAnsi="Times New Roman"/>
        </w:rPr>
      </w:pPr>
      <w:r>
        <w:rPr>
          <w:rFonts w:ascii="Times New Roman" w:hAnsi="Times New Roman"/>
          <w:sz w:val="27"/>
          <w:szCs w:val="27"/>
          <w:shd w:val="clear" w:color="auto" w:fill="FFFFFF"/>
        </w:rPr>
        <w:t>十、关于机关运行经费支出说明</w:t>
      </w:r>
    </w:p>
    <w:p>
      <w:pPr>
        <w:pStyle w:val="5"/>
        <w:widowControl/>
        <w:spacing w:before="100" w:after="100" w:line="480" w:lineRule="exact"/>
        <w:ind w:right="74"/>
        <w:rPr>
          <w:rFonts w:ascii="Times New Roman" w:hAnsi="Times New Roman"/>
        </w:rPr>
      </w:pPr>
      <w:r>
        <w:rPr>
          <w:rFonts w:ascii="Times New Roman" w:hAnsi="Times New Roman"/>
          <w:sz w:val="27"/>
          <w:szCs w:val="27"/>
          <w:shd w:val="clear" w:color="auto" w:fill="FFFFFF"/>
        </w:rPr>
        <w:t>十一、一般性支出情况</w:t>
      </w:r>
    </w:p>
    <w:p>
      <w:pPr>
        <w:pStyle w:val="5"/>
        <w:widowControl/>
        <w:spacing w:before="100" w:after="100" w:line="480" w:lineRule="exact"/>
        <w:ind w:right="74"/>
        <w:rPr>
          <w:rFonts w:ascii="Times New Roman" w:hAnsi="Times New Roman"/>
        </w:rPr>
      </w:pPr>
      <w:r>
        <w:rPr>
          <w:rFonts w:ascii="Times New Roman" w:hAnsi="Times New Roman"/>
          <w:sz w:val="27"/>
          <w:szCs w:val="27"/>
          <w:shd w:val="clear" w:color="auto" w:fill="FFFFFF"/>
        </w:rPr>
        <w:t>十二、关于政府采购支出说明</w:t>
      </w:r>
    </w:p>
    <w:p>
      <w:pPr>
        <w:pStyle w:val="5"/>
        <w:widowControl/>
        <w:spacing w:before="100" w:after="100" w:line="480" w:lineRule="exact"/>
        <w:ind w:right="74"/>
        <w:rPr>
          <w:rFonts w:ascii="Times New Roman" w:hAnsi="Times New Roman"/>
        </w:rPr>
      </w:pPr>
      <w:r>
        <w:rPr>
          <w:rFonts w:ascii="Times New Roman" w:hAnsi="Times New Roman"/>
          <w:sz w:val="27"/>
          <w:szCs w:val="27"/>
          <w:shd w:val="clear" w:color="auto" w:fill="FFFFFF"/>
        </w:rPr>
        <w:t>十三、关于国有资产占用情况说明</w:t>
      </w:r>
    </w:p>
    <w:p>
      <w:pPr>
        <w:pStyle w:val="5"/>
        <w:widowControl/>
        <w:spacing w:before="100" w:after="100" w:line="480" w:lineRule="exact"/>
        <w:ind w:right="74"/>
        <w:rPr>
          <w:rFonts w:ascii="Times New Roman" w:hAnsi="Times New Roman"/>
        </w:rPr>
      </w:pPr>
      <w:r>
        <w:rPr>
          <w:rFonts w:ascii="Times New Roman" w:hAnsi="Times New Roman"/>
          <w:sz w:val="27"/>
          <w:szCs w:val="27"/>
          <w:shd w:val="clear" w:color="auto" w:fill="FFFFFF"/>
        </w:rPr>
        <w:t>十四、关于2020年度预算绩效情况的说明</w:t>
      </w:r>
    </w:p>
    <w:p>
      <w:pPr>
        <w:pStyle w:val="5"/>
        <w:widowControl/>
        <w:spacing w:before="100" w:after="100" w:line="480" w:lineRule="exact"/>
        <w:ind w:right="74"/>
        <w:rPr>
          <w:rFonts w:ascii="Times New Roman" w:hAnsi="Times New Roman"/>
        </w:rPr>
      </w:pPr>
      <w:r>
        <w:rPr>
          <w:rStyle w:val="9"/>
          <w:rFonts w:ascii="Times New Roman" w:hAnsi="Times New Roman"/>
          <w:sz w:val="27"/>
          <w:szCs w:val="27"/>
          <w:shd w:val="clear" w:color="auto" w:fill="FFFFFF"/>
        </w:rPr>
        <w:t>第四部分名词解释</w:t>
      </w:r>
    </w:p>
    <w:p>
      <w:pPr>
        <w:pStyle w:val="5"/>
        <w:widowControl/>
        <w:spacing w:before="100" w:after="100" w:line="480" w:lineRule="exact"/>
        <w:ind w:right="74"/>
        <w:rPr>
          <w:rFonts w:ascii="Times New Roman" w:hAnsi="Times New Roman"/>
        </w:rPr>
      </w:pPr>
      <w:r>
        <w:rPr>
          <w:rStyle w:val="9"/>
          <w:rFonts w:ascii="Times New Roman" w:hAnsi="Times New Roman"/>
          <w:sz w:val="27"/>
          <w:szCs w:val="27"/>
          <w:shd w:val="clear" w:color="auto" w:fill="FFFFFF"/>
        </w:rPr>
        <w:t>第五部分附件</w:t>
      </w:r>
    </w:p>
    <w:p>
      <w:pPr>
        <w:pStyle w:val="5"/>
        <w:widowControl/>
        <w:ind w:right="75"/>
        <w:jc w:val="both"/>
        <w:rPr>
          <w:rFonts w:ascii="Times New Roman" w:hAnsi="Times New Roman"/>
          <w:sz w:val="18"/>
          <w:szCs w:val="18"/>
          <w:shd w:val="clear" w:color="auto" w:fill="FFFFFF"/>
        </w:rPr>
      </w:pPr>
      <w:r>
        <w:rPr>
          <w:rFonts w:ascii="Times New Roman" w:hAnsi="Times New Roman"/>
          <w:sz w:val="18"/>
          <w:szCs w:val="18"/>
          <w:shd w:val="clear" w:color="auto" w:fill="FFFFFF"/>
        </w:rPr>
        <w:t> </w:t>
      </w:r>
    </w:p>
    <w:p>
      <w:pPr>
        <w:pStyle w:val="5"/>
        <w:widowControl/>
        <w:ind w:right="75"/>
        <w:jc w:val="both"/>
        <w:rPr>
          <w:rFonts w:ascii="Times New Roman" w:hAnsi="Times New Roman"/>
          <w:sz w:val="18"/>
          <w:szCs w:val="18"/>
          <w:shd w:val="clear" w:color="auto" w:fill="FFFFFF"/>
        </w:rPr>
      </w:pPr>
    </w:p>
    <w:p>
      <w:pPr>
        <w:pStyle w:val="5"/>
        <w:widowControl/>
        <w:ind w:right="75"/>
        <w:jc w:val="both"/>
        <w:rPr>
          <w:rFonts w:ascii="Times New Roman" w:hAnsi="Times New Roman"/>
          <w:sz w:val="18"/>
          <w:szCs w:val="18"/>
          <w:shd w:val="clear" w:color="auto" w:fill="FFFFFF"/>
        </w:rPr>
      </w:pPr>
    </w:p>
    <w:p>
      <w:pPr>
        <w:pStyle w:val="5"/>
        <w:widowControl/>
        <w:ind w:right="75"/>
        <w:jc w:val="both"/>
        <w:rPr>
          <w:rFonts w:ascii="Times New Roman" w:hAnsi="Times New Roman"/>
        </w:rPr>
      </w:pPr>
    </w:p>
    <w:p>
      <w:pPr>
        <w:pStyle w:val="5"/>
        <w:widowControl/>
        <w:ind w:right="75"/>
        <w:rPr>
          <w:rFonts w:ascii="Times New Roman" w:hAnsi="Times New Roman"/>
          <w:b/>
        </w:rPr>
      </w:pPr>
      <w:r>
        <w:rPr>
          <w:rFonts w:ascii="Times New Roman" w:hAnsi="Times New Roman"/>
          <w:sz w:val="18"/>
          <w:szCs w:val="18"/>
          <w:shd w:val="clear" w:color="auto" w:fill="FFFFFF"/>
        </w:rPr>
        <w:t> </w:t>
      </w:r>
    </w:p>
    <w:p>
      <w:pPr>
        <w:pStyle w:val="5"/>
        <w:widowControl/>
        <w:ind w:right="75"/>
        <w:jc w:val="center"/>
        <w:rPr>
          <w:rFonts w:ascii="Times New Roman" w:hAnsi="Times New Roman" w:eastAsia="黑体"/>
          <w:sz w:val="36"/>
          <w:szCs w:val="36"/>
          <w:shd w:val="clear" w:color="auto" w:fill="FFFFFF"/>
        </w:rPr>
      </w:pPr>
    </w:p>
    <w:p>
      <w:pPr>
        <w:pStyle w:val="5"/>
        <w:widowControl/>
        <w:ind w:right="75"/>
        <w:jc w:val="center"/>
        <w:rPr>
          <w:rFonts w:ascii="Times New Roman" w:hAnsi="Times New Roman" w:eastAsia="黑体"/>
          <w:sz w:val="36"/>
          <w:szCs w:val="36"/>
          <w:shd w:val="clear" w:color="auto" w:fill="FFFFFF"/>
        </w:rPr>
      </w:pPr>
    </w:p>
    <w:p>
      <w:pPr>
        <w:pStyle w:val="5"/>
        <w:widowControl/>
        <w:ind w:right="75"/>
        <w:jc w:val="center"/>
        <w:rPr>
          <w:rFonts w:ascii="Times New Roman" w:hAnsi="Times New Roman" w:eastAsia="黑体"/>
          <w:sz w:val="36"/>
          <w:szCs w:val="36"/>
          <w:shd w:val="clear" w:color="auto" w:fill="FFFFFF"/>
        </w:rPr>
      </w:pPr>
    </w:p>
    <w:p>
      <w:pPr>
        <w:pStyle w:val="5"/>
        <w:widowControl/>
        <w:ind w:right="75"/>
        <w:jc w:val="center"/>
        <w:rPr>
          <w:rFonts w:ascii="Times New Roman" w:hAnsi="Times New Roman" w:eastAsia="方正小标宋_GBK"/>
          <w:sz w:val="44"/>
          <w:szCs w:val="44"/>
          <w:shd w:val="clear" w:color="auto" w:fill="FFFFFF"/>
        </w:rPr>
      </w:pPr>
    </w:p>
    <w:p>
      <w:pPr>
        <w:pStyle w:val="5"/>
        <w:widowControl/>
        <w:ind w:right="75"/>
        <w:jc w:val="center"/>
        <w:rPr>
          <w:rFonts w:ascii="Times New Roman" w:hAnsi="Times New Roman" w:eastAsia="方正小标宋_GBK"/>
          <w:sz w:val="44"/>
          <w:szCs w:val="44"/>
        </w:rPr>
      </w:pPr>
      <w:r>
        <w:rPr>
          <w:rFonts w:ascii="Times New Roman" w:hAnsi="Times New Roman" w:eastAsia="方正小标宋_GBK"/>
          <w:sz w:val="44"/>
          <w:szCs w:val="44"/>
          <w:shd w:val="clear" w:color="auto" w:fill="FFFFFF"/>
        </w:rPr>
        <w:t>第一部分 </w:t>
      </w:r>
    </w:p>
    <w:p>
      <w:pPr>
        <w:pStyle w:val="5"/>
        <w:widowControl/>
        <w:ind w:right="75"/>
        <w:jc w:val="center"/>
        <w:rPr>
          <w:rFonts w:ascii="Times New Roman" w:hAnsi="Times New Roman" w:eastAsia="方正小标宋_GBK"/>
          <w:sz w:val="44"/>
          <w:szCs w:val="44"/>
        </w:rPr>
      </w:pPr>
      <w:r>
        <w:rPr>
          <w:rFonts w:ascii="Times New Roman" w:hAnsi="Times New Roman" w:eastAsia="方正小标宋_GBK"/>
          <w:sz w:val="44"/>
          <w:szCs w:val="44"/>
          <w:shd w:val="clear" w:color="auto" w:fill="FFFFFF"/>
        </w:rPr>
        <w:t> </w:t>
      </w:r>
    </w:p>
    <w:p>
      <w:pPr>
        <w:pStyle w:val="5"/>
        <w:widowControl/>
        <w:ind w:right="75"/>
        <w:jc w:val="center"/>
        <w:rPr>
          <w:rFonts w:ascii="Times New Roman" w:hAnsi="Times New Roman" w:eastAsia="方正小标宋_GBK"/>
          <w:sz w:val="44"/>
          <w:szCs w:val="44"/>
        </w:rPr>
      </w:pPr>
      <w:r>
        <w:rPr>
          <w:rFonts w:ascii="Times New Roman" w:hAnsi="Times New Roman" w:eastAsia="方正小标宋_GBK"/>
          <w:sz w:val="44"/>
          <w:szCs w:val="44"/>
          <w:shd w:val="clear" w:color="auto" w:fill="FFFFFF"/>
        </w:rPr>
        <w:t>长沙市地方志编纂室概况</w:t>
      </w:r>
    </w:p>
    <w:p>
      <w:pPr>
        <w:pStyle w:val="5"/>
        <w:widowControl/>
        <w:ind w:left="720" w:right="75"/>
        <w:rPr>
          <w:rFonts w:ascii="Times New Roman" w:hAnsi="Times New Roman"/>
        </w:rPr>
      </w:pPr>
      <w:r>
        <w:rPr>
          <w:rFonts w:ascii="Times New Roman" w:hAnsi="Times New Roman"/>
          <w:sz w:val="18"/>
          <w:szCs w:val="18"/>
          <w:shd w:val="clear" w:color="auto" w:fill="FFFFFF"/>
        </w:rPr>
        <w:t> </w:t>
      </w:r>
    </w:p>
    <w:p>
      <w:pPr>
        <w:widowControl/>
        <w:tabs>
          <w:tab w:val="left" w:pos="720"/>
        </w:tabs>
        <w:spacing w:beforeAutospacing="1" w:afterAutospacing="1"/>
        <w:ind w:left="720" w:right="75"/>
        <w:rPr>
          <w:rFonts w:ascii="Times New Roman" w:hAnsi="Times New Roman" w:eastAsia="楷体_GB2312" w:cs="Times New Roman"/>
          <w:b/>
          <w:bCs/>
          <w:color w:val="333333"/>
          <w:kern w:val="0"/>
          <w:sz w:val="32"/>
        </w:rPr>
      </w:pPr>
    </w:p>
    <w:p>
      <w:pPr>
        <w:widowControl/>
        <w:tabs>
          <w:tab w:val="left" w:pos="720"/>
        </w:tabs>
        <w:spacing w:beforeAutospacing="1" w:afterAutospacing="1"/>
        <w:ind w:left="720" w:right="75"/>
        <w:rPr>
          <w:rFonts w:ascii="Times New Roman" w:hAnsi="Times New Roman" w:eastAsia="楷体_GB2312" w:cs="Times New Roman"/>
          <w:b/>
          <w:bCs/>
          <w:color w:val="333333"/>
          <w:kern w:val="0"/>
          <w:sz w:val="32"/>
        </w:rPr>
      </w:pPr>
    </w:p>
    <w:p>
      <w:pPr>
        <w:widowControl/>
        <w:tabs>
          <w:tab w:val="left" w:pos="720"/>
        </w:tabs>
        <w:spacing w:beforeAutospacing="1" w:afterAutospacing="1"/>
        <w:ind w:left="720" w:right="75"/>
        <w:rPr>
          <w:rFonts w:ascii="Times New Roman" w:hAnsi="Times New Roman" w:eastAsia="楷体_GB2312" w:cs="Times New Roman"/>
          <w:b/>
          <w:bCs/>
          <w:color w:val="333333"/>
          <w:kern w:val="0"/>
          <w:sz w:val="32"/>
        </w:rPr>
      </w:pPr>
    </w:p>
    <w:p>
      <w:pPr>
        <w:widowControl/>
        <w:tabs>
          <w:tab w:val="left" w:pos="720"/>
        </w:tabs>
        <w:spacing w:beforeAutospacing="1" w:afterAutospacing="1"/>
        <w:ind w:left="720" w:right="75"/>
        <w:rPr>
          <w:rFonts w:ascii="Times New Roman" w:hAnsi="Times New Roman" w:eastAsia="楷体_GB2312" w:cs="Times New Roman"/>
          <w:b/>
          <w:bCs/>
          <w:color w:val="333333"/>
          <w:kern w:val="0"/>
          <w:sz w:val="32"/>
        </w:rPr>
      </w:pPr>
    </w:p>
    <w:p>
      <w:pPr>
        <w:widowControl/>
        <w:tabs>
          <w:tab w:val="left" w:pos="720"/>
        </w:tabs>
        <w:spacing w:beforeAutospacing="1" w:afterAutospacing="1"/>
        <w:ind w:left="720" w:right="75"/>
        <w:rPr>
          <w:rFonts w:ascii="Times New Roman" w:hAnsi="Times New Roman" w:eastAsia="楷体_GB2312" w:cs="Times New Roman"/>
          <w:b/>
          <w:bCs/>
          <w:color w:val="333333"/>
          <w:kern w:val="0"/>
          <w:sz w:val="32"/>
        </w:rPr>
      </w:pPr>
    </w:p>
    <w:p>
      <w:pPr>
        <w:widowControl/>
        <w:tabs>
          <w:tab w:val="left" w:pos="720"/>
        </w:tabs>
        <w:spacing w:beforeAutospacing="1" w:afterAutospacing="1"/>
        <w:ind w:right="75"/>
        <w:rPr>
          <w:rFonts w:hint="eastAsia" w:ascii="Times New Roman" w:hAnsi="Times New Roman" w:eastAsia="楷体_GB2312" w:cs="Times New Roman"/>
          <w:b/>
          <w:bCs/>
          <w:color w:val="333333"/>
          <w:kern w:val="0"/>
          <w:sz w:val="32"/>
        </w:rPr>
      </w:pPr>
    </w:p>
    <w:p>
      <w:pPr>
        <w:widowControl/>
        <w:tabs>
          <w:tab w:val="left" w:pos="720"/>
        </w:tabs>
        <w:spacing w:beforeAutospacing="1" w:afterAutospacing="1"/>
        <w:ind w:right="75"/>
        <w:rPr>
          <w:rFonts w:ascii="Times New Roman" w:hAnsi="Times New Roman" w:eastAsia="楷体_GB2312" w:cs="Times New Roman"/>
          <w:b/>
          <w:bCs/>
          <w:color w:val="333333"/>
          <w:kern w:val="0"/>
          <w:sz w:val="32"/>
        </w:rPr>
      </w:pPr>
    </w:p>
    <w:p>
      <w:pPr>
        <w:widowControl/>
        <w:tabs>
          <w:tab w:val="left" w:pos="720"/>
        </w:tabs>
        <w:spacing w:beforeAutospacing="1" w:afterAutospacing="1"/>
        <w:ind w:left="720" w:right="75"/>
        <w:rPr>
          <w:rFonts w:ascii="Times New Roman" w:hAnsi="Times New Roman" w:eastAsia="黑体" w:cs="Times New Roman"/>
          <w:color w:val="333333"/>
          <w:kern w:val="0"/>
          <w:sz w:val="32"/>
        </w:rPr>
      </w:pPr>
      <w:r>
        <w:rPr>
          <w:rFonts w:ascii="Times New Roman" w:hAnsi="Times New Roman" w:eastAsia="黑体" w:cs="Times New Roman"/>
          <w:color w:val="333333"/>
          <w:kern w:val="0"/>
          <w:sz w:val="32"/>
        </w:rPr>
        <w:t>一、部门职责</w:t>
      </w:r>
    </w:p>
    <w:p>
      <w:pPr>
        <w:rPr>
          <w:rFonts w:ascii="Times New Roman" w:hAnsi="Times New Roman" w:eastAsia="仿宋" w:cs="Times New Roman"/>
          <w:color w:val="333333"/>
          <w:sz w:val="32"/>
          <w:szCs w:val="32"/>
        </w:rPr>
      </w:pPr>
      <w:r>
        <w:rPr>
          <w:rFonts w:ascii="Times New Roman" w:hAnsi="Times New Roman" w:eastAsia="仿宋" w:cs="Times New Roman"/>
          <w:color w:val="333333"/>
          <w:sz w:val="32"/>
          <w:szCs w:val="32"/>
        </w:rPr>
        <w:t xml:space="preserve">   （一）贯彻执行国务院《地方志工作条例》《湖南省实施&lt;地方志工作条例&gt;办法》，拟定长沙市地方志的编修工作政策和规定。</w:t>
      </w:r>
    </w:p>
    <w:p>
      <w:pPr>
        <w:rPr>
          <w:rFonts w:ascii="Times New Roman" w:hAnsi="Times New Roman" w:eastAsia="仿宋" w:cs="Times New Roman"/>
          <w:color w:val="333333"/>
          <w:sz w:val="32"/>
          <w:szCs w:val="32"/>
        </w:rPr>
      </w:pPr>
      <w:r>
        <w:rPr>
          <w:rFonts w:ascii="Times New Roman" w:hAnsi="Times New Roman" w:eastAsia="仿宋" w:cs="Times New Roman"/>
          <w:color w:val="333333"/>
          <w:sz w:val="32"/>
          <w:szCs w:val="32"/>
        </w:rPr>
        <w:t xml:space="preserve">   （二）拟定长沙市地方志工作规划、组织协调、督促指导全市的地方志工作。</w:t>
      </w:r>
    </w:p>
    <w:p>
      <w:pPr>
        <w:rPr>
          <w:rFonts w:ascii="Times New Roman" w:hAnsi="Times New Roman" w:eastAsia="仿宋" w:cs="Times New Roman"/>
          <w:color w:val="333333"/>
          <w:sz w:val="32"/>
          <w:szCs w:val="32"/>
        </w:rPr>
      </w:pPr>
      <w:r>
        <w:rPr>
          <w:rFonts w:ascii="Times New Roman" w:hAnsi="Times New Roman" w:eastAsia="仿宋" w:cs="Times New Roman"/>
          <w:color w:val="333333"/>
          <w:sz w:val="32"/>
          <w:szCs w:val="32"/>
        </w:rPr>
        <w:t xml:space="preserve">   （三）在市委领导，市人民政府主持下，组织有关专家编修《长沙市志》、部门志、专业志及市志丛书，并负责其发行工作。</w:t>
      </w:r>
    </w:p>
    <w:p>
      <w:pPr>
        <w:rPr>
          <w:rFonts w:ascii="Times New Roman" w:hAnsi="Times New Roman" w:eastAsia="仿宋" w:cs="Times New Roman"/>
          <w:color w:val="333333"/>
          <w:sz w:val="32"/>
          <w:szCs w:val="32"/>
        </w:rPr>
      </w:pPr>
      <w:r>
        <w:rPr>
          <w:rFonts w:ascii="Times New Roman" w:hAnsi="Times New Roman" w:eastAsia="仿宋" w:cs="Times New Roman"/>
          <w:color w:val="333333"/>
          <w:sz w:val="32"/>
          <w:szCs w:val="32"/>
        </w:rPr>
        <w:t xml:space="preserve">   （四）组织编纂地方综合年鉴，指导各区、县（市）的年鉴编纂工作，编辑、出版、发行《长沙年鉴》，开展地方综合年鉴的理论研讨。</w:t>
      </w:r>
    </w:p>
    <w:p>
      <w:pPr>
        <w:rPr>
          <w:rFonts w:ascii="Times New Roman" w:hAnsi="Times New Roman" w:eastAsia="仿宋" w:cs="Times New Roman"/>
          <w:color w:val="333333"/>
          <w:sz w:val="32"/>
          <w:szCs w:val="32"/>
        </w:rPr>
      </w:pPr>
      <w:r>
        <w:rPr>
          <w:rFonts w:ascii="Times New Roman" w:hAnsi="Times New Roman" w:eastAsia="仿宋" w:cs="Times New Roman"/>
          <w:color w:val="333333"/>
          <w:sz w:val="32"/>
          <w:szCs w:val="32"/>
        </w:rPr>
        <w:t xml:space="preserve">   （五）负责对各部门和各区、县（市）的修志工作进行督查和业务指导；建设地方志资料库和地方志网站，推动地方志工作的信息化建设；合理开发利用地方志资源。</w:t>
      </w:r>
    </w:p>
    <w:p>
      <w:pPr>
        <w:rPr>
          <w:rFonts w:ascii="Times New Roman" w:hAnsi="Times New Roman" w:eastAsia="仿宋" w:cs="Times New Roman"/>
          <w:color w:val="333333"/>
          <w:sz w:val="32"/>
          <w:szCs w:val="32"/>
        </w:rPr>
      </w:pPr>
      <w:r>
        <w:rPr>
          <w:rFonts w:ascii="Times New Roman" w:hAnsi="Times New Roman" w:eastAsia="仿宋" w:cs="Times New Roman"/>
          <w:color w:val="333333"/>
          <w:sz w:val="32"/>
          <w:szCs w:val="32"/>
        </w:rPr>
        <w:t xml:space="preserve">   （六）收集、整理、保存和研究长沙地方文献和市情资料，组织整理旧志，推动地方志理论研究。</w:t>
      </w:r>
    </w:p>
    <w:p>
      <w:pPr>
        <w:rPr>
          <w:rFonts w:ascii="Times New Roman" w:hAnsi="Times New Roman" w:eastAsia="仿宋" w:cs="Times New Roman"/>
          <w:color w:val="333333"/>
          <w:sz w:val="32"/>
          <w:szCs w:val="32"/>
        </w:rPr>
      </w:pPr>
      <w:r>
        <w:rPr>
          <w:rFonts w:ascii="Times New Roman" w:hAnsi="Times New Roman" w:eastAsia="仿宋" w:cs="Times New Roman"/>
          <w:color w:val="333333"/>
          <w:sz w:val="32"/>
          <w:szCs w:val="32"/>
        </w:rPr>
        <w:t xml:space="preserve">   （七）组织修志编撰人员的业务培训；组织对地方志稿的评审、出版、评奖；负责开展全市读志、用志工作。</w:t>
      </w:r>
    </w:p>
    <w:p>
      <w:pPr>
        <w:rPr>
          <w:rFonts w:ascii="Times New Roman" w:hAnsi="Times New Roman" w:cs="Times New Roman"/>
          <w:sz w:val="18"/>
          <w:szCs w:val="18"/>
          <w:shd w:val="clear" w:color="auto" w:fill="FFFFFF"/>
        </w:rPr>
      </w:pPr>
      <w:r>
        <w:rPr>
          <w:rFonts w:ascii="Times New Roman" w:hAnsi="Times New Roman" w:eastAsia="仿宋" w:cs="Times New Roman"/>
          <w:color w:val="333333"/>
          <w:sz w:val="32"/>
          <w:szCs w:val="32"/>
        </w:rPr>
        <w:t xml:space="preserve">   （八）承办市委、市人民政府和上级主管部门交办的其他事项。</w:t>
      </w:r>
      <w:r>
        <w:rPr>
          <w:rFonts w:ascii="Times New Roman" w:hAnsi="Times New Roman" w:cs="Times New Roman"/>
          <w:sz w:val="18"/>
          <w:szCs w:val="18"/>
          <w:shd w:val="clear" w:color="auto" w:fill="FFFFFF"/>
        </w:rPr>
        <w:t> </w:t>
      </w:r>
    </w:p>
    <w:p>
      <w:pPr>
        <w:rPr>
          <w:rFonts w:ascii="Times New Roman" w:hAnsi="Times New Roman" w:eastAsia="仿宋" w:cs="Times New Roman"/>
          <w:color w:val="333333"/>
          <w:sz w:val="32"/>
          <w:szCs w:val="32"/>
        </w:rPr>
      </w:pPr>
    </w:p>
    <w:p>
      <w:pPr>
        <w:widowControl/>
        <w:tabs>
          <w:tab w:val="left" w:pos="720"/>
        </w:tabs>
        <w:spacing w:beforeAutospacing="1" w:afterAutospacing="1"/>
        <w:ind w:left="720" w:right="75"/>
        <w:rPr>
          <w:rFonts w:ascii="Times New Roman" w:hAnsi="Times New Roman" w:eastAsia="黑体" w:cs="Times New Roman"/>
          <w:color w:val="333333"/>
          <w:kern w:val="0"/>
          <w:sz w:val="32"/>
        </w:rPr>
      </w:pPr>
      <w:r>
        <w:rPr>
          <w:rFonts w:ascii="Times New Roman" w:hAnsi="Times New Roman" w:eastAsia="黑体" w:cs="Times New Roman"/>
          <w:color w:val="333333"/>
          <w:kern w:val="0"/>
          <w:sz w:val="32"/>
        </w:rPr>
        <w:t>二、机构设置及决算单位构成</w:t>
      </w:r>
    </w:p>
    <w:p>
      <w:pPr>
        <w:rPr>
          <w:rFonts w:ascii="Times New Roman" w:hAnsi="Times New Roman" w:eastAsia="仿宋" w:cs="Times New Roman"/>
          <w:color w:val="333333"/>
          <w:sz w:val="32"/>
          <w:szCs w:val="32"/>
        </w:rPr>
      </w:pPr>
      <w:r>
        <w:rPr>
          <w:rFonts w:ascii="Times New Roman" w:hAnsi="Times New Roman" w:eastAsia="仿宋" w:cs="Times New Roman"/>
          <w:color w:val="333333"/>
          <w:sz w:val="32"/>
          <w:szCs w:val="32"/>
        </w:rPr>
        <w:t xml:space="preserve">    (一) 内设机构设置。长沙市地方志编纂室内设机构4个：综合处、市志处、年鉴处（加挂《长沙年鉴》编辑部）、业务指导处。</w:t>
      </w:r>
    </w:p>
    <w:p>
      <w:pPr>
        <w:rPr>
          <w:rFonts w:ascii="Times New Roman" w:hAnsi="Times New Roman" w:eastAsia="仿宋" w:cs="Times New Roman"/>
          <w:color w:val="333333"/>
          <w:sz w:val="32"/>
          <w:szCs w:val="32"/>
        </w:rPr>
      </w:pPr>
    </w:p>
    <w:p>
      <w:pPr>
        <w:rPr>
          <w:rFonts w:ascii="Times New Roman" w:hAnsi="Times New Roman" w:eastAsia="仿宋" w:cs="Times New Roman"/>
          <w:color w:val="333333"/>
          <w:sz w:val="32"/>
          <w:szCs w:val="32"/>
        </w:rPr>
      </w:pPr>
      <w:r>
        <w:rPr>
          <w:rFonts w:ascii="Times New Roman" w:hAnsi="Times New Roman" w:eastAsia="仿宋" w:cs="Times New Roman"/>
          <w:color w:val="333333"/>
          <w:sz w:val="32"/>
          <w:szCs w:val="32"/>
        </w:rPr>
        <w:t xml:space="preserve">   （二）决算单位构成。长沙市地方志编纂室只有本级，没有其他二级预算单位，因此，纳入2020年度部门决算汇总公开的单位只包括长沙市地方志编纂室机关本级。</w:t>
      </w:r>
    </w:p>
    <w:p>
      <w:pPr>
        <w:pStyle w:val="5"/>
        <w:widowControl/>
        <w:ind w:right="75"/>
        <w:rPr>
          <w:rFonts w:ascii="Times New Roman" w:hAnsi="Times New Roman"/>
          <w:sz w:val="18"/>
          <w:szCs w:val="18"/>
          <w:shd w:val="clear" w:color="auto" w:fill="FFFFFF"/>
        </w:rPr>
      </w:pPr>
      <w:r>
        <w:rPr>
          <w:rFonts w:ascii="Times New Roman" w:hAnsi="Times New Roman"/>
          <w:sz w:val="18"/>
          <w:szCs w:val="18"/>
          <w:shd w:val="clear" w:color="auto" w:fill="FFFFFF"/>
        </w:rPr>
        <w:t> </w:t>
      </w: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rPr>
      </w:pPr>
    </w:p>
    <w:p>
      <w:pPr>
        <w:pStyle w:val="5"/>
        <w:widowControl/>
        <w:ind w:right="75"/>
        <w:jc w:val="center"/>
        <w:rPr>
          <w:rFonts w:ascii="Times New Roman" w:hAnsi="Times New Roman" w:eastAsia="黑体"/>
          <w:sz w:val="44"/>
          <w:szCs w:val="44"/>
        </w:rPr>
      </w:pPr>
    </w:p>
    <w:p>
      <w:pPr>
        <w:pStyle w:val="5"/>
        <w:widowControl/>
        <w:ind w:right="75"/>
        <w:jc w:val="center"/>
        <w:rPr>
          <w:rFonts w:ascii="Times New Roman" w:hAnsi="Times New Roman" w:eastAsia="方正小标宋_GBK"/>
          <w:bCs/>
          <w:sz w:val="44"/>
          <w:szCs w:val="44"/>
          <w:shd w:val="clear" w:color="auto" w:fill="FFFFFF"/>
        </w:rPr>
      </w:pPr>
      <w:r>
        <w:rPr>
          <w:rFonts w:ascii="Times New Roman" w:hAnsi="Times New Roman" w:eastAsia="方正小标宋_GBK"/>
          <w:bCs/>
          <w:sz w:val="44"/>
          <w:szCs w:val="44"/>
          <w:shd w:val="clear" w:color="auto" w:fill="FFFFFF"/>
        </w:rPr>
        <w:t>第二部分</w:t>
      </w:r>
    </w:p>
    <w:p>
      <w:pPr>
        <w:pStyle w:val="5"/>
        <w:widowControl/>
        <w:ind w:right="75"/>
        <w:jc w:val="center"/>
        <w:rPr>
          <w:rFonts w:ascii="Times New Roman" w:hAnsi="Times New Roman" w:eastAsia="方正小标宋_GBK"/>
          <w:bCs/>
          <w:sz w:val="44"/>
          <w:szCs w:val="44"/>
          <w:shd w:val="clear" w:color="auto" w:fill="FFFFFF"/>
        </w:rPr>
      </w:pPr>
    </w:p>
    <w:p>
      <w:pPr>
        <w:pStyle w:val="5"/>
        <w:widowControl/>
        <w:ind w:right="75"/>
        <w:jc w:val="center"/>
        <w:rPr>
          <w:rFonts w:ascii="Times New Roman" w:hAnsi="Times New Roman" w:eastAsia="方正小标宋_GBK"/>
          <w:bCs/>
          <w:sz w:val="44"/>
          <w:szCs w:val="44"/>
        </w:rPr>
      </w:pPr>
      <w:r>
        <w:rPr>
          <w:rFonts w:ascii="Times New Roman" w:hAnsi="Times New Roman" w:eastAsia="方正小标宋_GBK"/>
          <w:bCs/>
          <w:sz w:val="44"/>
          <w:szCs w:val="44"/>
          <w:shd w:val="clear" w:color="auto" w:fill="FFFFFF"/>
        </w:rPr>
        <w:t>2020年度部门决算表</w:t>
      </w:r>
    </w:p>
    <w:p>
      <w:pPr>
        <w:pStyle w:val="5"/>
        <w:widowControl/>
        <w:ind w:right="75"/>
        <w:jc w:val="center"/>
        <w:rPr>
          <w:rFonts w:ascii="Times New Roman" w:hAnsi="Times New Roman"/>
          <w:sz w:val="18"/>
          <w:szCs w:val="18"/>
          <w:shd w:val="clear" w:color="auto" w:fill="FFFFFF"/>
        </w:rPr>
      </w:pPr>
    </w:p>
    <w:p>
      <w:pPr>
        <w:pStyle w:val="5"/>
        <w:widowControl/>
        <w:ind w:right="75"/>
        <w:jc w:val="center"/>
        <w:rPr>
          <w:rFonts w:ascii="Times New Roman" w:hAnsi="Times New Roman"/>
          <w:sz w:val="18"/>
          <w:szCs w:val="18"/>
          <w:shd w:val="clear" w:color="auto" w:fill="FFFFFF"/>
        </w:rPr>
      </w:pPr>
    </w:p>
    <w:p>
      <w:pPr>
        <w:pStyle w:val="5"/>
        <w:widowControl/>
        <w:ind w:right="75"/>
        <w:jc w:val="center"/>
        <w:rPr>
          <w:rFonts w:ascii="Times New Roman" w:hAnsi="Times New Roman"/>
          <w:sz w:val="18"/>
          <w:szCs w:val="18"/>
          <w:shd w:val="clear" w:color="auto" w:fill="FFFFFF"/>
        </w:rPr>
      </w:pPr>
    </w:p>
    <w:p>
      <w:pPr>
        <w:pStyle w:val="5"/>
        <w:widowControl/>
        <w:ind w:right="75"/>
        <w:jc w:val="center"/>
        <w:rPr>
          <w:rFonts w:ascii="Times New Roman" w:hAnsi="Times New Roman"/>
          <w:sz w:val="18"/>
          <w:szCs w:val="18"/>
          <w:shd w:val="clear" w:color="auto" w:fill="FFFFFF"/>
        </w:rPr>
      </w:pPr>
    </w:p>
    <w:p>
      <w:pPr>
        <w:pStyle w:val="5"/>
        <w:widowControl/>
        <w:ind w:right="75"/>
        <w:jc w:val="center"/>
        <w:rPr>
          <w:rFonts w:ascii="Times New Roman" w:hAnsi="Times New Roman"/>
          <w:sz w:val="18"/>
          <w:szCs w:val="18"/>
          <w:shd w:val="clear" w:color="auto" w:fill="FFFFFF"/>
        </w:rPr>
      </w:pPr>
    </w:p>
    <w:p>
      <w:pPr>
        <w:pStyle w:val="5"/>
        <w:widowControl/>
        <w:ind w:right="75"/>
        <w:jc w:val="center"/>
        <w:rPr>
          <w:rFonts w:ascii="Times New Roman" w:hAnsi="Times New Roman"/>
          <w:sz w:val="18"/>
          <w:szCs w:val="18"/>
          <w:shd w:val="clear" w:color="auto" w:fill="FFFFFF"/>
        </w:rPr>
      </w:pPr>
    </w:p>
    <w:p>
      <w:pPr>
        <w:pStyle w:val="5"/>
        <w:widowControl/>
        <w:ind w:right="75"/>
        <w:jc w:val="center"/>
        <w:rPr>
          <w:rFonts w:ascii="Times New Roman" w:hAnsi="Times New Roman"/>
          <w:sz w:val="18"/>
          <w:szCs w:val="18"/>
          <w:shd w:val="clear" w:color="auto" w:fill="FFFFFF"/>
        </w:rPr>
      </w:pPr>
    </w:p>
    <w:p>
      <w:pPr>
        <w:pStyle w:val="5"/>
        <w:widowControl/>
        <w:ind w:right="75"/>
        <w:jc w:val="center"/>
        <w:rPr>
          <w:rFonts w:ascii="Times New Roman" w:hAnsi="Times New Roman"/>
          <w:sz w:val="18"/>
          <w:szCs w:val="18"/>
          <w:shd w:val="clear" w:color="auto" w:fill="FFFFFF"/>
        </w:rPr>
      </w:pPr>
    </w:p>
    <w:p>
      <w:pPr>
        <w:pStyle w:val="5"/>
        <w:widowControl/>
        <w:ind w:right="75"/>
        <w:jc w:val="center"/>
        <w:rPr>
          <w:rFonts w:ascii="Times New Roman" w:hAnsi="Times New Roman"/>
          <w:sz w:val="18"/>
          <w:szCs w:val="18"/>
          <w:shd w:val="clear" w:color="auto" w:fill="FFFFFF"/>
        </w:rPr>
      </w:pPr>
    </w:p>
    <w:p>
      <w:pPr>
        <w:pStyle w:val="5"/>
        <w:widowControl/>
        <w:ind w:right="75"/>
        <w:jc w:val="center"/>
        <w:rPr>
          <w:rFonts w:ascii="Times New Roman" w:hAnsi="Times New Roman"/>
          <w:sz w:val="18"/>
          <w:szCs w:val="18"/>
          <w:shd w:val="clear" w:color="auto" w:fill="FFFFFF"/>
        </w:rPr>
      </w:pPr>
    </w:p>
    <w:p>
      <w:pPr>
        <w:pStyle w:val="5"/>
        <w:widowControl/>
        <w:ind w:right="75"/>
        <w:jc w:val="center"/>
        <w:rPr>
          <w:rFonts w:ascii="Times New Roman" w:hAnsi="Times New Roman"/>
          <w:sz w:val="18"/>
          <w:szCs w:val="18"/>
          <w:shd w:val="clear" w:color="auto" w:fill="FFFFFF"/>
        </w:rPr>
      </w:pPr>
    </w:p>
    <w:p>
      <w:pPr>
        <w:pStyle w:val="5"/>
        <w:widowControl/>
        <w:ind w:right="75"/>
        <w:jc w:val="both"/>
        <w:rPr>
          <w:rFonts w:ascii="Times New Roman" w:hAnsi="Times New Roman"/>
          <w:sz w:val="18"/>
          <w:szCs w:val="18"/>
          <w:shd w:val="clear" w:color="auto" w:fill="FFFFFF"/>
        </w:rPr>
        <w:sectPr>
          <w:pgSz w:w="11906" w:h="16838"/>
          <w:pgMar w:top="1440" w:right="1797" w:bottom="1440" w:left="1797" w:header="851" w:footer="992" w:gutter="0"/>
          <w:cols w:space="425" w:num="1"/>
          <w:docGrid w:type="lines" w:linePitch="312" w:charSpace="0"/>
        </w:sectPr>
      </w:pPr>
    </w:p>
    <w:p>
      <w:pPr>
        <w:pStyle w:val="5"/>
        <w:widowControl/>
        <w:ind w:right="75"/>
        <w:rPr>
          <w:rFonts w:ascii="Times New Roman" w:hAnsi="Times New Roman"/>
          <w:sz w:val="18"/>
          <w:szCs w:val="18"/>
          <w:shd w:val="clear" w:color="auto" w:fill="FFFFFF"/>
        </w:rPr>
      </w:pPr>
      <w:r>
        <w:rPr>
          <w:rFonts w:ascii="Times New Roman" w:hAnsi="Times New Roman"/>
          <w:sz w:val="18"/>
          <w:szCs w:val="18"/>
          <w:shd w:val="clear" w:color="auto" w:fill="FFFFFF"/>
        </w:rPr>
        <w:drawing>
          <wp:inline distT="0" distB="0" distL="114300" distR="114300">
            <wp:extent cx="9315450" cy="6553200"/>
            <wp:effectExtent l="0" t="0" r="0" b="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4"/>
                    <a:stretch>
                      <a:fillRect/>
                    </a:stretch>
                  </pic:blipFill>
                  <pic:spPr>
                    <a:xfrm>
                      <a:off x="0" y="0"/>
                      <a:ext cx="9315450" cy="6553200"/>
                    </a:xfrm>
                    <a:prstGeom prst="rect">
                      <a:avLst/>
                    </a:prstGeom>
                    <a:noFill/>
                    <a:ln>
                      <a:noFill/>
                    </a:ln>
                  </pic:spPr>
                </pic:pic>
              </a:graphicData>
            </a:graphic>
          </wp:inline>
        </w:drawing>
      </w: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sectPr>
          <w:pgSz w:w="16838" w:h="11906" w:orient="landscape"/>
          <w:pgMar w:top="238" w:right="1440" w:bottom="244" w:left="1440" w:header="851" w:footer="992" w:gutter="0"/>
          <w:cols w:space="425" w:num="1"/>
          <w:docGrid w:type="lines" w:linePitch="312" w:charSpace="0"/>
        </w:sectPr>
      </w:pPr>
      <w:r>
        <w:rPr>
          <w:rFonts w:ascii="Times New Roman" w:hAnsi="Times New Roman"/>
          <w:sz w:val="18"/>
          <w:szCs w:val="18"/>
          <w:shd w:val="clear" w:color="auto" w:fill="FFFFFF"/>
        </w:rPr>
        <w:drawing>
          <wp:inline distT="0" distB="0" distL="114300" distR="114300">
            <wp:extent cx="9324975" cy="3333750"/>
            <wp:effectExtent l="0" t="0" r="9525" b="0"/>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5"/>
                    <a:stretch>
                      <a:fillRect/>
                    </a:stretch>
                  </pic:blipFill>
                  <pic:spPr>
                    <a:xfrm>
                      <a:off x="0" y="0"/>
                      <a:ext cx="9324975" cy="3333750"/>
                    </a:xfrm>
                    <a:prstGeom prst="rect">
                      <a:avLst/>
                    </a:prstGeom>
                    <a:noFill/>
                    <a:ln>
                      <a:noFill/>
                    </a:ln>
                  </pic:spPr>
                </pic:pic>
              </a:graphicData>
            </a:graphic>
          </wp:inline>
        </w:drawing>
      </w: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r>
        <w:rPr>
          <w:rFonts w:ascii="Times New Roman" w:hAnsi="Times New Roman"/>
          <w:sz w:val="18"/>
          <w:szCs w:val="18"/>
          <w:shd w:val="clear" w:color="auto" w:fill="FFFFFF"/>
        </w:rPr>
        <w:drawing>
          <wp:inline distT="0" distB="0" distL="114300" distR="114300">
            <wp:extent cx="9229725" cy="3552825"/>
            <wp:effectExtent l="0" t="0" r="9525" b="9525"/>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6"/>
                    <a:stretch>
                      <a:fillRect/>
                    </a:stretch>
                  </pic:blipFill>
                  <pic:spPr>
                    <a:xfrm>
                      <a:off x="0" y="0"/>
                      <a:ext cx="9229725" cy="3552825"/>
                    </a:xfrm>
                    <a:prstGeom prst="rect">
                      <a:avLst/>
                    </a:prstGeom>
                    <a:noFill/>
                    <a:ln>
                      <a:noFill/>
                    </a:ln>
                  </pic:spPr>
                </pic:pic>
              </a:graphicData>
            </a:graphic>
          </wp:inline>
        </w:drawing>
      </w: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r>
        <w:rPr>
          <w:rFonts w:ascii="Times New Roman" w:hAnsi="Times New Roman"/>
          <w:sz w:val="18"/>
          <w:szCs w:val="18"/>
          <w:shd w:val="clear" w:color="auto" w:fill="FFFFFF"/>
        </w:rPr>
        <w:drawing>
          <wp:inline distT="0" distB="0" distL="114300" distR="114300">
            <wp:extent cx="9182100" cy="7124700"/>
            <wp:effectExtent l="0" t="0" r="0" b="0"/>
            <wp:docPr id="4"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true"/>
                    </pic:cNvPicPr>
                  </pic:nvPicPr>
                  <pic:blipFill>
                    <a:blip r:embed="rId7"/>
                    <a:stretch>
                      <a:fillRect/>
                    </a:stretch>
                  </pic:blipFill>
                  <pic:spPr>
                    <a:xfrm>
                      <a:off x="0" y="0"/>
                      <a:ext cx="9182100" cy="7124700"/>
                    </a:xfrm>
                    <a:prstGeom prst="rect">
                      <a:avLst/>
                    </a:prstGeom>
                    <a:noFill/>
                    <a:ln>
                      <a:noFill/>
                    </a:ln>
                  </pic:spPr>
                </pic:pic>
              </a:graphicData>
            </a:graphic>
          </wp:inline>
        </w:drawing>
      </w: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r>
        <w:rPr>
          <w:rFonts w:ascii="Times New Roman" w:hAnsi="Times New Roman"/>
          <w:sz w:val="18"/>
          <w:szCs w:val="18"/>
          <w:shd w:val="clear" w:color="auto" w:fill="FFFFFF"/>
        </w:rPr>
        <w:drawing>
          <wp:inline distT="0" distB="0" distL="114300" distR="114300">
            <wp:extent cx="9220200" cy="3543300"/>
            <wp:effectExtent l="0" t="0" r="0" b="0"/>
            <wp:docPr id="5"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true"/>
                    </pic:cNvPicPr>
                  </pic:nvPicPr>
                  <pic:blipFill>
                    <a:blip r:embed="rId8"/>
                    <a:stretch>
                      <a:fillRect/>
                    </a:stretch>
                  </pic:blipFill>
                  <pic:spPr>
                    <a:xfrm>
                      <a:off x="0" y="0"/>
                      <a:ext cx="9220200" cy="3543300"/>
                    </a:xfrm>
                    <a:prstGeom prst="rect">
                      <a:avLst/>
                    </a:prstGeom>
                    <a:noFill/>
                    <a:ln>
                      <a:noFill/>
                    </a:ln>
                  </pic:spPr>
                </pic:pic>
              </a:graphicData>
            </a:graphic>
          </wp:inline>
        </w:drawing>
      </w: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r>
        <w:rPr>
          <w:rFonts w:ascii="Times New Roman" w:hAnsi="Times New Roman"/>
          <w:sz w:val="18"/>
          <w:szCs w:val="18"/>
          <w:shd w:val="clear" w:color="auto" w:fill="FFFFFF"/>
        </w:rPr>
        <w:drawing>
          <wp:inline distT="0" distB="0" distL="114300" distR="114300">
            <wp:extent cx="9248775" cy="6772275"/>
            <wp:effectExtent l="0" t="0" r="9525" b="9525"/>
            <wp:docPr id="6"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true"/>
                    </pic:cNvPicPr>
                  </pic:nvPicPr>
                  <pic:blipFill>
                    <a:blip r:embed="rId9"/>
                    <a:stretch>
                      <a:fillRect/>
                    </a:stretch>
                  </pic:blipFill>
                  <pic:spPr>
                    <a:xfrm>
                      <a:off x="0" y="0"/>
                      <a:ext cx="9248775" cy="6772275"/>
                    </a:xfrm>
                    <a:prstGeom prst="rect">
                      <a:avLst/>
                    </a:prstGeom>
                    <a:noFill/>
                    <a:ln>
                      <a:noFill/>
                    </a:ln>
                  </pic:spPr>
                </pic:pic>
              </a:graphicData>
            </a:graphic>
          </wp:inline>
        </w:drawing>
      </w: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r>
        <w:rPr>
          <w:rFonts w:ascii="Times New Roman" w:hAnsi="Times New Roman"/>
          <w:sz w:val="18"/>
          <w:szCs w:val="18"/>
          <w:shd w:val="clear" w:color="auto" w:fill="FFFFFF"/>
        </w:rPr>
        <w:drawing>
          <wp:inline distT="0" distB="0" distL="114300" distR="114300">
            <wp:extent cx="9344025" cy="2238375"/>
            <wp:effectExtent l="0" t="0" r="9525" b="9525"/>
            <wp:docPr id="7"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true"/>
                    </pic:cNvPicPr>
                  </pic:nvPicPr>
                  <pic:blipFill>
                    <a:blip r:embed="rId10"/>
                    <a:stretch>
                      <a:fillRect/>
                    </a:stretch>
                  </pic:blipFill>
                  <pic:spPr>
                    <a:xfrm>
                      <a:off x="0" y="0"/>
                      <a:ext cx="9344025" cy="2238375"/>
                    </a:xfrm>
                    <a:prstGeom prst="rect">
                      <a:avLst/>
                    </a:prstGeom>
                    <a:noFill/>
                    <a:ln>
                      <a:noFill/>
                    </a:ln>
                  </pic:spPr>
                </pic:pic>
              </a:graphicData>
            </a:graphic>
          </wp:inline>
        </w:drawing>
      </w: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r>
        <w:rPr>
          <w:rFonts w:ascii="Times New Roman" w:hAnsi="Times New Roman"/>
          <w:sz w:val="18"/>
          <w:szCs w:val="18"/>
          <w:shd w:val="clear" w:color="auto" w:fill="FFFFFF"/>
        </w:rPr>
        <w:drawing>
          <wp:inline distT="0" distB="0" distL="114300" distR="114300">
            <wp:extent cx="9258300" cy="2266950"/>
            <wp:effectExtent l="0" t="0" r="0" b="0"/>
            <wp:docPr id="8" name="图片 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true"/>
                    </pic:cNvPicPr>
                  </pic:nvPicPr>
                  <pic:blipFill>
                    <a:blip r:embed="rId11"/>
                    <a:stretch>
                      <a:fillRect/>
                    </a:stretch>
                  </pic:blipFill>
                  <pic:spPr>
                    <a:xfrm>
                      <a:off x="0" y="0"/>
                      <a:ext cx="9258300" cy="2266950"/>
                    </a:xfrm>
                    <a:prstGeom prst="rect">
                      <a:avLst/>
                    </a:prstGeom>
                    <a:noFill/>
                    <a:ln>
                      <a:noFill/>
                    </a:ln>
                  </pic:spPr>
                </pic:pic>
              </a:graphicData>
            </a:graphic>
          </wp:inline>
        </w:drawing>
      </w: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sectPr>
          <w:pgSz w:w="16838" w:h="11906" w:orient="landscape"/>
          <w:pgMar w:top="238" w:right="1440" w:bottom="244" w:left="1440" w:header="851" w:footer="992" w:gutter="0"/>
          <w:cols w:space="425" w:num="1"/>
          <w:docGrid w:type="lines" w:linePitch="312" w:charSpace="0"/>
        </w:sectPr>
      </w:pPr>
      <w:r>
        <w:rPr>
          <w:rFonts w:ascii="Times New Roman" w:hAnsi="Times New Roman"/>
          <w:sz w:val="18"/>
          <w:szCs w:val="18"/>
          <w:shd w:val="clear" w:color="auto" w:fill="FFFFFF"/>
        </w:rPr>
        <w:drawing>
          <wp:inline distT="0" distB="0" distL="114300" distR="114300">
            <wp:extent cx="8772525" cy="2552700"/>
            <wp:effectExtent l="0" t="0" r="9525" b="0"/>
            <wp:docPr id="9" name="图片 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true"/>
                    </pic:cNvPicPr>
                  </pic:nvPicPr>
                  <pic:blipFill>
                    <a:blip r:embed="rId12"/>
                    <a:stretch>
                      <a:fillRect/>
                    </a:stretch>
                  </pic:blipFill>
                  <pic:spPr>
                    <a:xfrm>
                      <a:off x="0" y="0"/>
                      <a:ext cx="8772525" cy="2552700"/>
                    </a:xfrm>
                    <a:prstGeom prst="rect">
                      <a:avLst/>
                    </a:prstGeom>
                    <a:noFill/>
                    <a:ln>
                      <a:noFill/>
                    </a:ln>
                  </pic:spPr>
                </pic:pic>
              </a:graphicData>
            </a:graphic>
          </wp:inline>
        </w:drawing>
      </w:r>
    </w:p>
    <w:p>
      <w:pPr>
        <w:pStyle w:val="5"/>
        <w:widowControl/>
        <w:spacing w:before="100" w:after="100"/>
        <w:ind w:right="75"/>
        <w:rPr>
          <w:rFonts w:ascii="Times New Roman" w:hAnsi="Times New Roman"/>
        </w:rPr>
      </w:pPr>
    </w:p>
    <w:p>
      <w:pPr>
        <w:pStyle w:val="5"/>
        <w:widowControl/>
        <w:ind w:right="75"/>
        <w:jc w:val="center"/>
        <w:rPr>
          <w:rFonts w:ascii="Times New Roman" w:hAnsi="Times New Roman" w:eastAsia="黑体"/>
          <w:sz w:val="36"/>
          <w:szCs w:val="36"/>
          <w:shd w:val="clear" w:color="auto" w:fill="FFFFFF"/>
        </w:rPr>
      </w:pPr>
    </w:p>
    <w:p>
      <w:pPr>
        <w:pStyle w:val="5"/>
        <w:widowControl/>
        <w:ind w:right="75"/>
        <w:jc w:val="center"/>
        <w:rPr>
          <w:rFonts w:ascii="Times New Roman" w:hAnsi="Times New Roman" w:eastAsia="黑体"/>
          <w:sz w:val="36"/>
          <w:szCs w:val="36"/>
          <w:shd w:val="clear" w:color="auto" w:fill="FFFFFF"/>
        </w:rPr>
      </w:pPr>
    </w:p>
    <w:p>
      <w:pPr>
        <w:pStyle w:val="5"/>
        <w:widowControl/>
        <w:ind w:right="75"/>
        <w:jc w:val="center"/>
        <w:rPr>
          <w:rFonts w:ascii="Times New Roman" w:hAnsi="Times New Roman" w:eastAsia="黑体"/>
          <w:sz w:val="36"/>
          <w:szCs w:val="36"/>
          <w:shd w:val="clear" w:color="auto" w:fill="FFFFFF"/>
        </w:rPr>
      </w:pPr>
    </w:p>
    <w:p>
      <w:pPr>
        <w:pStyle w:val="5"/>
        <w:widowControl/>
        <w:ind w:right="75"/>
        <w:jc w:val="center"/>
        <w:rPr>
          <w:rFonts w:ascii="Times New Roman" w:hAnsi="Times New Roman" w:eastAsia="黑体"/>
          <w:sz w:val="36"/>
          <w:szCs w:val="36"/>
          <w:shd w:val="clear" w:color="auto" w:fill="FFFFFF"/>
        </w:rPr>
      </w:pPr>
    </w:p>
    <w:p>
      <w:pPr>
        <w:pStyle w:val="5"/>
        <w:widowControl/>
        <w:ind w:right="75"/>
        <w:jc w:val="center"/>
        <w:rPr>
          <w:rFonts w:ascii="Times New Roman" w:hAnsi="Times New Roman" w:eastAsia="方正小标宋_GBK"/>
          <w:bCs/>
          <w:sz w:val="44"/>
          <w:szCs w:val="44"/>
        </w:rPr>
      </w:pPr>
      <w:r>
        <w:rPr>
          <w:rFonts w:ascii="Times New Roman" w:hAnsi="Times New Roman" w:eastAsia="方正小标宋_GBK"/>
          <w:bCs/>
          <w:sz w:val="44"/>
          <w:szCs w:val="44"/>
          <w:shd w:val="clear" w:color="auto" w:fill="FFFFFF"/>
        </w:rPr>
        <w:t>第三部分</w:t>
      </w:r>
    </w:p>
    <w:p>
      <w:pPr>
        <w:pStyle w:val="5"/>
        <w:widowControl/>
        <w:ind w:right="75"/>
        <w:jc w:val="center"/>
        <w:rPr>
          <w:rFonts w:ascii="Times New Roman" w:hAnsi="Times New Roman" w:eastAsia="方正小标宋_GBK"/>
          <w:bCs/>
          <w:sz w:val="44"/>
          <w:szCs w:val="44"/>
        </w:rPr>
      </w:pPr>
      <w:r>
        <w:rPr>
          <w:rFonts w:ascii="Times New Roman" w:hAnsi="Times New Roman" w:eastAsia="方正小标宋_GBK"/>
          <w:bCs/>
          <w:sz w:val="44"/>
          <w:szCs w:val="44"/>
          <w:shd w:val="clear" w:color="auto" w:fill="FFFFFF"/>
        </w:rPr>
        <w:t> </w:t>
      </w:r>
    </w:p>
    <w:p>
      <w:pPr>
        <w:pStyle w:val="5"/>
        <w:widowControl/>
        <w:ind w:right="75"/>
        <w:jc w:val="center"/>
        <w:rPr>
          <w:rFonts w:ascii="Times New Roman" w:hAnsi="Times New Roman" w:eastAsia="方正小标宋_GBK"/>
          <w:bCs/>
          <w:sz w:val="44"/>
          <w:szCs w:val="44"/>
        </w:rPr>
      </w:pPr>
      <w:r>
        <w:rPr>
          <w:rFonts w:ascii="Times New Roman" w:hAnsi="Times New Roman" w:eastAsia="方正小标宋_GBK"/>
          <w:bCs/>
          <w:sz w:val="44"/>
          <w:szCs w:val="44"/>
          <w:shd w:val="clear" w:color="auto" w:fill="FFFFFF"/>
        </w:rPr>
        <w:t>2020年度部门决算情况说明</w:t>
      </w:r>
    </w:p>
    <w:p>
      <w:pPr>
        <w:pStyle w:val="5"/>
        <w:widowControl/>
        <w:ind w:right="75"/>
        <w:rPr>
          <w:rFonts w:ascii="Times New Roman" w:hAnsi="Times New Roman"/>
          <w:sz w:val="27"/>
          <w:szCs w:val="27"/>
          <w:shd w:val="clear" w:color="auto" w:fill="FFFFFF"/>
        </w:rPr>
      </w:pPr>
    </w:p>
    <w:p>
      <w:pPr>
        <w:pStyle w:val="5"/>
        <w:widowControl/>
        <w:ind w:right="75"/>
        <w:rPr>
          <w:rFonts w:ascii="Times New Roman" w:hAnsi="Times New Roman"/>
          <w:sz w:val="27"/>
          <w:szCs w:val="27"/>
          <w:shd w:val="clear" w:color="auto" w:fill="FFFFFF"/>
        </w:rPr>
      </w:pPr>
    </w:p>
    <w:p>
      <w:pPr>
        <w:pStyle w:val="5"/>
        <w:widowControl/>
        <w:ind w:right="75"/>
        <w:rPr>
          <w:rFonts w:ascii="Times New Roman" w:hAnsi="Times New Roman"/>
          <w:sz w:val="27"/>
          <w:szCs w:val="27"/>
          <w:shd w:val="clear" w:color="auto" w:fill="FFFFFF"/>
        </w:rPr>
      </w:pPr>
    </w:p>
    <w:p>
      <w:pPr>
        <w:pStyle w:val="5"/>
        <w:widowControl/>
        <w:ind w:right="75"/>
        <w:rPr>
          <w:rFonts w:ascii="Times New Roman" w:hAnsi="Times New Roman"/>
          <w:sz w:val="27"/>
          <w:szCs w:val="27"/>
          <w:shd w:val="clear" w:color="auto" w:fill="FFFFFF"/>
        </w:rPr>
      </w:pPr>
    </w:p>
    <w:p>
      <w:pPr>
        <w:pStyle w:val="5"/>
        <w:widowControl/>
        <w:ind w:right="75"/>
        <w:rPr>
          <w:rFonts w:ascii="Times New Roman" w:hAnsi="Times New Roman"/>
          <w:sz w:val="27"/>
          <w:szCs w:val="27"/>
          <w:shd w:val="clear" w:color="auto" w:fill="FFFFFF"/>
        </w:rPr>
      </w:pPr>
    </w:p>
    <w:p>
      <w:pPr>
        <w:pStyle w:val="5"/>
        <w:widowControl/>
        <w:ind w:right="75"/>
        <w:rPr>
          <w:rFonts w:ascii="Times New Roman" w:hAnsi="Times New Roman"/>
          <w:sz w:val="27"/>
          <w:szCs w:val="27"/>
          <w:shd w:val="clear" w:color="auto" w:fill="FFFFFF"/>
        </w:rPr>
      </w:pPr>
    </w:p>
    <w:p>
      <w:pPr>
        <w:pStyle w:val="5"/>
        <w:widowControl/>
        <w:ind w:right="75"/>
        <w:rPr>
          <w:rFonts w:ascii="Times New Roman" w:hAnsi="Times New Roman"/>
          <w:sz w:val="27"/>
          <w:szCs w:val="27"/>
          <w:shd w:val="clear" w:color="auto" w:fill="FFFFFF"/>
        </w:rPr>
      </w:pPr>
    </w:p>
    <w:p>
      <w:pPr>
        <w:pStyle w:val="5"/>
        <w:widowControl/>
        <w:ind w:right="75"/>
        <w:rPr>
          <w:rFonts w:ascii="Times New Roman" w:hAnsi="Times New Roman"/>
          <w:sz w:val="27"/>
          <w:szCs w:val="27"/>
          <w:shd w:val="clear" w:color="auto" w:fill="FFFFFF"/>
        </w:rPr>
      </w:pPr>
    </w:p>
    <w:p>
      <w:pPr>
        <w:pStyle w:val="5"/>
        <w:widowControl/>
        <w:ind w:right="75"/>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 xml:space="preserve"> </w:t>
      </w:r>
    </w:p>
    <w:p>
      <w:pPr>
        <w:pStyle w:val="5"/>
        <w:widowControl/>
        <w:ind w:right="75"/>
        <w:rPr>
          <w:rFonts w:ascii="Times New Roman" w:hAnsi="Times New Roman" w:eastAsia="黑体"/>
          <w:sz w:val="32"/>
          <w:szCs w:val="32"/>
          <w:shd w:val="clear" w:color="auto" w:fill="FFFFFF"/>
        </w:rPr>
      </w:pPr>
    </w:p>
    <w:p>
      <w:pPr>
        <w:pStyle w:val="5"/>
        <w:widowControl/>
        <w:ind w:right="75"/>
        <w:rPr>
          <w:rFonts w:ascii="Times New Roman" w:hAnsi="Times New Roman" w:eastAsia="黑体"/>
          <w:sz w:val="32"/>
          <w:szCs w:val="32"/>
        </w:rPr>
      </w:pPr>
      <w:r>
        <w:rPr>
          <w:rFonts w:ascii="Times New Roman" w:hAnsi="Times New Roman" w:eastAsia="黑体"/>
          <w:sz w:val="32"/>
          <w:szCs w:val="32"/>
          <w:shd w:val="clear" w:color="auto" w:fill="FFFFFF"/>
        </w:rPr>
        <w:t xml:space="preserve">   一、收入支出决算总体情况说明</w:t>
      </w:r>
    </w:p>
    <w:p>
      <w:pPr>
        <w:pStyle w:val="5"/>
        <w:widowControl/>
        <w:ind w:right="75" w:firstLine="640" w:firstLineChars="200"/>
        <w:rPr>
          <w:rFonts w:ascii="Times New Roman" w:hAnsi="Times New Roman" w:eastAsia="仿宋"/>
          <w:sz w:val="32"/>
          <w:szCs w:val="32"/>
          <w:shd w:val="clear" w:color="auto" w:fill="FFFFFF"/>
        </w:rPr>
      </w:pPr>
      <w:r>
        <w:rPr>
          <w:rFonts w:ascii="Times New Roman" w:hAnsi="Times New Roman" w:eastAsia="仿宋"/>
          <w:sz w:val="32"/>
          <w:szCs w:val="32"/>
          <w:shd w:val="clear" w:color="auto" w:fill="FFFFFF"/>
        </w:rPr>
        <w:t>2020年度收、支总计均为1,241.77万元。与上年度相比，收、支总计各增加160.35万元，增长14.83%。主要原因是2020年新转入一名在职人员；全体在职人员社保基数、公积金基数调增；新增《长沙市志（1988-2012）》和《湖南乡镇简志·长沙市卷》印刷出版工作的专项经费108万元。</w:t>
      </w:r>
    </w:p>
    <w:p>
      <w:pPr>
        <w:pStyle w:val="5"/>
        <w:widowControl/>
        <w:ind w:right="75"/>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 xml:space="preserve">    二、收入决算情况说明</w:t>
      </w:r>
    </w:p>
    <w:p>
      <w:pPr>
        <w:pStyle w:val="5"/>
        <w:widowControl/>
        <w:ind w:right="75"/>
        <w:rPr>
          <w:rFonts w:ascii="Times New Roman" w:hAnsi="Times New Roman" w:eastAsia="仿宋"/>
          <w:sz w:val="32"/>
          <w:szCs w:val="32"/>
          <w:shd w:val="clear" w:color="auto" w:fill="FFFFFF"/>
        </w:rPr>
      </w:pPr>
      <w:r>
        <w:rPr>
          <w:rFonts w:ascii="Times New Roman" w:hAnsi="Times New Roman"/>
          <w:sz w:val="27"/>
          <w:szCs w:val="27"/>
          <w:shd w:val="clear" w:color="auto" w:fill="FFFFFF"/>
        </w:rPr>
        <w:t xml:space="preserve">  </w:t>
      </w:r>
      <w:r>
        <w:rPr>
          <w:rFonts w:ascii="Times New Roman" w:hAnsi="Times New Roman" w:eastAsia="仿宋"/>
          <w:sz w:val="32"/>
          <w:szCs w:val="32"/>
          <w:shd w:val="clear" w:color="auto" w:fill="FFFFFF"/>
        </w:rPr>
        <w:t xml:space="preserve">  2020年度收入合计1,241.35万元，其中：财政拨款收入1,241.35万元，占100.00%;上级补助收入0.00万元，占0.00%；事业收入0.00万元，占0.00%；经营收入0.00万元，占0.00%；附属单位上缴收入0.00万元，占0.00%；其他收入0.00万元，占0.00%。</w:t>
      </w:r>
    </w:p>
    <w:p>
      <w:pPr>
        <w:pStyle w:val="5"/>
        <w:widowControl/>
        <w:ind w:right="75"/>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 xml:space="preserve">    三、支出决算情况说明</w:t>
      </w:r>
    </w:p>
    <w:p>
      <w:pPr>
        <w:pStyle w:val="5"/>
        <w:widowControl/>
        <w:ind w:right="75"/>
        <w:rPr>
          <w:rFonts w:ascii="Times New Roman" w:hAnsi="Times New Roman" w:eastAsia="仿宋"/>
          <w:sz w:val="32"/>
          <w:szCs w:val="32"/>
          <w:shd w:val="clear" w:color="auto" w:fill="FFFFFF"/>
        </w:rPr>
      </w:pPr>
      <w:r>
        <w:rPr>
          <w:rFonts w:ascii="Times New Roman" w:hAnsi="Times New Roman"/>
          <w:sz w:val="27"/>
          <w:szCs w:val="27"/>
          <w:shd w:val="clear" w:color="auto" w:fill="FFFFFF"/>
        </w:rPr>
        <w:t xml:space="preserve">  </w:t>
      </w:r>
      <w:r>
        <w:rPr>
          <w:rFonts w:ascii="Times New Roman" w:hAnsi="Times New Roman" w:eastAsia="仿宋"/>
          <w:sz w:val="32"/>
          <w:szCs w:val="32"/>
          <w:shd w:val="clear" w:color="auto" w:fill="FFFFFF"/>
        </w:rPr>
        <w:t xml:space="preserve">  2020年度支出合计1,241.49万元，其中：基本支出952.12万元，占76.69%；项目支出289.37万元，占23.31%;上缴上级支出0.00万元，占0.00%；经营支出0.00万元，占0.00%；对附属单位补助支出0.00万元，占0.00%。</w:t>
      </w:r>
    </w:p>
    <w:p>
      <w:pPr>
        <w:pStyle w:val="5"/>
        <w:widowControl/>
        <w:ind w:right="75"/>
        <w:rPr>
          <w:rFonts w:ascii="Times New Roman" w:hAnsi="Times New Roman" w:eastAsia="黑体"/>
          <w:sz w:val="32"/>
          <w:szCs w:val="32"/>
          <w:shd w:val="clear" w:color="auto" w:fill="FFFFFF"/>
        </w:rPr>
      </w:pPr>
      <w:r>
        <w:rPr>
          <w:rFonts w:ascii="Times New Roman" w:hAnsi="Times New Roman"/>
          <w:sz w:val="32"/>
          <w:szCs w:val="32"/>
          <w:shd w:val="clear" w:color="auto" w:fill="FFFFFF"/>
        </w:rPr>
        <w:t xml:space="preserve">  </w:t>
      </w:r>
      <w:r>
        <w:rPr>
          <w:rFonts w:ascii="Times New Roman" w:hAnsi="Times New Roman" w:eastAsia="黑体"/>
          <w:sz w:val="32"/>
          <w:szCs w:val="32"/>
          <w:shd w:val="clear" w:color="auto" w:fill="FFFFFF"/>
        </w:rPr>
        <w:t xml:space="preserve">  四、财政拨款收入支出决算总体情况说明</w:t>
      </w:r>
    </w:p>
    <w:p>
      <w:pPr>
        <w:pStyle w:val="5"/>
        <w:widowControl/>
        <w:ind w:right="75" w:firstLine="640" w:firstLineChars="200"/>
        <w:rPr>
          <w:rFonts w:ascii="Times New Roman" w:hAnsi="Times New Roman" w:eastAsia="仿宋"/>
          <w:sz w:val="32"/>
          <w:szCs w:val="32"/>
          <w:shd w:val="clear" w:color="auto" w:fill="FFFFFF"/>
        </w:rPr>
      </w:pPr>
      <w:r>
        <w:rPr>
          <w:rFonts w:ascii="Times New Roman" w:hAnsi="Times New Roman" w:eastAsia="仿宋"/>
          <w:sz w:val="32"/>
          <w:szCs w:val="32"/>
          <w:shd w:val="clear" w:color="auto" w:fill="FFFFFF"/>
        </w:rPr>
        <w:t>2020年度财政拨款收、支总计均为1,241.77万元。与上年度相比，财政拨款收、支总计各增加160.35万元，增长14.83%。主要原因是2020年新转入一名在职人员；全体在职人员社保基数、公积金基数调增；新增《长沙市志（1988-2012）》和《湖南乡镇简志·长沙市卷》印刷出版工作的专项经费108万元。</w:t>
      </w:r>
    </w:p>
    <w:p>
      <w:pPr>
        <w:pStyle w:val="5"/>
        <w:widowControl/>
        <w:ind w:right="75"/>
        <w:rPr>
          <w:rFonts w:ascii="Times New Roman" w:hAnsi="Times New Roman" w:eastAsia="楷体"/>
          <w:b/>
          <w:sz w:val="32"/>
          <w:szCs w:val="32"/>
          <w:shd w:val="clear" w:color="auto" w:fill="FFFFFF"/>
        </w:rPr>
      </w:pPr>
      <w:r>
        <w:rPr>
          <w:rFonts w:ascii="Times New Roman" w:hAnsi="Times New Roman" w:eastAsia="楷体"/>
          <w:b/>
          <w:sz w:val="32"/>
          <w:szCs w:val="32"/>
          <w:shd w:val="clear" w:color="auto" w:fill="FFFFFF"/>
        </w:rPr>
        <w:t xml:space="preserve"> </w:t>
      </w:r>
      <w:r>
        <w:rPr>
          <w:rFonts w:ascii="Times New Roman" w:hAnsi="Times New Roman" w:eastAsia="黑体"/>
          <w:sz w:val="32"/>
          <w:szCs w:val="32"/>
          <w:shd w:val="clear" w:color="auto" w:fill="FFFFFF"/>
        </w:rPr>
        <w:t xml:space="preserve">   五、一般公共预算财政拨款支出决算情况说明</w:t>
      </w:r>
    </w:p>
    <w:p>
      <w:pPr>
        <w:pStyle w:val="5"/>
        <w:widowControl/>
        <w:ind w:right="75"/>
        <w:rPr>
          <w:rFonts w:ascii="Times New Roman" w:hAnsi="Times New Roman" w:eastAsia="仿宋"/>
          <w:b/>
          <w:sz w:val="32"/>
          <w:szCs w:val="32"/>
        </w:rPr>
      </w:pPr>
      <w:r>
        <w:rPr>
          <w:rFonts w:ascii="Times New Roman" w:hAnsi="Times New Roman"/>
          <w:sz w:val="27"/>
          <w:szCs w:val="27"/>
          <w:shd w:val="clear" w:color="auto" w:fill="FFFFFF"/>
        </w:rPr>
        <w:t xml:space="preserve">   </w:t>
      </w:r>
      <w:r>
        <w:rPr>
          <w:rFonts w:ascii="Times New Roman" w:hAnsi="Times New Roman" w:eastAsia="楷体"/>
          <w:bCs/>
          <w:sz w:val="32"/>
          <w:szCs w:val="32"/>
          <w:shd w:val="clear" w:color="auto" w:fill="FFFFFF"/>
        </w:rPr>
        <w:t>（一）财政拨款支出决算总体情况</w:t>
      </w:r>
    </w:p>
    <w:p>
      <w:pPr>
        <w:pStyle w:val="5"/>
        <w:widowControl/>
        <w:ind w:right="75"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2020年度一般公共预算财政拨款支出1,241.49万元，占支出合计的100.00%。与上年度相比，一般公共预算财政拨款支出增加160.5万元，增长14.85%。主要原因是2020年新转入一名在职人员；全体在职人员社保基数、公积金基数调增；新增《长沙市志（1988-2012）》和《湖南乡镇简志·长沙市卷》印刷出版工作的专项经费108万元。</w:t>
      </w:r>
    </w:p>
    <w:p>
      <w:pPr>
        <w:pStyle w:val="5"/>
        <w:widowControl/>
        <w:ind w:right="75"/>
        <w:rPr>
          <w:rFonts w:ascii="Times New Roman" w:hAnsi="Times New Roman" w:eastAsia="楷体"/>
          <w:bCs/>
          <w:sz w:val="32"/>
          <w:szCs w:val="32"/>
          <w:shd w:val="clear" w:color="auto" w:fill="FFFFFF"/>
        </w:rPr>
      </w:pPr>
      <w:r>
        <w:rPr>
          <w:rFonts w:ascii="Times New Roman" w:hAnsi="Times New Roman" w:eastAsia="楷体"/>
          <w:bCs/>
          <w:sz w:val="32"/>
          <w:szCs w:val="32"/>
          <w:shd w:val="clear" w:color="auto" w:fill="FFFFFF"/>
        </w:rPr>
        <w:t xml:space="preserve">   （二）财政拨款支出决算结构情况</w:t>
      </w:r>
    </w:p>
    <w:p>
      <w:pPr>
        <w:pStyle w:val="34"/>
        <w:spacing w:line="600" w:lineRule="exact"/>
        <w:ind w:firstLine="640" w:firstLineChars="200"/>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2020年度一般公共预算财政拨款支出1,241.49万元，主要用于以下方面：一般公共服务（类）支出1238.98万元，占99.8%；社会保障和就业（类）支出2.51万元，占0.2%。</w:t>
      </w:r>
    </w:p>
    <w:p>
      <w:pPr>
        <w:pStyle w:val="5"/>
        <w:widowControl/>
        <w:ind w:right="75"/>
        <w:rPr>
          <w:rFonts w:ascii="Times New Roman" w:hAnsi="Times New Roman" w:eastAsia="楷体"/>
          <w:bCs/>
          <w:sz w:val="32"/>
          <w:szCs w:val="32"/>
          <w:shd w:val="clear" w:color="auto" w:fill="FFFFFF"/>
        </w:rPr>
      </w:pPr>
      <w:r>
        <w:rPr>
          <w:rFonts w:ascii="Times New Roman" w:hAnsi="Times New Roman" w:eastAsia="楷体"/>
          <w:bCs/>
          <w:sz w:val="32"/>
          <w:szCs w:val="32"/>
          <w:shd w:val="clear" w:color="auto" w:fill="FFFFFF"/>
        </w:rPr>
        <w:t xml:space="preserve">   （三）财政拨款支出决算具体情况</w:t>
      </w:r>
    </w:p>
    <w:p>
      <w:pPr>
        <w:pStyle w:val="5"/>
        <w:widowControl/>
        <w:ind w:right="75" w:firstLine="640" w:firstLineChars="200"/>
        <w:rPr>
          <w:rFonts w:ascii="Times New Roman" w:hAnsi="Times New Roman" w:eastAsia="仿宋"/>
          <w:color w:val="000000"/>
          <w:sz w:val="32"/>
          <w:szCs w:val="32"/>
          <w:shd w:val="clear" w:color="auto" w:fill="FFFFFF"/>
        </w:rPr>
      </w:pPr>
      <w:r>
        <w:rPr>
          <w:rFonts w:ascii="Times New Roman" w:hAnsi="Times New Roman" w:eastAsia="仿宋"/>
          <w:color w:val="000000"/>
          <w:sz w:val="32"/>
          <w:szCs w:val="32"/>
          <w:shd w:val="clear" w:color="auto" w:fill="FFFFFF"/>
        </w:rPr>
        <w:t>2020年度一般公共预算财政拨款支出年初预算</w:t>
      </w:r>
      <w:r>
        <w:rPr>
          <w:rFonts w:hint="eastAsia" w:ascii="Times New Roman" w:hAnsi="Times New Roman" w:eastAsia="仿宋"/>
          <w:color w:val="000000"/>
          <w:sz w:val="32"/>
          <w:szCs w:val="32"/>
          <w:shd w:val="clear" w:color="auto" w:fill="FFFFFF"/>
        </w:rPr>
        <w:t>为</w:t>
      </w:r>
      <w:r>
        <w:rPr>
          <w:rFonts w:ascii="Times New Roman" w:hAnsi="Times New Roman" w:eastAsia="仿宋"/>
          <w:color w:val="000000"/>
          <w:sz w:val="32"/>
          <w:szCs w:val="32"/>
          <w:shd w:val="clear" w:color="auto" w:fill="FFFFFF"/>
        </w:rPr>
        <w:t>1,086.76万元，支出决算为1,241.49万元，完成年初预算的114.24%。其中：</w:t>
      </w:r>
    </w:p>
    <w:p>
      <w:pPr>
        <w:pStyle w:val="34"/>
        <w:spacing w:line="600" w:lineRule="exact"/>
        <w:ind w:firstLine="640" w:firstLineChars="200"/>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(1)一般公共服务（类）政府办公厅（室）及相关机构事务（款）行政运行（项）。</w:t>
      </w:r>
    </w:p>
    <w:p>
      <w:pPr>
        <w:pStyle w:val="34"/>
        <w:spacing w:line="600" w:lineRule="exact"/>
        <w:ind w:firstLine="640" w:firstLineChars="200"/>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年初预算为782.39万元，支出决算为949.11万元，完成年初预算的121.3%，决算数大于年初预算数的主要原因是：追加了一名新进在职人员的工资奖金、公用经费以及全体在职人员的社保基数调增、公积金基数调增的人员经费。</w:t>
      </w:r>
    </w:p>
    <w:p>
      <w:pPr>
        <w:pStyle w:val="34"/>
        <w:spacing w:line="600" w:lineRule="exact"/>
        <w:ind w:firstLine="640" w:firstLineChars="200"/>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(2)一般公共服务（类）政府办公厅（室）及相关机构事务（款）一般行政管理事务（项）。</w:t>
      </w:r>
    </w:p>
    <w:p>
      <w:pPr>
        <w:pStyle w:val="34"/>
        <w:spacing w:line="600" w:lineRule="exact"/>
        <w:ind w:firstLine="640" w:firstLineChars="200"/>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年初预算为301.86万元，支出决算为289.37万元，完成年初预算的95.86%，决算数小于年初预算数的主要原因是：2020年度新冠疫情影响，“三公”经费支出大幅度减少。</w:t>
      </w:r>
    </w:p>
    <w:p>
      <w:pPr>
        <w:pStyle w:val="34"/>
        <w:spacing w:line="600" w:lineRule="exact"/>
        <w:ind w:firstLine="640" w:firstLineChars="200"/>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(3) 一般公共服务（类）财政事务（款）其他财政事务支出（项）。</w:t>
      </w:r>
    </w:p>
    <w:p>
      <w:pPr>
        <w:pStyle w:val="34"/>
        <w:spacing w:line="600" w:lineRule="exact"/>
        <w:ind w:firstLine="640" w:firstLineChars="200"/>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年初预算为0万元，支出决算为0.5万元，决算数大于年初预算数的主要原因是：我室荣获2019年度的部门决算编制工作的先进单位，奖励0.5万元。</w:t>
      </w:r>
    </w:p>
    <w:p>
      <w:pPr>
        <w:pStyle w:val="34"/>
        <w:spacing w:line="600" w:lineRule="exact"/>
        <w:ind w:firstLine="640" w:firstLineChars="200"/>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(4)社会保障和就业（类）残疾人事业（款）其他残疾人事业支出（项）。</w:t>
      </w:r>
    </w:p>
    <w:p>
      <w:pPr>
        <w:pStyle w:val="34"/>
        <w:spacing w:line="600" w:lineRule="exact"/>
        <w:ind w:firstLine="640" w:firstLineChars="200"/>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年初预算为2.51万元，支出决算为2.51万元，决算数与年初预算数持平，完成率100%。</w:t>
      </w:r>
    </w:p>
    <w:p>
      <w:pPr>
        <w:pStyle w:val="5"/>
        <w:widowControl/>
        <w:ind w:right="75"/>
        <w:rPr>
          <w:rFonts w:ascii="Times New Roman" w:hAnsi="Times New Roman" w:eastAsia="黑体"/>
          <w:sz w:val="32"/>
          <w:szCs w:val="32"/>
        </w:rPr>
      </w:pPr>
      <w:r>
        <w:rPr>
          <w:rFonts w:ascii="Times New Roman" w:hAnsi="Times New Roman" w:eastAsia="黑体"/>
          <w:sz w:val="32"/>
          <w:szCs w:val="32"/>
          <w:shd w:val="clear" w:color="auto" w:fill="FFFFFF"/>
        </w:rPr>
        <w:t xml:space="preserve">    六、一般公共预算财政拨款基本支出决算情况说明</w:t>
      </w:r>
    </w:p>
    <w:p>
      <w:pPr>
        <w:pStyle w:val="5"/>
        <w:widowControl/>
        <w:ind w:right="75"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2020年度一般公共预算财政拨款基本支出952.12万元。其中：人员经费849.59万元，占基本支出的89.23%，主要包括：基本工资、津贴补贴、伙食补助费、机关事业单位基本养老保险缴费、职业年金缴费、其他社会保障缴费、其他工资福利支出、离休费、退休费、生活补助、奖励金、住房公积金、其他对个人和家庭的补助支出；公用经费102.53万元，占基本支出的10.77%，主要包括：办公费、印刷费、手续费、电费、劳务费、工会经费、福利费、其他交通费用、其他商品和服务支出。</w:t>
      </w:r>
    </w:p>
    <w:p>
      <w:pPr>
        <w:pStyle w:val="5"/>
        <w:widowControl/>
        <w:ind w:right="75"/>
        <w:rPr>
          <w:rFonts w:ascii="Times New Roman" w:hAnsi="Times New Roman" w:eastAsia="黑体"/>
          <w:sz w:val="32"/>
          <w:szCs w:val="32"/>
          <w:shd w:val="clear" w:color="auto" w:fill="FFFFFF"/>
        </w:rPr>
      </w:pPr>
      <w:r>
        <w:rPr>
          <w:rFonts w:ascii="Times New Roman" w:hAnsi="Times New Roman"/>
          <w:sz w:val="32"/>
          <w:szCs w:val="32"/>
          <w:shd w:val="clear" w:color="auto" w:fill="FFFFFF"/>
        </w:rPr>
        <w:t xml:space="preserve"> </w:t>
      </w:r>
      <w:r>
        <w:rPr>
          <w:rFonts w:ascii="Times New Roman" w:hAnsi="Times New Roman" w:eastAsia="黑体"/>
          <w:sz w:val="32"/>
          <w:szCs w:val="32"/>
          <w:shd w:val="clear" w:color="auto" w:fill="FFFFFF"/>
        </w:rPr>
        <w:t xml:space="preserve">   七、一般公共预算财政拨款“三公”经费支出决算情况说明</w:t>
      </w:r>
    </w:p>
    <w:p>
      <w:pPr>
        <w:pStyle w:val="5"/>
        <w:widowControl/>
        <w:ind w:right="75"/>
        <w:rPr>
          <w:rFonts w:ascii="Times New Roman" w:hAnsi="Times New Roman" w:eastAsia="仿宋"/>
          <w:sz w:val="32"/>
          <w:szCs w:val="32"/>
        </w:rPr>
      </w:pPr>
      <w:r>
        <w:rPr>
          <w:rFonts w:ascii="Times New Roman" w:hAnsi="Times New Roman" w:eastAsia="仿宋"/>
          <w:sz w:val="32"/>
          <w:szCs w:val="32"/>
          <w:shd w:val="clear" w:color="auto" w:fill="FFFFFF"/>
        </w:rPr>
        <w:t xml:space="preserve"> </w:t>
      </w:r>
      <w:r>
        <w:rPr>
          <w:rFonts w:ascii="Times New Roman" w:hAnsi="Times New Roman" w:eastAsia="楷体"/>
          <w:sz w:val="32"/>
          <w:szCs w:val="32"/>
          <w:shd w:val="clear" w:color="auto" w:fill="FFFFFF"/>
        </w:rPr>
        <w:t xml:space="preserve">  （一）“三公”经费财政拨款支出决算总体情况说明</w:t>
      </w:r>
    </w:p>
    <w:p>
      <w:pPr>
        <w:pStyle w:val="5"/>
        <w:widowControl/>
        <w:ind w:right="75"/>
        <w:rPr>
          <w:rFonts w:ascii="Times New Roman" w:hAnsi="Times New Roman" w:eastAsia="仿宋"/>
          <w:sz w:val="32"/>
          <w:szCs w:val="32"/>
        </w:rPr>
      </w:pPr>
      <w:r>
        <w:rPr>
          <w:rFonts w:ascii="Times New Roman" w:hAnsi="Times New Roman" w:eastAsia="仿宋"/>
          <w:sz w:val="32"/>
          <w:szCs w:val="32"/>
          <w:shd w:val="clear" w:color="auto" w:fill="FFFFFF"/>
        </w:rPr>
        <w:t xml:space="preserve">    2020年度“三公”经费财政拨款支出预算为15.00万元，支出决算为3.55万元，完成预算的23.67%。2020年度“三公”经费支出决算数与预算数存在差异的主要原因是2020年新冠疫情影响，“三公”经费支出减少。</w:t>
      </w:r>
    </w:p>
    <w:p>
      <w:pPr>
        <w:pStyle w:val="5"/>
        <w:widowControl/>
        <w:ind w:right="75"/>
        <w:rPr>
          <w:rFonts w:ascii="Times New Roman" w:hAnsi="Times New Roman" w:eastAsia="楷体"/>
          <w:sz w:val="32"/>
          <w:szCs w:val="32"/>
          <w:shd w:val="clear" w:color="auto" w:fill="FFFFFF"/>
        </w:rPr>
      </w:pPr>
      <w:r>
        <w:rPr>
          <w:rFonts w:ascii="Times New Roman" w:hAnsi="Times New Roman" w:eastAsia="楷体"/>
          <w:sz w:val="32"/>
          <w:szCs w:val="32"/>
          <w:shd w:val="clear" w:color="auto" w:fill="FFFFFF"/>
        </w:rPr>
        <w:t xml:space="preserve">   （二）“三公”经费财政拨款支出决算具体情况说明</w:t>
      </w:r>
    </w:p>
    <w:p>
      <w:pPr>
        <w:pStyle w:val="5"/>
        <w:widowControl/>
        <w:ind w:right="75"/>
        <w:rPr>
          <w:rFonts w:ascii="Times New Roman" w:hAnsi="Times New Roman" w:eastAsia="仿宋"/>
          <w:sz w:val="32"/>
          <w:szCs w:val="32"/>
        </w:rPr>
      </w:pPr>
      <w:r>
        <w:rPr>
          <w:rFonts w:ascii="Times New Roman" w:hAnsi="Times New Roman" w:eastAsia="仿宋"/>
          <w:sz w:val="32"/>
          <w:szCs w:val="32"/>
          <w:shd w:val="clear" w:color="auto" w:fill="FFFFFF"/>
        </w:rPr>
        <w:t xml:space="preserve">    2020年度“三公”经费财政拨款支出决算中，因公出国（境）费支出决算0.00万元，完成预算的0.00%，占0.00%；公务用车购置及运行费支出决算2.99万元，完成预算的37.38%，占84.23%；公务接待费支出决算0.56万元，完成预算的14%，占15.77%。具体情况如下：</w:t>
      </w:r>
    </w:p>
    <w:p>
      <w:pPr>
        <w:pStyle w:val="34"/>
        <w:spacing w:line="600" w:lineRule="exact"/>
        <w:ind w:firstLine="640" w:firstLineChars="200"/>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1．因公出国（境）费年初预算为3.00万元，支出决算为0.00万元，完成年初预算的0.00%。全年安排因公出国（境）团组0个，累计0人次。决算数与年初预算数存在差异的主要原因是2020年新冠疫情影响,无因公出国（境）安排；与2019年度相比无变化，主要原因是2019年、2020年均无人员出国（境）。</w:t>
      </w:r>
    </w:p>
    <w:p>
      <w:pPr>
        <w:pStyle w:val="5"/>
        <w:widowControl/>
        <w:ind w:right="75"/>
        <w:rPr>
          <w:rFonts w:ascii="Times New Roman" w:hAnsi="Times New Roman" w:eastAsia="仿宋"/>
          <w:sz w:val="32"/>
          <w:szCs w:val="32"/>
          <w:shd w:val="clear" w:color="auto" w:fill="FFFFFF"/>
        </w:rPr>
      </w:pPr>
      <w:r>
        <w:rPr>
          <w:rFonts w:ascii="Times New Roman" w:hAnsi="Times New Roman" w:eastAsia="仿宋"/>
          <w:sz w:val="32"/>
          <w:szCs w:val="32"/>
          <w:shd w:val="clear" w:color="auto" w:fill="FFFFFF"/>
        </w:rPr>
        <w:t xml:space="preserve">   </w:t>
      </w:r>
      <w:r>
        <w:rPr>
          <w:rFonts w:ascii="Times New Roman" w:hAnsi="Times New Roman" w:eastAsia="仿宋"/>
          <w:color w:val="000000"/>
          <w:sz w:val="32"/>
          <w:szCs w:val="32"/>
          <w:shd w:val="clear" w:color="auto" w:fill="FFFFFF"/>
        </w:rPr>
        <w:t xml:space="preserve"> 2．公务用车购置及运行费年初预算为8.00万元，支出决算为2.99万元，完成年初预算的37.38%。决算数与年初预算数存在差异的主要原因是我室加强了公车使用管理,车辆运行经费减少且2020年我室清理了往来账，抵消了一部分公车运行维护费。</w:t>
      </w:r>
      <w:r>
        <w:rPr>
          <w:rFonts w:ascii="Times New Roman" w:hAnsi="Times New Roman" w:eastAsia="仿宋"/>
          <w:sz w:val="32"/>
          <w:szCs w:val="32"/>
          <w:shd w:val="clear" w:color="auto" w:fill="FFFFFF"/>
        </w:rPr>
        <w:t>与2019年相比减少0.13万元，下降4.17%，主要原因是实行厉行节约，加强了公车使用管理。</w:t>
      </w:r>
    </w:p>
    <w:p>
      <w:pPr>
        <w:pStyle w:val="5"/>
        <w:widowControl/>
        <w:ind w:right="75"/>
        <w:rPr>
          <w:rFonts w:ascii="Times New Roman" w:hAnsi="Times New Roman" w:eastAsia="仿宋"/>
          <w:sz w:val="32"/>
          <w:szCs w:val="32"/>
        </w:rPr>
      </w:pPr>
      <w:r>
        <w:rPr>
          <w:rFonts w:ascii="Times New Roman" w:hAnsi="Times New Roman" w:eastAsia="仿宋"/>
          <w:color w:val="000000"/>
          <w:sz w:val="32"/>
          <w:szCs w:val="32"/>
          <w:shd w:val="clear" w:color="auto" w:fill="FFFFFF"/>
        </w:rPr>
        <w:t xml:space="preserve">    其中：公务用车购置支出0.00万元，购置车辆0台。公务用车运行支出2.99万元，主要包含车辆的保险费、燃油费、维修费、停车费、过桥过路费、驾驶员安全奖等</w:t>
      </w:r>
      <w:r>
        <w:rPr>
          <w:rFonts w:ascii="Times New Roman" w:hAnsi="Times New Roman" w:eastAsia="仿宋"/>
          <w:sz w:val="32"/>
          <w:szCs w:val="32"/>
          <w:shd w:val="clear" w:color="auto" w:fill="FFFFFF"/>
        </w:rPr>
        <w:t>。截止2020年12月31日，本单位开支财政拨款的公务用车保有量为2辆。</w:t>
      </w:r>
    </w:p>
    <w:p>
      <w:pPr>
        <w:pStyle w:val="5"/>
        <w:widowControl/>
        <w:tabs>
          <w:tab w:val="left" w:pos="312"/>
        </w:tabs>
        <w:ind w:right="75"/>
        <w:rPr>
          <w:rFonts w:ascii="Times New Roman" w:hAnsi="Times New Roman" w:eastAsia="仿宋"/>
          <w:sz w:val="32"/>
          <w:szCs w:val="32"/>
          <w:shd w:val="clear" w:color="auto" w:fill="FFFFFF"/>
        </w:rPr>
      </w:pPr>
      <w:r>
        <w:rPr>
          <w:rFonts w:ascii="Times New Roman" w:hAnsi="Times New Roman" w:eastAsia="仿宋"/>
          <w:sz w:val="32"/>
          <w:szCs w:val="32"/>
          <w:shd w:val="clear" w:color="auto" w:fill="FFFFFF"/>
        </w:rPr>
        <w:t xml:space="preserve">    3.公务接待费年初预算为4.00万元，支出决算为0.56万元，完成年初预算的14%。决算数与年初预算数存在差异的主要原因是2020年新冠疫情影响，接待工作大幅度减少；与2019年相比减少1.05万元，下降65.22%，主要原因是2020年新冠疫情影响，接待工作大幅度减少。其中：</w:t>
      </w:r>
    </w:p>
    <w:p>
      <w:pPr>
        <w:pStyle w:val="5"/>
        <w:widowControl/>
        <w:ind w:right="75" w:firstLine="640" w:firstLineChars="200"/>
        <w:rPr>
          <w:rFonts w:ascii="Times New Roman" w:hAnsi="Times New Roman" w:eastAsia="仿宋"/>
          <w:sz w:val="32"/>
          <w:szCs w:val="32"/>
          <w:shd w:val="clear" w:color="auto" w:fill="FFFFFF"/>
        </w:rPr>
      </w:pPr>
      <w:r>
        <w:rPr>
          <w:rFonts w:ascii="Times New Roman" w:hAnsi="Times New Roman" w:eastAsia="仿宋"/>
          <w:sz w:val="32"/>
          <w:szCs w:val="32"/>
          <w:shd w:val="clear" w:color="auto" w:fill="FFFFFF"/>
        </w:rPr>
        <w:t>外宾接待支出0万元，2020年共接待国（境）外来访团组0个、来访外宾0人次（不包括陪同人员）。</w:t>
      </w:r>
    </w:p>
    <w:p>
      <w:pPr>
        <w:pStyle w:val="5"/>
        <w:widowControl/>
        <w:ind w:right="75" w:firstLine="640" w:firstLineChars="200"/>
        <w:rPr>
          <w:rFonts w:ascii="Times New Roman" w:hAnsi="Times New Roman" w:eastAsia="仿宋"/>
          <w:sz w:val="32"/>
          <w:szCs w:val="32"/>
          <w:shd w:val="clear" w:color="auto" w:fill="FFFFFF"/>
        </w:rPr>
      </w:pPr>
      <w:r>
        <w:rPr>
          <w:rFonts w:ascii="Times New Roman" w:hAnsi="Times New Roman" w:eastAsia="仿宋"/>
          <w:sz w:val="32"/>
          <w:szCs w:val="32"/>
          <w:shd w:val="clear" w:color="auto" w:fill="FFFFFF"/>
        </w:rPr>
        <w:t>其他国内公务接待支出0.56万元，主要用于地方志业务交流发生的接待支出。2020年共接待国内来访团组6个、来宾33人次（不包括陪同人员）。</w:t>
      </w:r>
    </w:p>
    <w:p>
      <w:pPr>
        <w:pStyle w:val="5"/>
        <w:widowControl/>
        <w:ind w:right="75"/>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 xml:space="preserve">    八、政府性基金预算财政拨款支出决算情况说明</w:t>
      </w:r>
    </w:p>
    <w:p>
      <w:pPr>
        <w:spacing w:line="560" w:lineRule="exact"/>
        <w:ind w:firstLine="640" w:firstLineChars="200"/>
        <w:rPr>
          <w:rFonts w:ascii="Times New Roman" w:hAnsi="Times New Roman" w:eastAsia="仿宋" w:cs="Times New Roman"/>
          <w:kern w:val="0"/>
          <w:sz w:val="32"/>
          <w:szCs w:val="32"/>
          <w:shd w:val="clear" w:color="auto" w:fill="FFFFFF"/>
        </w:rPr>
      </w:pPr>
      <w:r>
        <w:rPr>
          <w:rFonts w:ascii="Times New Roman" w:hAnsi="Times New Roman" w:eastAsia="仿宋" w:cs="Times New Roman"/>
          <w:kern w:val="0"/>
          <w:sz w:val="32"/>
          <w:szCs w:val="32"/>
          <w:shd w:val="clear" w:color="auto" w:fill="FFFFFF"/>
        </w:rPr>
        <w:t>2020年度本单位政府性基金预算收入为0万元，政府性基金预算支出为0万元。</w:t>
      </w:r>
    </w:p>
    <w:p>
      <w:pPr>
        <w:pStyle w:val="5"/>
        <w:widowControl/>
        <w:ind w:right="75"/>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 xml:space="preserve">    九、国有资本经营预算财政拨款支出决算情况</w:t>
      </w:r>
    </w:p>
    <w:p>
      <w:pPr>
        <w:pStyle w:val="5"/>
        <w:widowControl/>
        <w:ind w:right="75"/>
        <w:rPr>
          <w:rFonts w:ascii="Times New Roman" w:hAnsi="Times New Roman" w:eastAsia="仿宋"/>
          <w:sz w:val="32"/>
          <w:szCs w:val="32"/>
        </w:rPr>
      </w:pPr>
      <w:r>
        <w:rPr>
          <w:rFonts w:ascii="Times New Roman" w:hAnsi="Times New Roman"/>
          <w:sz w:val="27"/>
          <w:szCs w:val="27"/>
          <w:shd w:val="clear" w:color="auto" w:fill="FFFFFF"/>
        </w:rPr>
        <w:t xml:space="preserve">   </w:t>
      </w:r>
      <w:r>
        <w:rPr>
          <w:rFonts w:ascii="Times New Roman" w:hAnsi="Times New Roman" w:eastAsia="仿宋"/>
          <w:sz w:val="32"/>
          <w:szCs w:val="32"/>
          <w:shd w:val="clear" w:color="auto" w:fill="FFFFFF"/>
        </w:rPr>
        <w:t xml:space="preserve"> 2020年度本单位国有资本经营预算财政拨款支出为0万元。 </w:t>
      </w:r>
    </w:p>
    <w:p>
      <w:pPr>
        <w:pStyle w:val="5"/>
        <w:widowControl/>
        <w:ind w:right="75"/>
        <w:rPr>
          <w:rFonts w:ascii="Times New Roman" w:hAnsi="Times New Roman" w:eastAsia="楷体"/>
          <w:b/>
          <w:sz w:val="32"/>
          <w:szCs w:val="32"/>
          <w:shd w:val="clear" w:color="auto" w:fill="FFFFFF"/>
        </w:rPr>
      </w:pPr>
      <w:r>
        <w:rPr>
          <w:rFonts w:ascii="Times New Roman" w:hAnsi="Times New Roman"/>
          <w:sz w:val="32"/>
          <w:szCs w:val="32"/>
          <w:shd w:val="clear" w:color="auto" w:fill="FFFFFF"/>
        </w:rPr>
        <w:t xml:space="preserve">   </w:t>
      </w:r>
      <w:r>
        <w:rPr>
          <w:rFonts w:ascii="Times New Roman" w:hAnsi="Times New Roman" w:eastAsia="黑体"/>
          <w:sz w:val="32"/>
          <w:szCs w:val="32"/>
          <w:shd w:val="clear" w:color="auto" w:fill="FFFFFF"/>
        </w:rPr>
        <w:t xml:space="preserve"> 十、机关运行经费支出情况说明</w:t>
      </w:r>
    </w:p>
    <w:p>
      <w:pPr>
        <w:pStyle w:val="5"/>
        <w:widowControl/>
        <w:spacing w:before="100" w:after="100"/>
        <w:ind w:right="74"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2020年度机关运行经费</w:t>
      </w:r>
      <w:r>
        <w:rPr>
          <w:rFonts w:hint="eastAsia" w:ascii="Times New Roman" w:hAnsi="Times New Roman" w:eastAsia="仿宋"/>
          <w:sz w:val="32"/>
          <w:szCs w:val="32"/>
          <w:shd w:val="clear" w:color="auto" w:fill="FFFFFF"/>
        </w:rPr>
        <w:t>年</w:t>
      </w:r>
      <w:r>
        <w:rPr>
          <w:rFonts w:ascii="Times New Roman" w:hAnsi="Times New Roman" w:eastAsia="仿宋"/>
          <w:sz w:val="32"/>
          <w:szCs w:val="32"/>
          <w:shd w:val="clear" w:color="auto" w:fill="FFFFFF"/>
        </w:rPr>
        <w:t>初预算99.63万元，</w:t>
      </w:r>
      <w:r>
        <w:rPr>
          <w:rFonts w:hint="eastAsia" w:ascii="Times New Roman" w:hAnsi="Times New Roman" w:eastAsia="仿宋"/>
          <w:sz w:val="32"/>
          <w:szCs w:val="32"/>
          <w:shd w:val="clear" w:color="auto" w:fill="FFFFFF"/>
        </w:rPr>
        <w:t>支出</w:t>
      </w:r>
      <w:r>
        <w:rPr>
          <w:rFonts w:ascii="Times New Roman" w:hAnsi="Times New Roman" w:eastAsia="仿宋"/>
          <w:sz w:val="32"/>
          <w:szCs w:val="32"/>
          <w:shd w:val="clear" w:color="auto" w:fill="FFFFFF"/>
        </w:rPr>
        <w:t>决算为102.53万元，</w:t>
      </w:r>
      <w:r>
        <w:rPr>
          <w:rFonts w:hint="eastAsia" w:ascii="Times New Roman" w:hAnsi="Times New Roman" w:eastAsia="仿宋"/>
          <w:sz w:val="32"/>
          <w:szCs w:val="32"/>
          <w:shd w:val="clear" w:color="auto" w:fill="FFFFFF"/>
        </w:rPr>
        <w:t>决算数比年初预算数多2.9万元，增长2.91%，</w:t>
      </w:r>
      <w:r>
        <w:rPr>
          <w:rFonts w:ascii="Times New Roman" w:hAnsi="Times New Roman" w:eastAsia="仿宋"/>
          <w:sz w:val="32"/>
          <w:szCs w:val="32"/>
          <w:shd w:val="clear" w:color="auto" w:fill="FFFFFF"/>
        </w:rPr>
        <w:t>完成年初预算的102.91%</w:t>
      </w:r>
      <w:r>
        <w:rPr>
          <w:rFonts w:hint="eastAsia" w:ascii="Times New Roman" w:hAnsi="Times New Roman" w:eastAsia="仿宋"/>
          <w:sz w:val="32"/>
          <w:szCs w:val="32"/>
          <w:shd w:val="clear" w:color="auto" w:fill="FFFFFF"/>
        </w:rPr>
        <w:t>，</w:t>
      </w:r>
      <w:r>
        <w:rPr>
          <w:rFonts w:ascii="Times New Roman" w:hAnsi="Times New Roman" w:eastAsia="仿宋"/>
          <w:sz w:val="32"/>
          <w:szCs w:val="32"/>
          <w:shd w:val="clear" w:color="auto" w:fill="FFFFFF"/>
        </w:rPr>
        <w:t>决算数与年初预算数存在差异的主要原因是2020年新转入一名在职人员，增补了新进人员的公用经费。2020年度机关运行经费</w:t>
      </w:r>
      <w:r>
        <w:rPr>
          <w:rFonts w:hint="eastAsia" w:ascii="Times New Roman" w:hAnsi="Times New Roman" w:eastAsia="仿宋"/>
          <w:sz w:val="32"/>
          <w:szCs w:val="32"/>
          <w:shd w:val="clear" w:color="auto" w:fill="FFFFFF"/>
        </w:rPr>
        <w:t>决算数为102.53万元，上年决算数为79万元，决算数比上年度增加23.53万元，增长29.78%，</w:t>
      </w:r>
      <w:r>
        <w:rPr>
          <w:rFonts w:ascii="Times New Roman" w:hAnsi="Times New Roman" w:eastAsia="仿宋"/>
          <w:sz w:val="32"/>
          <w:szCs w:val="32"/>
          <w:shd w:val="clear" w:color="auto" w:fill="FFFFFF"/>
        </w:rPr>
        <w:t>决算数与</w:t>
      </w:r>
      <w:r>
        <w:rPr>
          <w:rFonts w:hint="eastAsia" w:ascii="Times New Roman" w:hAnsi="Times New Roman" w:eastAsia="仿宋"/>
          <w:sz w:val="32"/>
          <w:szCs w:val="32"/>
          <w:shd w:val="clear" w:color="auto" w:fill="FFFFFF"/>
        </w:rPr>
        <w:t>上年决算数</w:t>
      </w:r>
      <w:r>
        <w:rPr>
          <w:rFonts w:ascii="Times New Roman" w:hAnsi="Times New Roman" w:eastAsia="仿宋"/>
          <w:sz w:val="32"/>
          <w:szCs w:val="32"/>
          <w:shd w:val="clear" w:color="auto" w:fill="FFFFFF"/>
        </w:rPr>
        <w:t>存在差异的主要原因是</w:t>
      </w:r>
      <w:r>
        <w:rPr>
          <w:rFonts w:hint="eastAsia" w:ascii="Times New Roman" w:hAnsi="Times New Roman" w:eastAsia="仿宋"/>
          <w:sz w:val="32"/>
          <w:szCs w:val="32"/>
          <w:shd w:val="clear" w:color="auto" w:fill="FFFFFF"/>
        </w:rPr>
        <w:t>2020年度公用经费人员基数增加</w:t>
      </w:r>
      <w:r>
        <w:rPr>
          <w:rFonts w:hint="eastAsia" w:ascii="Times New Roman" w:hAnsi="Times New Roman" w:eastAsia="仿宋"/>
          <w:sz w:val="32"/>
          <w:szCs w:val="32"/>
        </w:rPr>
        <w:t>以及</w:t>
      </w:r>
      <w:r>
        <w:rPr>
          <w:rFonts w:hint="eastAsia" w:ascii="Times New Roman" w:hAnsi="Times New Roman" w:eastAsia="仿宋"/>
          <w:sz w:val="32"/>
          <w:szCs w:val="32"/>
          <w:shd w:val="clear" w:color="auto" w:fill="FFFFFF"/>
        </w:rPr>
        <w:t>公用经费标准提升。</w:t>
      </w:r>
    </w:p>
    <w:p>
      <w:pPr>
        <w:pStyle w:val="5"/>
        <w:widowControl/>
        <w:ind w:right="75"/>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 xml:space="preserve">    十一、一般性支出情况</w:t>
      </w:r>
    </w:p>
    <w:p>
      <w:pPr>
        <w:pStyle w:val="5"/>
        <w:widowControl/>
        <w:spacing w:before="100" w:after="100"/>
        <w:ind w:right="75" w:firstLine="630"/>
        <w:rPr>
          <w:rFonts w:ascii="Times New Roman" w:hAnsi="Times New Roman"/>
          <w:sz w:val="32"/>
          <w:szCs w:val="32"/>
          <w:shd w:val="clear" w:color="auto" w:fill="FFFFFF"/>
        </w:rPr>
      </w:pPr>
      <w:r>
        <w:rPr>
          <w:rFonts w:ascii="Times New Roman" w:hAnsi="Times New Roman" w:eastAsia="仿宋"/>
          <w:sz w:val="32"/>
          <w:szCs w:val="32"/>
          <w:shd w:val="clear" w:color="auto" w:fill="FFFFFF"/>
        </w:rPr>
        <w:t>2020年</w:t>
      </w:r>
      <w:r>
        <w:rPr>
          <w:rFonts w:hint="eastAsia" w:ascii="Times New Roman" w:hAnsi="Times New Roman" w:eastAsia="仿宋"/>
          <w:sz w:val="32"/>
          <w:szCs w:val="32"/>
          <w:shd w:val="clear" w:color="auto" w:fill="FFFFFF"/>
        </w:rPr>
        <w:t>会议费年初预算17万元，支出决算为1.49万元，因疫情影响，完成预算的8.76%，主要</w:t>
      </w:r>
      <w:r>
        <w:rPr>
          <w:rFonts w:ascii="Times New Roman" w:hAnsi="Times New Roman" w:eastAsia="仿宋"/>
          <w:sz w:val="32"/>
          <w:szCs w:val="32"/>
          <w:shd w:val="clear" w:color="auto" w:fill="FFFFFF"/>
        </w:rPr>
        <w:t>用于</w:t>
      </w:r>
      <w:r>
        <w:rPr>
          <w:rFonts w:hint="eastAsia" w:ascii="Times New Roman" w:hAnsi="Times New Roman" w:eastAsia="仿宋"/>
          <w:sz w:val="32"/>
          <w:szCs w:val="32"/>
          <w:shd w:val="clear" w:color="auto" w:fill="FFFFFF"/>
        </w:rPr>
        <w:t>：</w:t>
      </w:r>
      <w:r>
        <w:rPr>
          <w:rFonts w:ascii="Times New Roman" w:hAnsi="Times New Roman" w:eastAsia="仿宋"/>
          <w:sz w:val="32"/>
          <w:szCs w:val="32"/>
          <w:shd w:val="clear" w:color="auto" w:fill="FFFFFF"/>
        </w:rPr>
        <w:t>召开《长沙市志（1988-2012）》省级评审会议</w:t>
      </w:r>
      <w:r>
        <w:rPr>
          <w:rFonts w:hint="eastAsia" w:ascii="Times New Roman" w:hAnsi="Times New Roman" w:eastAsia="仿宋"/>
          <w:sz w:val="32"/>
          <w:szCs w:val="32"/>
          <w:shd w:val="clear" w:color="auto" w:fill="FFFFFF"/>
        </w:rPr>
        <w:t>；</w:t>
      </w:r>
      <w:r>
        <w:rPr>
          <w:rFonts w:ascii="Times New Roman" w:hAnsi="Times New Roman" w:eastAsia="仿宋"/>
          <w:sz w:val="32"/>
          <w:szCs w:val="32"/>
          <w:shd w:val="clear" w:color="auto" w:fill="FFFFFF"/>
        </w:rPr>
        <w:t>《长沙年鉴》2020年度双评初评、终评会议</w:t>
      </w:r>
      <w:r>
        <w:rPr>
          <w:rFonts w:hint="eastAsia" w:ascii="Times New Roman" w:hAnsi="Times New Roman" w:eastAsia="仿宋"/>
          <w:sz w:val="32"/>
          <w:szCs w:val="32"/>
          <w:shd w:val="clear" w:color="auto" w:fill="FFFFFF"/>
        </w:rPr>
        <w:t>；</w:t>
      </w:r>
      <w:r>
        <w:rPr>
          <w:rFonts w:ascii="Times New Roman" w:hAnsi="Times New Roman" w:eastAsia="仿宋"/>
          <w:sz w:val="32"/>
          <w:szCs w:val="32"/>
          <w:shd w:val="clear" w:color="auto" w:fill="FFFFFF"/>
        </w:rPr>
        <w:t>长沙名镇志名村志规范培训会议</w:t>
      </w:r>
      <w:r>
        <w:rPr>
          <w:rFonts w:hint="eastAsia" w:ascii="Times New Roman" w:hAnsi="Times New Roman" w:eastAsia="仿宋"/>
          <w:sz w:val="32"/>
          <w:szCs w:val="32"/>
          <w:shd w:val="clear" w:color="auto" w:fill="FFFFFF"/>
        </w:rPr>
        <w:t>；</w:t>
      </w:r>
      <w:r>
        <w:rPr>
          <w:rFonts w:ascii="Times New Roman" w:hAnsi="Times New Roman" w:eastAsia="仿宋"/>
          <w:sz w:val="32"/>
          <w:szCs w:val="32"/>
          <w:shd w:val="clear" w:color="auto" w:fill="FFFFFF"/>
        </w:rPr>
        <w:t>《长沙市开发区图志》推进会议</w:t>
      </w:r>
      <w:r>
        <w:rPr>
          <w:rFonts w:hint="eastAsia" w:ascii="Times New Roman" w:hAnsi="Times New Roman" w:eastAsia="仿宋"/>
          <w:sz w:val="32"/>
          <w:szCs w:val="32"/>
          <w:shd w:val="clear" w:color="auto" w:fill="FFFFFF"/>
        </w:rPr>
        <w:t>；</w:t>
      </w:r>
      <w:r>
        <w:rPr>
          <w:rFonts w:ascii="Times New Roman" w:hAnsi="Times New Roman" w:eastAsia="仿宋"/>
          <w:sz w:val="32"/>
          <w:szCs w:val="32"/>
          <w:shd w:val="clear" w:color="auto" w:fill="FFFFFF"/>
        </w:rPr>
        <w:t>区县综合年鉴2020年评审会议</w:t>
      </w:r>
      <w:r>
        <w:rPr>
          <w:rFonts w:hint="eastAsia" w:ascii="Times New Roman" w:hAnsi="Times New Roman" w:eastAsia="仿宋"/>
          <w:sz w:val="32"/>
          <w:szCs w:val="32"/>
          <w:shd w:val="clear" w:color="auto" w:fill="FFFFFF"/>
        </w:rPr>
        <w:t>等会议，</w:t>
      </w:r>
      <w:r>
        <w:rPr>
          <w:rFonts w:ascii="Times New Roman" w:hAnsi="Times New Roman" w:eastAsia="仿宋"/>
          <w:sz w:val="32"/>
          <w:szCs w:val="32"/>
          <w:shd w:val="clear" w:color="auto" w:fill="FFFFFF"/>
        </w:rPr>
        <w:t>人数</w:t>
      </w:r>
      <w:r>
        <w:rPr>
          <w:rFonts w:hint="eastAsia" w:ascii="Times New Roman" w:hAnsi="Times New Roman" w:eastAsia="仿宋"/>
          <w:sz w:val="32"/>
          <w:szCs w:val="32"/>
          <w:shd w:val="clear" w:color="auto" w:fill="FFFFFF"/>
        </w:rPr>
        <w:t>210</w:t>
      </w:r>
      <w:r>
        <w:rPr>
          <w:rFonts w:ascii="Times New Roman" w:hAnsi="Times New Roman" w:eastAsia="仿宋"/>
          <w:sz w:val="32"/>
          <w:szCs w:val="32"/>
          <w:shd w:val="clear" w:color="auto" w:fill="FFFFFF"/>
        </w:rPr>
        <w:t>人，</w:t>
      </w:r>
      <w:r>
        <w:rPr>
          <w:rFonts w:hint="eastAsia" w:ascii="Times New Roman" w:hAnsi="Times New Roman" w:eastAsia="仿宋"/>
          <w:sz w:val="32"/>
          <w:szCs w:val="32"/>
          <w:shd w:val="clear" w:color="auto" w:fill="FFFFFF"/>
        </w:rPr>
        <w:t>开支内容为会务用餐费1.2万元，会务住宿费0.03万元，资料印刷费0.26万元。</w:t>
      </w:r>
    </w:p>
    <w:p>
      <w:pPr>
        <w:pStyle w:val="5"/>
        <w:widowControl/>
        <w:spacing w:before="100" w:after="100"/>
        <w:ind w:right="75" w:firstLine="630"/>
        <w:rPr>
          <w:rFonts w:ascii="Times New Roman" w:hAnsi="Times New Roman"/>
          <w:sz w:val="32"/>
          <w:szCs w:val="32"/>
          <w:shd w:val="clear" w:color="auto" w:fill="FFFFFF"/>
        </w:rPr>
      </w:pPr>
      <w:r>
        <w:rPr>
          <w:rFonts w:ascii="Times New Roman" w:hAnsi="Times New Roman" w:eastAsia="仿宋"/>
          <w:sz w:val="32"/>
          <w:szCs w:val="32"/>
          <w:shd w:val="clear" w:color="auto" w:fill="FFFFFF"/>
        </w:rPr>
        <w:t>2020年</w:t>
      </w:r>
      <w:r>
        <w:rPr>
          <w:rFonts w:hint="eastAsia" w:ascii="Times New Roman" w:hAnsi="Times New Roman" w:eastAsia="仿宋"/>
          <w:sz w:val="32"/>
          <w:szCs w:val="32"/>
          <w:shd w:val="clear" w:color="auto" w:fill="FFFFFF"/>
        </w:rPr>
        <w:t>培</w:t>
      </w:r>
      <w:r>
        <w:rPr>
          <w:rFonts w:ascii="Times New Roman" w:hAnsi="Times New Roman" w:eastAsia="仿宋"/>
          <w:sz w:val="32"/>
          <w:szCs w:val="32"/>
          <w:shd w:val="clear" w:color="auto" w:fill="FFFFFF"/>
        </w:rPr>
        <w:t>训费</w:t>
      </w:r>
      <w:r>
        <w:rPr>
          <w:rFonts w:hint="eastAsia" w:ascii="Times New Roman" w:hAnsi="Times New Roman" w:eastAsia="仿宋"/>
          <w:sz w:val="32"/>
          <w:szCs w:val="32"/>
          <w:shd w:val="clear" w:color="auto" w:fill="FFFFFF"/>
        </w:rPr>
        <w:t>年初预算3</w:t>
      </w:r>
      <w:r>
        <w:rPr>
          <w:rFonts w:ascii="Times New Roman" w:hAnsi="Times New Roman" w:eastAsia="仿宋"/>
          <w:sz w:val="32"/>
          <w:szCs w:val="32"/>
          <w:shd w:val="clear" w:color="auto" w:fill="FFFFFF"/>
        </w:rPr>
        <w:t>万元，</w:t>
      </w:r>
      <w:r>
        <w:rPr>
          <w:rFonts w:hint="eastAsia" w:ascii="Times New Roman" w:hAnsi="Times New Roman" w:eastAsia="仿宋"/>
          <w:sz w:val="32"/>
          <w:szCs w:val="32"/>
          <w:shd w:val="clear" w:color="auto" w:fill="FFFFFF"/>
        </w:rPr>
        <w:t>支出决算为0.66万元，因疫情影响，完成预算的22%，主要用于：</w:t>
      </w:r>
      <w:r>
        <w:rPr>
          <w:rFonts w:ascii="Times New Roman" w:hAnsi="Times New Roman" w:eastAsia="仿宋"/>
          <w:sz w:val="32"/>
          <w:szCs w:val="32"/>
          <w:shd w:val="clear" w:color="auto" w:fill="FFFFFF"/>
        </w:rPr>
        <w:t>在职人员参加长沙市委市政府、长沙市人社局、全国地方志系统组织的培训，总人数为4人，</w:t>
      </w:r>
      <w:r>
        <w:rPr>
          <w:rFonts w:hint="eastAsia" w:ascii="Times New Roman" w:hAnsi="Times New Roman" w:eastAsia="仿宋"/>
          <w:sz w:val="32"/>
          <w:szCs w:val="32"/>
          <w:shd w:val="clear" w:color="auto" w:fill="FFFFFF"/>
        </w:rPr>
        <w:t>开支</w:t>
      </w:r>
      <w:r>
        <w:rPr>
          <w:rFonts w:ascii="Times New Roman" w:hAnsi="Times New Roman" w:eastAsia="仿宋"/>
          <w:sz w:val="32"/>
          <w:szCs w:val="32"/>
          <w:shd w:val="clear" w:color="auto" w:fill="FFFFFF"/>
        </w:rPr>
        <w:t>内容为</w:t>
      </w:r>
      <w:r>
        <w:rPr>
          <w:rFonts w:hint="eastAsia" w:ascii="Times New Roman" w:hAnsi="Times New Roman" w:eastAsia="仿宋"/>
          <w:sz w:val="32"/>
          <w:szCs w:val="32"/>
          <w:shd w:val="clear" w:color="auto" w:fill="FFFFFF"/>
        </w:rPr>
        <w:t>参加</w:t>
      </w:r>
      <w:r>
        <w:rPr>
          <w:rFonts w:ascii="Times New Roman" w:hAnsi="Times New Roman" w:eastAsia="仿宋"/>
          <w:sz w:val="32"/>
          <w:szCs w:val="32"/>
          <w:shd w:val="clear" w:color="auto" w:fill="FFFFFF"/>
        </w:rPr>
        <w:t>培训</w:t>
      </w:r>
      <w:r>
        <w:rPr>
          <w:rFonts w:hint="eastAsia" w:ascii="Times New Roman" w:hAnsi="Times New Roman" w:eastAsia="仿宋"/>
          <w:sz w:val="32"/>
          <w:szCs w:val="32"/>
          <w:shd w:val="clear" w:color="auto" w:fill="FFFFFF"/>
        </w:rPr>
        <w:t>的住宿费0.34万元，培训交通费0.32万元。</w:t>
      </w:r>
    </w:p>
    <w:p>
      <w:pPr>
        <w:pStyle w:val="5"/>
        <w:widowControl/>
        <w:spacing w:before="100" w:after="100"/>
        <w:ind w:right="74" w:firstLine="640" w:firstLineChars="200"/>
        <w:rPr>
          <w:rFonts w:ascii="Times New Roman" w:hAnsi="Times New Roman" w:eastAsia="仿宋"/>
          <w:sz w:val="32"/>
          <w:szCs w:val="32"/>
          <w:shd w:val="clear" w:color="auto" w:fill="FFFFFF"/>
        </w:rPr>
      </w:pPr>
      <w:r>
        <w:rPr>
          <w:rFonts w:hint="eastAsia" w:ascii="Times New Roman" w:hAnsi="Times New Roman" w:eastAsia="仿宋"/>
          <w:sz w:val="32"/>
          <w:szCs w:val="32"/>
          <w:shd w:val="clear" w:color="auto" w:fill="FFFFFF"/>
        </w:rPr>
        <w:t>2020年度本单位无举办节庆、晚会、论坛、赛事等活动支出。</w:t>
      </w:r>
    </w:p>
    <w:p>
      <w:pPr>
        <w:pStyle w:val="5"/>
        <w:widowControl/>
        <w:ind w:right="75"/>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 xml:space="preserve">    十二、政府采购支出情况说明</w:t>
      </w:r>
    </w:p>
    <w:p>
      <w:pPr>
        <w:pStyle w:val="5"/>
        <w:widowControl/>
        <w:ind w:right="75" w:firstLine="640" w:firstLineChars="200"/>
        <w:rPr>
          <w:rFonts w:ascii="Times New Roman" w:hAnsi="Times New Roman" w:eastAsia="仿宋"/>
          <w:sz w:val="32"/>
          <w:szCs w:val="32"/>
        </w:rPr>
      </w:pPr>
      <w:r>
        <w:rPr>
          <w:rFonts w:ascii="Times New Roman" w:hAnsi="Times New Roman" w:eastAsia="仿宋"/>
          <w:sz w:val="32"/>
          <w:szCs w:val="32"/>
          <w:shd w:val="clear" w:color="auto" w:fill="FFFFFF"/>
        </w:rPr>
        <w:t>2020年度政府采购支出总额105.87万元，其中：政府采购货物支出1.19万元、政府采购工程支出0万元、政府采购服务支出104.68万元。授予中小企业合同金额104.68万元，占政府采购支出总额的98.88%，其中：授予小微企业合同金额1.19万元，占政府采购支出总额的1.12%。</w:t>
      </w:r>
    </w:p>
    <w:p>
      <w:pPr>
        <w:pStyle w:val="5"/>
        <w:widowControl/>
        <w:ind w:right="75" w:firstLine="630"/>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十三、国有资产占用情况说明</w:t>
      </w:r>
    </w:p>
    <w:p>
      <w:pPr>
        <w:pStyle w:val="5"/>
        <w:widowControl/>
        <w:ind w:right="75" w:firstLine="630"/>
        <w:rPr>
          <w:rFonts w:ascii="Times New Roman" w:hAnsi="Times New Roman" w:eastAsia="黑体"/>
          <w:sz w:val="32"/>
          <w:szCs w:val="32"/>
          <w:shd w:val="clear" w:color="auto" w:fill="FFFFFF"/>
        </w:rPr>
      </w:pPr>
      <w:r>
        <w:rPr>
          <w:rFonts w:hint="eastAsia" w:ascii="Times New Roman" w:hAnsi="Times New Roman" w:eastAsia="仿宋"/>
          <w:sz w:val="32"/>
          <w:szCs w:val="32"/>
          <w:shd w:val="clear" w:color="auto" w:fill="FFFFFF"/>
        </w:rPr>
        <w:t>截至2020年12月31日，本单位共有车辆2辆，其中，领导干部用车0辆、机要通信用车2辆、应急保障用车0辆、执法执勤用车0辆、特种专业技术用车0辆、其他用车0辆；单位价值50万元以上通用设备0台（套）；单位价值100万元以上专用设备0台（套）。</w:t>
      </w:r>
    </w:p>
    <w:p>
      <w:pPr>
        <w:pStyle w:val="5"/>
        <w:widowControl/>
        <w:ind w:right="75"/>
        <w:rPr>
          <w:rFonts w:ascii="Times New Roman" w:hAnsi="Times New Roman" w:eastAsia="楷体"/>
          <w:b/>
          <w:sz w:val="32"/>
          <w:szCs w:val="32"/>
          <w:shd w:val="clear" w:color="auto" w:fill="FFFFFF"/>
        </w:rPr>
      </w:pPr>
      <w:r>
        <w:rPr>
          <w:rStyle w:val="9"/>
          <w:rFonts w:ascii="Times New Roman" w:hAnsi="Times New Roman"/>
          <w:sz w:val="32"/>
          <w:szCs w:val="32"/>
          <w:shd w:val="clear" w:color="auto" w:fill="FFFFFF"/>
        </w:rPr>
        <w:t xml:space="preserve"> </w:t>
      </w:r>
      <w:r>
        <w:rPr>
          <w:rFonts w:ascii="Times New Roman" w:hAnsi="Times New Roman" w:eastAsia="楷体"/>
          <w:b/>
          <w:sz w:val="32"/>
          <w:szCs w:val="32"/>
          <w:shd w:val="clear" w:color="auto" w:fill="FFFFFF"/>
        </w:rPr>
        <w:t xml:space="preserve"> </w:t>
      </w:r>
      <w:r>
        <w:rPr>
          <w:rFonts w:ascii="Times New Roman" w:hAnsi="Times New Roman" w:eastAsia="黑体"/>
          <w:sz w:val="32"/>
          <w:szCs w:val="32"/>
          <w:shd w:val="clear" w:color="auto" w:fill="FFFFFF"/>
        </w:rPr>
        <w:t xml:space="preserve">  十四、关于2020年度预算绩效情况的说明</w:t>
      </w:r>
    </w:p>
    <w:p>
      <w:pPr>
        <w:ind w:firstLine="360" w:firstLineChars="200"/>
        <w:rPr>
          <w:rFonts w:ascii="Times New Roman" w:hAnsi="Times New Roman" w:eastAsia="仿宋" w:cs="Times New Roman"/>
          <w:sz w:val="32"/>
        </w:rPr>
      </w:pPr>
      <w:r>
        <w:rPr>
          <w:rFonts w:ascii="Times New Roman" w:hAnsi="Times New Roman" w:cs="Times New Roman"/>
          <w:sz w:val="18"/>
          <w:szCs w:val="18"/>
          <w:shd w:val="clear" w:color="auto" w:fill="FFFFFF"/>
        </w:rPr>
        <w:t xml:space="preserve">    </w:t>
      </w:r>
      <w:r>
        <w:rPr>
          <w:rFonts w:ascii="Times New Roman" w:hAnsi="Times New Roman" w:eastAsia="仿宋" w:cs="Times New Roman"/>
          <w:sz w:val="32"/>
        </w:rPr>
        <w:t>根据财政预算管理要求，我办对2020年整体支出开展了绩效自评，开展的绩效跟踪评价项目2个，涉及一般公共预算基本支出财政拨款</w:t>
      </w:r>
      <w:r>
        <w:rPr>
          <w:rFonts w:ascii="Times New Roman" w:hAnsi="Times New Roman" w:eastAsia="仿宋" w:cs="Times New Roman"/>
          <w:bCs/>
          <w:color w:val="000000"/>
          <w:spacing w:val="-1"/>
          <w:kern w:val="0"/>
          <w:sz w:val="32"/>
        </w:rPr>
        <w:t>952.12</w:t>
      </w:r>
      <w:r>
        <w:rPr>
          <w:rFonts w:ascii="Times New Roman" w:hAnsi="Times New Roman" w:eastAsia="仿宋" w:cs="Times New Roman"/>
          <w:sz w:val="32"/>
        </w:rPr>
        <w:t>万元，一般公共预算项目支出财政拨款</w:t>
      </w:r>
      <w:r>
        <w:rPr>
          <w:rFonts w:ascii="Times New Roman" w:hAnsi="Times New Roman" w:eastAsia="仿宋" w:cs="Times New Roman"/>
          <w:bCs/>
          <w:color w:val="000000"/>
          <w:spacing w:val="-1"/>
          <w:kern w:val="0"/>
          <w:sz w:val="32"/>
        </w:rPr>
        <w:t>289.37</w:t>
      </w:r>
      <w:r>
        <w:rPr>
          <w:rFonts w:ascii="Times New Roman" w:hAnsi="Times New Roman" w:eastAsia="仿宋" w:cs="Times New Roman"/>
          <w:sz w:val="32"/>
        </w:rPr>
        <w:t>万元，自评覆盖率达到100%。绩效自评结果等级为良，上述整体支出绩效情况较为理想，基本达到了项目申请时设定的各项绩效目标。</w:t>
      </w:r>
    </w:p>
    <w:p>
      <w:pPr>
        <w:pStyle w:val="5"/>
        <w:widowControl/>
        <w:ind w:right="75"/>
        <w:rPr>
          <w:rFonts w:ascii="Times New Roman" w:hAnsi="Times New Roman"/>
        </w:rPr>
      </w:pPr>
    </w:p>
    <w:p>
      <w:pPr>
        <w:pStyle w:val="5"/>
        <w:widowControl/>
        <w:ind w:right="75"/>
        <w:jc w:val="center"/>
        <w:rPr>
          <w:rFonts w:ascii="Times New Roman" w:hAnsi="Times New Roman"/>
          <w:sz w:val="18"/>
          <w:szCs w:val="18"/>
          <w:shd w:val="clear" w:color="auto" w:fill="FFFFFF"/>
        </w:rPr>
      </w:pPr>
      <w:r>
        <w:rPr>
          <w:rFonts w:ascii="Times New Roman" w:hAnsi="Times New Roman"/>
          <w:sz w:val="18"/>
          <w:szCs w:val="18"/>
          <w:shd w:val="clear" w:color="auto" w:fill="FFFFFF"/>
        </w:rPr>
        <w:t> </w:t>
      </w:r>
    </w:p>
    <w:p>
      <w:pPr>
        <w:pStyle w:val="5"/>
        <w:widowControl/>
        <w:ind w:right="75"/>
        <w:jc w:val="center"/>
        <w:rPr>
          <w:rFonts w:ascii="Times New Roman" w:hAnsi="Times New Roman"/>
          <w:sz w:val="18"/>
          <w:szCs w:val="18"/>
          <w:shd w:val="clear" w:color="auto" w:fill="FFFFFF"/>
        </w:rPr>
      </w:pPr>
    </w:p>
    <w:p>
      <w:pPr>
        <w:pStyle w:val="5"/>
        <w:widowControl/>
        <w:ind w:right="75"/>
        <w:jc w:val="center"/>
        <w:rPr>
          <w:rFonts w:ascii="Times New Roman" w:hAnsi="Times New Roman"/>
          <w:sz w:val="18"/>
          <w:szCs w:val="18"/>
          <w:shd w:val="clear" w:color="auto" w:fill="FFFFFF"/>
        </w:rPr>
      </w:pPr>
    </w:p>
    <w:p>
      <w:pPr>
        <w:pStyle w:val="5"/>
        <w:widowControl/>
        <w:ind w:right="75"/>
        <w:jc w:val="center"/>
        <w:rPr>
          <w:rFonts w:ascii="Times New Roman" w:hAnsi="Times New Roman"/>
          <w:sz w:val="18"/>
          <w:szCs w:val="18"/>
          <w:shd w:val="clear" w:color="auto" w:fill="FFFFFF"/>
        </w:rPr>
      </w:pPr>
    </w:p>
    <w:p>
      <w:pPr>
        <w:pStyle w:val="5"/>
        <w:widowControl/>
        <w:ind w:right="75"/>
        <w:jc w:val="center"/>
        <w:rPr>
          <w:rFonts w:ascii="Times New Roman" w:hAnsi="Times New Roman"/>
          <w:sz w:val="18"/>
          <w:szCs w:val="18"/>
          <w:shd w:val="clear" w:color="auto" w:fill="FFFFFF"/>
        </w:rPr>
      </w:pPr>
    </w:p>
    <w:p>
      <w:pPr>
        <w:pStyle w:val="5"/>
        <w:widowControl/>
        <w:ind w:right="75"/>
        <w:jc w:val="center"/>
        <w:rPr>
          <w:rFonts w:ascii="Times New Roman" w:hAnsi="Times New Roman"/>
          <w:sz w:val="18"/>
          <w:szCs w:val="18"/>
          <w:shd w:val="clear" w:color="auto" w:fill="FFFFFF"/>
        </w:rPr>
      </w:pPr>
    </w:p>
    <w:p>
      <w:pPr>
        <w:pStyle w:val="5"/>
        <w:widowControl/>
        <w:ind w:right="75"/>
        <w:jc w:val="center"/>
        <w:rPr>
          <w:rFonts w:ascii="Times New Roman" w:hAnsi="Times New Roman"/>
          <w:sz w:val="18"/>
          <w:szCs w:val="18"/>
          <w:shd w:val="clear" w:color="auto" w:fill="FFFFFF"/>
        </w:rPr>
      </w:pPr>
    </w:p>
    <w:p>
      <w:pPr>
        <w:pStyle w:val="5"/>
        <w:widowControl/>
        <w:ind w:right="75"/>
        <w:jc w:val="center"/>
        <w:rPr>
          <w:rFonts w:ascii="Times New Roman" w:hAnsi="Times New Roman"/>
          <w:sz w:val="18"/>
          <w:szCs w:val="18"/>
          <w:shd w:val="clear" w:color="auto" w:fill="FFFFFF"/>
        </w:rPr>
      </w:pPr>
    </w:p>
    <w:p>
      <w:pPr>
        <w:pStyle w:val="5"/>
        <w:widowControl/>
        <w:ind w:right="75"/>
        <w:jc w:val="center"/>
        <w:rPr>
          <w:rFonts w:ascii="Times New Roman" w:hAnsi="Times New Roman"/>
        </w:rPr>
      </w:pPr>
    </w:p>
    <w:p>
      <w:pPr>
        <w:pStyle w:val="5"/>
        <w:widowControl/>
        <w:ind w:right="75"/>
        <w:jc w:val="center"/>
        <w:rPr>
          <w:rFonts w:hint="eastAsia" w:ascii="Times New Roman" w:hAnsi="Times New Roman"/>
        </w:rPr>
      </w:pPr>
    </w:p>
    <w:p>
      <w:pPr>
        <w:pStyle w:val="5"/>
        <w:widowControl/>
        <w:ind w:right="75"/>
        <w:jc w:val="center"/>
        <w:rPr>
          <w:rFonts w:hint="eastAsia" w:ascii="Times New Roman" w:hAnsi="Times New Roman"/>
        </w:rPr>
      </w:pPr>
    </w:p>
    <w:p>
      <w:pPr>
        <w:pStyle w:val="5"/>
        <w:widowControl/>
        <w:ind w:right="75"/>
        <w:jc w:val="center"/>
        <w:rPr>
          <w:rFonts w:hint="eastAsia" w:ascii="Times New Roman" w:hAnsi="Times New Roman"/>
        </w:rPr>
      </w:pPr>
    </w:p>
    <w:p>
      <w:pPr>
        <w:pStyle w:val="5"/>
        <w:widowControl/>
        <w:ind w:right="75"/>
        <w:jc w:val="center"/>
        <w:rPr>
          <w:rFonts w:hint="eastAsia" w:ascii="Times New Roman" w:hAnsi="Times New Roman"/>
        </w:rPr>
      </w:pPr>
    </w:p>
    <w:p>
      <w:pPr>
        <w:pStyle w:val="5"/>
        <w:widowControl/>
        <w:ind w:right="75"/>
        <w:jc w:val="center"/>
        <w:rPr>
          <w:rFonts w:hint="eastAsia" w:ascii="Times New Roman" w:hAnsi="Times New Roman"/>
        </w:rPr>
      </w:pPr>
    </w:p>
    <w:p>
      <w:pPr>
        <w:pStyle w:val="5"/>
        <w:widowControl/>
        <w:ind w:right="75"/>
        <w:jc w:val="center"/>
        <w:rPr>
          <w:rFonts w:hint="eastAsia" w:ascii="Times New Roman" w:hAnsi="Times New Roman"/>
        </w:rPr>
      </w:pPr>
    </w:p>
    <w:p>
      <w:pPr>
        <w:pStyle w:val="5"/>
        <w:widowControl/>
        <w:ind w:right="75"/>
        <w:jc w:val="center"/>
        <w:rPr>
          <w:rFonts w:hint="eastAsia" w:ascii="Times New Roman" w:hAnsi="Times New Roman"/>
        </w:rPr>
      </w:pPr>
    </w:p>
    <w:p>
      <w:pPr>
        <w:pStyle w:val="5"/>
        <w:widowControl/>
        <w:ind w:right="75"/>
        <w:jc w:val="center"/>
        <w:rPr>
          <w:rFonts w:hint="eastAsia" w:ascii="Times New Roman" w:hAnsi="Times New Roman"/>
        </w:rPr>
      </w:pPr>
    </w:p>
    <w:p>
      <w:pPr>
        <w:pStyle w:val="5"/>
        <w:widowControl/>
        <w:ind w:right="75"/>
        <w:jc w:val="center"/>
        <w:rPr>
          <w:rFonts w:hint="eastAsia" w:ascii="Times New Roman" w:hAnsi="Times New Roman"/>
        </w:rPr>
      </w:pPr>
    </w:p>
    <w:p>
      <w:pPr>
        <w:pStyle w:val="5"/>
        <w:widowControl/>
        <w:ind w:right="75"/>
        <w:jc w:val="center"/>
        <w:rPr>
          <w:rFonts w:hint="eastAsia" w:ascii="Times New Roman" w:hAnsi="Times New Roman"/>
        </w:rPr>
      </w:pPr>
    </w:p>
    <w:p>
      <w:pPr>
        <w:pStyle w:val="5"/>
        <w:widowControl/>
        <w:ind w:right="75"/>
        <w:jc w:val="center"/>
        <w:rPr>
          <w:rFonts w:hint="eastAsia" w:ascii="Times New Roman" w:hAnsi="Times New Roman"/>
        </w:rPr>
      </w:pPr>
    </w:p>
    <w:p>
      <w:pPr>
        <w:pStyle w:val="5"/>
        <w:widowControl/>
        <w:ind w:right="75"/>
        <w:jc w:val="center"/>
        <w:rPr>
          <w:rFonts w:hint="eastAsia" w:ascii="Times New Roman" w:hAnsi="Times New Roman"/>
        </w:rPr>
      </w:pPr>
    </w:p>
    <w:p>
      <w:pPr>
        <w:pStyle w:val="5"/>
        <w:widowControl/>
        <w:ind w:right="75"/>
        <w:jc w:val="center"/>
        <w:rPr>
          <w:rFonts w:hint="eastAsia" w:ascii="Times New Roman" w:hAnsi="Times New Roman"/>
        </w:rPr>
      </w:pPr>
    </w:p>
    <w:p>
      <w:pPr>
        <w:pStyle w:val="5"/>
        <w:widowControl/>
        <w:ind w:right="75"/>
        <w:jc w:val="center"/>
        <w:rPr>
          <w:rFonts w:hint="eastAsia" w:ascii="Times New Roman" w:hAnsi="Times New Roman"/>
        </w:rPr>
      </w:pPr>
    </w:p>
    <w:p>
      <w:pPr>
        <w:pStyle w:val="5"/>
        <w:widowControl/>
        <w:ind w:right="75"/>
        <w:jc w:val="center"/>
        <w:rPr>
          <w:rFonts w:hint="eastAsia" w:ascii="Times New Roman" w:hAnsi="Times New Roman"/>
        </w:rPr>
      </w:pPr>
    </w:p>
    <w:p>
      <w:pPr>
        <w:pStyle w:val="5"/>
        <w:widowControl/>
        <w:ind w:right="75"/>
        <w:jc w:val="center"/>
        <w:rPr>
          <w:rFonts w:hint="eastAsia" w:ascii="Times New Roman" w:hAnsi="Times New Roman"/>
        </w:rPr>
      </w:pPr>
    </w:p>
    <w:p>
      <w:pPr>
        <w:pStyle w:val="5"/>
        <w:widowControl/>
        <w:ind w:right="75"/>
        <w:jc w:val="center"/>
        <w:rPr>
          <w:rFonts w:ascii="Times New Roman" w:hAnsi="Times New Roman"/>
        </w:rPr>
      </w:pPr>
    </w:p>
    <w:p>
      <w:pPr>
        <w:pStyle w:val="5"/>
        <w:widowControl/>
        <w:ind w:right="75"/>
        <w:jc w:val="center"/>
        <w:rPr>
          <w:rFonts w:ascii="Times New Roman" w:hAnsi="Times New Roman"/>
        </w:rPr>
      </w:pPr>
    </w:p>
    <w:p>
      <w:pPr>
        <w:pStyle w:val="5"/>
        <w:widowControl/>
        <w:ind w:right="75"/>
        <w:jc w:val="center"/>
        <w:rPr>
          <w:rFonts w:ascii="Times New Roman" w:hAnsi="Times New Roman" w:eastAsia="方正小标宋_GBK"/>
          <w:bCs/>
          <w:sz w:val="44"/>
          <w:szCs w:val="44"/>
        </w:rPr>
      </w:pPr>
      <w:r>
        <w:rPr>
          <w:rFonts w:ascii="Times New Roman" w:hAnsi="Times New Roman" w:eastAsia="方正小标宋_GBK"/>
          <w:bCs/>
          <w:sz w:val="44"/>
          <w:szCs w:val="44"/>
          <w:shd w:val="clear" w:color="auto" w:fill="FFFFFF"/>
        </w:rPr>
        <w:t>第四部分</w:t>
      </w:r>
    </w:p>
    <w:p>
      <w:pPr>
        <w:pStyle w:val="5"/>
        <w:widowControl/>
        <w:ind w:right="75"/>
        <w:jc w:val="center"/>
        <w:rPr>
          <w:rFonts w:ascii="Times New Roman" w:hAnsi="Times New Roman" w:eastAsia="方正小标宋_GBK"/>
          <w:bCs/>
          <w:sz w:val="44"/>
          <w:szCs w:val="44"/>
        </w:rPr>
      </w:pPr>
      <w:r>
        <w:rPr>
          <w:rFonts w:ascii="Times New Roman" w:hAnsi="Times New Roman" w:eastAsia="方正小标宋_GBK"/>
          <w:bCs/>
          <w:sz w:val="44"/>
          <w:szCs w:val="44"/>
          <w:shd w:val="clear" w:color="auto" w:fill="FFFFFF"/>
        </w:rPr>
        <w:t> </w:t>
      </w:r>
    </w:p>
    <w:p>
      <w:pPr>
        <w:pStyle w:val="5"/>
        <w:widowControl/>
        <w:ind w:right="75"/>
        <w:jc w:val="center"/>
        <w:rPr>
          <w:rFonts w:ascii="Times New Roman" w:hAnsi="Times New Roman" w:eastAsia="方正小标宋_GBK"/>
          <w:bCs/>
          <w:sz w:val="44"/>
          <w:szCs w:val="44"/>
        </w:rPr>
      </w:pPr>
      <w:r>
        <w:rPr>
          <w:rFonts w:ascii="Times New Roman" w:hAnsi="Times New Roman" w:eastAsia="方正小标宋_GBK"/>
          <w:bCs/>
          <w:sz w:val="44"/>
          <w:szCs w:val="44"/>
          <w:shd w:val="clear" w:color="auto" w:fill="FFFFFF"/>
        </w:rPr>
        <w:t>名词解释</w:t>
      </w:r>
    </w:p>
    <w:p>
      <w:pPr>
        <w:pStyle w:val="5"/>
        <w:widowControl/>
        <w:ind w:right="75"/>
        <w:rPr>
          <w:rFonts w:ascii="Times New Roman" w:hAnsi="Times New Roman"/>
        </w:rPr>
      </w:pPr>
      <w:r>
        <w:rPr>
          <w:rFonts w:ascii="Times New Roman" w:hAnsi="Times New Roman"/>
          <w:sz w:val="18"/>
          <w:szCs w:val="18"/>
          <w:shd w:val="clear" w:color="auto" w:fill="FFFFFF"/>
        </w:rPr>
        <w:t> </w:t>
      </w:r>
    </w:p>
    <w:p>
      <w:pPr>
        <w:pStyle w:val="5"/>
        <w:widowControl/>
        <w:ind w:right="75"/>
        <w:rPr>
          <w:rFonts w:ascii="Times New Roman" w:hAnsi="Times New Roman"/>
          <w:sz w:val="18"/>
          <w:szCs w:val="18"/>
          <w:shd w:val="clear" w:color="auto" w:fill="FFFFFF"/>
        </w:rPr>
      </w:pPr>
      <w:r>
        <w:rPr>
          <w:rFonts w:ascii="Times New Roman" w:hAnsi="Times New Roman"/>
          <w:sz w:val="18"/>
          <w:szCs w:val="18"/>
          <w:shd w:val="clear" w:color="auto" w:fill="FFFFFF"/>
        </w:rPr>
        <w:t> </w:t>
      </w: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hint="eastAsia" w:ascii="Times New Roman" w:hAnsi="Times New Roman"/>
          <w:sz w:val="18"/>
          <w:szCs w:val="18"/>
          <w:shd w:val="clear" w:color="auto" w:fill="FFFFFF"/>
        </w:rPr>
      </w:pPr>
    </w:p>
    <w:p>
      <w:pPr>
        <w:pStyle w:val="5"/>
        <w:widowControl/>
        <w:ind w:right="75"/>
        <w:rPr>
          <w:rFonts w:hint="eastAsia"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sz w:val="18"/>
          <w:szCs w:val="18"/>
          <w:shd w:val="clear" w:color="auto" w:fill="FFFFFF"/>
        </w:rPr>
      </w:pPr>
    </w:p>
    <w:p>
      <w:pPr>
        <w:pStyle w:val="5"/>
        <w:widowControl/>
        <w:ind w:right="75"/>
        <w:rPr>
          <w:rFonts w:ascii="Times New Roman" w:hAnsi="Times New Roman"/>
        </w:rPr>
      </w:pPr>
    </w:p>
    <w:p>
      <w:pPr>
        <w:widowControl/>
        <w:shd w:val="clear" w:color="auto" w:fill="FFFFFF"/>
        <w:spacing w:line="600" w:lineRule="atLeast"/>
        <w:jc w:val="left"/>
        <w:textAlignment w:val="center"/>
        <w:rPr>
          <w:rFonts w:ascii="Times New Roman" w:hAnsi="Times New Roman" w:eastAsia="仿宋" w:cs="Times New Roman"/>
          <w:sz w:val="32"/>
        </w:rPr>
      </w:pPr>
      <w:r>
        <w:rPr>
          <w:rFonts w:ascii="Times New Roman" w:hAnsi="Times New Roman" w:eastAsia="楷体_GB2312" w:cs="Times New Roman"/>
          <w:b/>
          <w:bCs/>
          <w:color w:val="333333"/>
          <w:kern w:val="0"/>
          <w:sz w:val="32"/>
        </w:rPr>
        <w:t xml:space="preserve">   </w:t>
      </w:r>
      <w:r>
        <w:rPr>
          <w:rFonts w:ascii="Times New Roman" w:hAnsi="Times New Roman" w:eastAsia="楷体_GB2312" w:cs="Times New Roman"/>
          <w:color w:val="333333"/>
          <w:kern w:val="0"/>
          <w:sz w:val="32"/>
        </w:rPr>
        <w:t>（一）基本支出：</w:t>
      </w:r>
      <w:r>
        <w:rPr>
          <w:rFonts w:ascii="Times New Roman" w:hAnsi="Times New Roman" w:eastAsia="仿宋" w:cs="Times New Roman"/>
          <w:sz w:val="32"/>
        </w:rPr>
        <w:t>指单位为保障其机构正常运转、完成日常工作任务而发生的人员支出和公用支出。</w:t>
      </w:r>
    </w:p>
    <w:p>
      <w:pPr>
        <w:widowControl/>
        <w:shd w:val="clear" w:color="auto" w:fill="FFFFFF"/>
        <w:spacing w:line="600" w:lineRule="atLeast"/>
        <w:jc w:val="left"/>
        <w:textAlignment w:val="center"/>
        <w:rPr>
          <w:rFonts w:ascii="Times New Roman" w:hAnsi="Times New Roman" w:eastAsia="仿宋" w:cs="Times New Roman"/>
          <w:sz w:val="32"/>
        </w:rPr>
      </w:pPr>
      <w:r>
        <w:rPr>
          <w:rFonts w:ascii="Times New Roman" w:hAnsi="Times New Roman" w:eastAsia="楷体_GB2312" w:cs="Times New Roman"/>
          <w:b/>
          <w:bCs/>
          <w:color w:val="333333"/>
          <w:kern w:val="0"/>
          <w:sz w:val="32"/>
        </w:rPr>
        <w:t xml:space="preserve">   </w:t>
      </w:r>
      <w:r>
        <w:rPr>
          <w:rFonts w:ascii="Times New Roman" w:hAnsi="Times New Roman" w:eastAsia="楷体_GB2312" w:cs="Times New Roman"/>
          <w:color w:val="333333"/>
          <w:kern w:val="0"/>
          <w:sz w:val="32"/>
        </w:rPr>
        <w:t>（二）项目支出：</w:t>
      </w:r>
      <w:r>
        <w:rPr>
          <w:rFonts w:ascii="Times New Roman" w:hAnsi="Times New Roman" w:eastAsia="仿宋" w:cs="Times New Roman"/>
          <w:sz w:val="32"/>
        </w:rPr>
        <w:t>指单位为完成特定行政任务和事业发展目标在基本支出之外所发生的支出。</w:t>
      </w:r>
    </w:p>
    <w:p>
      <w:pPr>
        <w:spacing w:line="560" w:lineRule="exact"/>
        <w:rPr>
          <w:rFonts w:ascii="Times New Roman" w:hAnsi="Times New Roman" w:eastAsia="仿宋" w:cs="Times New Roman"/>
          <w:sz w:val="32"/>
        </w:rPr>
      </w:pPr>
      <w:r>
        <w:rPr>
          <w:rFonts w:ascii="Times New Roman" w:hAnsi="Times New Roman" w:eastAsia="楷体_GB2312" w:cs="Times New Roman"/>
          <w:color w:val="333333"/>
          <w:kern w:val="0"/>
          <w:sz w:val="32"/>
        </w:rPr>
        <w:t xml:space="preserve">   （三）机关运行经费：</w:t>
      </w:r>
      <w:r>
        <w:rPr>
          <w:rFonts w:ascii="Times New Roman" w:hAnsi="Times New Roman" w:eastAsia="仿宋" w:cs="Times New Roman"/>
          <w:sz w:val="32"/>
        </w:rPr>
        <w:t>为保障行政单位（包括参照公务员法管理的事业单位）运行，用当年财政拨款安排的用于购买货物和服务的各项资金，包括办公及印刷费、邮电费、差旅费、会议费、福利费、日常维修费、办公用房水电费、办公用房取暖费、办公用房物业管理费、公务用车运行维护费以及其他费用。</w:t>
      </w:r>
    </w:p>
    <w:p>
      <w:pPr>
        <w:spacing w:line="560" w:lineRule="exact"/>
        <w:rPr>
          <w:rFonts w:ascii="Times New Roman" w:hAnsi="Times New Roman" w:eastAsia="仿宋" w:cs="Times New Roman"/>
          <w:sz w:val="32"/>
        </w:rPr>
      </w:pPr>
      <w:r>
        <w:rPr>
          <w:rFonts w:ascii="Times New Roman" w:hAnsi="Times New Roman" w:eastAsia="楷体_GB2312" w:cs="Times New Roman"/>
          <w:color w:val="333333"/>
          <w:kern w:val="0"/>
          <w:sz w:val="32"/>
        </w:rPr>
        <w:t xml:space="preserve">   （四）“三公”经费：</w:t>
      </w:r>
      <w:r>
        <w:rPr>
          <w:rFonts w:ascii="Times New Roman" w:hAnsi="Times New Roman" w:eastAsia="仿宋" w:cs="Times New Roman"/>
          <w:sz w:val="32"/>
        </w:rPr>
        <w:t>纳入省财政预算管理的“三公”经费，是指用当年一般公共预算拨款安排的公务接待费、公务用车购置及运行维护费和因公出国（境）费。其中，公务接待费反映单位按规定开支的各类公务接待支出；公务用车购置及运行费反映单位公务用车车辆购置支出（含车辆购置税）及燃料费、维修费、保险费等支出；因公出国（境）费反映单位公务出国（境）的国际旅费、国外城市间交通费、住宿费等支出。</w:t>
      </w:r>
    </w:p>
    <w:p>
      <w:pPr>
        <w:spacing w:line="560" w:lineRule="exact"/>
        <w:rPr>
          <w:rFonts w:ascii="Times New Roman" w:hAnsi="Times New Roman" w:eastAsia="仿宋" w:cs="Times New Roman"/>
          <w:sz w:val="32"/>
        </w:rPr>
      </w:pPr>
      <w:r>
        <w:rPr>
          <w:rFonts w:ascii="Times New Roman" w:hAnsi="Times New Roman" w:eastAsia="仿宋" w:cs="Times New Roman"/>
          <w:sz w:val="32"/>
        </w:rPr>
        <w:t> </w:t>
      </w:r>
    </w:p>
    <w:p>
      <w:pPr>
        <w:pStyle w:val="5"/>
        <w:widowControl/>
        <w:ind w:right="75"/>
        <w:jc w:val="center"/>
        <w:rPr>
          <w:rFonts w:ascii="Times New Roman" w:hAnsi="Times New Roman"/>
        </w:rPr>
      </w:pPr>
      <w:r>
        <w:rPr>
          <w:rFonts w:ascii="Times New Roman" w:hAnsi="Times New Roman"/>
          <w:sz w:val="18"/>
          <w:szCs w:val="18"/>
          <w:shd w:val="clear" w:color="auto" w:fill="FFFFFF"/>
        </w:rPr>
        <w:t> </w:t>
      </w:r>
    </w:p>
    <w:p>
      <w:pPr>
        <w:pStyle w:val="5"/>
        <w:widowControl/>
        <w:ind w:right="75"/>
        <w:jc w:val="center"/>
        <w:rPr>
          <w:rFonts w:ascii="Times New Roman" w:hAnsi="Times New Roman"/>
        </w:rPr>
      </w:pPr>
      <w:r>
        <w:rPr>
          <w:rFonts w:ascii="Times New Roman" w:hAnsi="Times New Roman"/>
          <w:sz w:val="18"/>
          <w:szCs w:val="18"/>
          <w:shd w:val="clear" w:color="auto" w:fill="FFFFFF"/>
        </w:rPr>
        <w:t> </w:t>
      </w:r>
    </w:p>
    <w:p>
      <w:pPr>
        <w:pStyle w:val="5"/>
        <w:widowControl/>
        <w:ind w:right="75"/>
        <w:jc w:val="center"/>
        <w:rPr>
          <w:rFonts w:ascii="Times New Roman" w:hAnsi="Times New Roman"/>
        </w:rPr>
      </w:pPr>
      <w:r>
        <w:rPr>
          <w:rFonts w:ascii="Times New Roman" w:hAnsi="Times New Roman"/>
          <w:sz w:val="18"/>
          <w:szCs w:val="18"/>
          <w:shd w:val="clear" w:color="auto" w:fill="FFFFFF"/>
        </w:rPr>
        <w:t> </w:t>
      </w:r>
    </w:p>
    <w:p>
      <w:pPr>
        <w:pStyle w:val="5"/>
        <w:widowControl/>
        <w:ind w:right="75"/>
        <w:jc w:val="center"/>
        <w:rPr>
          <w:rFonts w:ascii="Times New Roman" w:hAnsi="Times New Roman"/>
          <w:sz w:val="18"/>
          <w:szCs w:val="18"/>
          <w:shd w:val="clear" w:color="auto" w:fill="FFFFFF"/>
        </w:rPr>
      </w:pPr>
    </w:p>
    <w:p>
      <w:pPr>
        <w:pStyle w:val="5"/>
        <w:widowControl/>
        <w:ind w:right="75"/>
        <w:jc w:val="center"/>
        <w:rPr>
          <w:rFonts w:ascii="Times New Roman" w:hAnsi="Times New Roman"/>
        </w:rPr>
      </w:pPr>
      <w:r>
        <w:rPr>
          <w:rFonts w:ascii="Times New Roman" w:hAnsi="Times New Roman"/>
          <w:sz w:val="18"/>
          <w:szCs w:val="18"/>
          <w:shd w:val="clear" w:color="auto" w:fill="FFFFFF"/>
        </w:rPr>
        <w:t> </w:t>
      </w:r>
    </w:p>
    <w:p>
      <w:pPr>
        <w:pStyle w:val="5"/>
        <w:widowControl/>
        <w:ind w:right="75"/>
        <w:jc w:val="center"/>
        <w:rPr>
          <w:rFonts w:ascii="Times New Roman" w:hAnsi="Times New Roman"/>
          <w:sz w:val="18"/>
          <w:szCs w:val="18"/>
          <w:shd w:val="clear" w:color="auto" w:fill="FFFFFF"/>
        </w:rPr>
      </w:pPr>
    </w:p>
    <w:p>
      <w:pPr>
        <w:pStyle w:val="5"/>
        <w:widowControl/>
        <w:ind w:right="75"/>
        <w:jc w:val="center"/>
        <w:rPr>
          <w:rFonts w:ascii="Times New Roman" w:hAnsi="Times New Roman"/>
          <w:sz w:val="18"/>
          <w:szCs w:val="18"/>
          <w:shd w:val="clear" w:color="auto" w:fill="FFFFFF"/>
        </w:rPr>
      </w:pPr>
    </w:p>
    <w:p>
      <w:pPr>
        <w:pStyle w:val="5"/>
        <w:widowControl/>
        <w:ind w:right="75"/>
        <w:jc w:val="center"/>
        <w:rPr>
          <w:rFonts w:ascii="Times New Roman" w:hAnsi="Times New Roman"/>
          <w:sz w:val="18"/>
          <w:szCs w:val="18"/>
          <w:shd w:val="clear" w:color="auto" w:fill="FFFFFF"/>
        </w:rPr>
      </w:pPr>
    </w:p>
    <w:p>
      <w:pPr>
        <w:pStyle w:val="5"/>
        <w:widowControl/>
        <w:ind w:right="75"/>
        <w:jc w:val="center"/>
        <w:rPr>
          <w:rFonts w:ascii="Times New Roman" w:hAnsi="Times New Roman"/>
          <w:sz w:val="18"/>
          <w:szCs w:val="18"/>
          <w:shd w:val="clear" w:color="auto" w:fill="FFFFFF"/>
        </w:rPr>
      </w:pPr>
    </w:p>
    <w:p>
      <w:pPr>
        <w:pStyle w:val="5"/>
        <w:widowControl/>
        <w:ind w:right="75"/>
        <w:jc w:val="center"/>
        <w:rPr>
          <w:rFonts w:ascii="Times New Roman" w:hAnsi="Times New Roman"/>
          <w:sz w:val="18"/>
          <w:szCs w:val="18"/>
          <w:shd w:val="clear" w:color="auto" w:fill="FFFFFF"/>
        </w:rPr>
      </w:pPr>
    </w:p>
    <w:p>
      <w:pPr>
        <w:pStyle w:val="5"/>
        <w:widowControl/>
        <w:ind w:right="75"/>
        <w:jc w:val="center"/>
        <w:rPr>
          <w:rFonts w:ascii="Times New Roman" w:hAnsi="Times New Roman"/>
          <w:sz w:val="18"/>
          <w:szCs w:val="18"/>
          <w:shd w:val="clear" w:color="auto" w:fill="FFFFFF"/>
        </w:rPr>
      </w:pPr>
    </w:p>
    <w:p>
      <w:pPr>
        <w:pStyle w:val="5"/>
        <w:widowControl/>
        <w:ind w:right="75"/>
        <w:jc w:val="center"/>
        <w:rPr>
          <w:rFonts w:ascii="Times New Roman" w:hAnsi="Times New Roman"/>
          <w:sz w:val="18"/>
          <w:szCs w:val="18"/>
          <w:shd w:val="clear" w:color="auto" w:fill="FFFFFF"/>
        </w:rPr>
      </w:pPr>
    </w:p>
    <w:p>
      <w:pPr>
        <w:pStyle w:val="5"/>
        <w:widowControl/>
        <w:ind w:right="75"/>
        <w:jc w:val="center"/>
        <w:rPr>
          <w:rFonts w:ascii="Times New Roman" w:hAnsi="Times New Roman" w:eastAsia="方正小标宋_GBK"/>
          <w:sz w:val="44"/>
          <w:szCs w:val="44"/>
        </w:rPr>
      </w:pPr>
      <w:r>
        <w:rPr>
          <w:rFonts w:ascii="Times New Roman" w:hAnsi="Times New Roman" w:eastAsia="方正小标宋_GBK"/>
          <w:sz w:val="44"/>
          <w:szCs w:val="44"/>
          <w:shd w:val="clear" w:color="auto" w:fill="FFFFFF"/>
        </w:rPr>
        <w:t> </w:t>
      </w:r>
    </w:p>
    <w:p>
      <w:pPr>
        <w:pStyle w:val="5"/>
        <w:widowControl/>
        <w:ind w:right="75"/>
        <w:jc w:val="center"/>
        <w:rPr>
          <w:rFonts w:ascii="Times New Roman" w:hAnsi="Times New Roman" w:eastAsia="方正小标宋_GBK"/>
          <w:sz w:val="44"/>
          <w:szCs w:val="44"/>
        </w:rPr>
      </w:pPr>
      <w:r>
        <w:rPr>
          <w:rFonts w:ascii="Times New Roman" w:hAnsi="Times New Roman" w:eastAsia="方正小标宋_GBK"/>
          <w:sz w:val="44"/>
          <w:szCs w:val="44"/>
          <w:shd w:val="clear" w:color="auto" w:fill="FFFFFF"/>
        </w:rPr>
        <w:t xml:space="preserve"> 第五部分</w:t>
      </w:r>
    </w:p>
    <w:p>
      <w:pPr>
        <w:pStyle w:val="5"/>
        <w:widowControl/>
        <w:ind w:right="75"/>
        <w:jc w:val="center"/>
        <w:rPr>
          <w:rFonts w:ascii="Times New Roman" w:hAnsi="Times New Roman" w:eastAsia="方正小标宋_GBK"/>
          <w:sz w:val="44"/>
          <w:szCs w:val="44"/>
          <w:shd w:val="clear" w:color="auto" w:fill="FFFFFF"/>
        </w:rPr>
      </w:pPr>
      <w:r>
        <w:rPr>
          <w:rFonts w:ascii="Times New Roman" w:hAnsi="Times New Roman" w:eastAsia="方正小标宋_GBK"/>
          <w:sz w:val="44"/>
          <w:szCs w:val="44"/>
          <w:shd w:val="clear" w:color="auto" w:fill="FFFFFF"/>
        </w:rPr>
        <w:t> 附  件</w:t>
      </w:r>
    </w:p>
    <w:p>
      <w:pPr>
        <w:pStyle w:val="5"/>
        <w:widowControl/>
        <w:ind w:right="75"/>
        <w:jc w:val="center"/>
        <w:rPr>
          <w:rFonts w:ascii="Times New Roman" w:hAnsi="Times New Roman"/>
          <w:sz w:val="18"/>
          <w:szCs w:val="18"/>
          <w:shd w:val="clear" w:color="auto" w:fill="FFFFFF"/>
        </w:rPr>
      </w:pPr>
    </w:p>
    <w:p>
      <w:pPr>
        <w:pStyle w:val="5"/>
        <w:widowControl/>
        <w:ind w:right="75"/>
        <w:jc w:val="center"/>
        <w:rPr>
          <w:rFonts w:ascii="Times New Roman" w:hAnsi="Times New Roman"/>
          <w:sz w:val="18"/>
          <w:szCs w:val="18"/>
          <w:shd w:val="clear" w:color="auto" w:fill="FFFFFF"/>
        </w:rPr>
      </w:pPr>
    </w:p>
    <w:p>
      <w:pPr>
        <w:pStyle w:val="5"/>
        <w:widowControl/>
        <w:ind w:right="75"/>
        <w:jc w:val="center"/>
        <w:rPr>
          <w:rFonts w:ascii="Times New Roman" w:hAnsi="Times New Roman"/>
          <w:sz w:val="18"/>
          <w:szCs w:val="18"/>
          <w:shd w:val="clear" w:color="auto" w:fill="FFFFFF"/>
        </w:rPr>
      </w:pPr>
    </w:p>
    <w:p>
      <w:pPr>
        <w:pStyle w:val="5"/>
        <w:widowControl/>
        <w:ind w:right="75"/>
        <w:jc w:val="center"/>
        <w:rPr>
          <w:rFonts w:ascii="Times New Roman" w:hAnsi="Times New Roman"/>
          <w:sz w:val="18"/>
          <w:szCs w:val="18"/>
          <w:shd w:val="clear" w:color="auto" w:fill="FFFFFF"/>
        </w:rPr>
      </w:pPr>
    </w:p>
    <w:p>
      <w:pPr>
        <w:pStyle w:val="5"/>
        <w:widowControl/>
        <w:ind w:right="75"/>
        <w:jc w:val="center"/>
        <w:rPr>
          <w:rFonts w:ascii="Times New Roman" w:hAnsi="Times New Roman"/>
          <w:sz w:val="18"/>
          <w:szCs w:val="18"/>
          <w:shd w:val="clear" w:color="auto" w:fill="FFFFFF"/>
        </w:rPr>
      </w:pPr>
    </w:p>
    <w:p>
      <w:pPr>
        <w:pStyle w:val="5"/>
        <w:widowControl/>
        <w:ind w:right="75"/>
        <w:jc w:val="center"/>
        <w:rPr>
          <w:rFonts w:ascii="Times New Roman" w:hAnsi="Times New Roman"/>
          <w:sz w:val="18"/>
          <w:szCs w:val="18"/>
          <w:shd w:val="clear" w:color="auto" w:fill="FFFFFF"/>
        </w:rPr>
      </w:pPr>
    </w:p>
    <w:p>
      <w:pPr>
        <w:pStyle w:val="5"/>
        <w:widowControl/>
        <w:ind w:right="75"/>
        <w:jc w:val="center"/>
        <w:rPr>
          <w:rFonts w:ascii="Times New Roman" w:hAnsi="Times New Roman"/>
          <w:sz w:val="18"/>
          <w:szCs w:val="18"/>
          <w:shd w:val="clear" w:color="auto" w:fill="FFFFFF"/>
        </w:rPr>
      </w:pPr>
    </w:p>
    <w:p>
      <w:pPr>
        <w:pStyle w:val="5"/>
        <w:widowControl/>
        <w:ind w:right="75"/>
        <w:jc w:val="center"/>
        <w:rPr>
          <w:rFonts w:ascii="Times New Roman" w:hAnsi="Times New Roman"/>
          <w:sz w:val="18"/>
          <w:szCs w:val="18"/>
          <w:shd w:val="clear" w:color="auto" w:fill="FFFFFF"/>
        </w:rPr>
      </w:pPr>
    </w:p>
    <w:p>
      <w:pPr>
        <w:pStyle w:val="5"/>
        <w:widowControl/>
        <w:ind w:right="75"/>
        <w:jc w:val="center"/>
        <w:rPr>
          <w:rFonts w:ascii="Times New Roman" w:hAnsi="Times New Roman"/>
          <w:sz w:val="18"/>
          <w:szCs w:val="18"/>
          <w:shd w:val="clear" w:color="auto" w:fill="FFFFFF"/>
        </w:rPr>
      </w:pPr>
    </w:p>
    <w:p>
      <w:pPr>
        <w:pStyle w:val="5"/>
        <w:widowControl/>
        <w:ind w:right="75"/>
        <w:jc w:val="center"/>
        <w:rPr>
          <w:rFonts w:ascii="Times New Roman" w:hAnsi="Times New Roman"/>
          <w:sz w:val="18"/>
          <w:szCs w:val="18"/>
          <w:shd w:val="clear" w:color="auto" w:fill="FFFFFF"/>
        </w:rPr>
      </w:pPr>
    </w:p>
    <w:p>
      <w:pPr>
        <w:pStyle w:val="5"/>
        <w:widowControl/>
        <w:ind w:right="75"/>
        <w:jc w:val="both"/>
        <w:rPr>
          <w:rFonts w:ascii="Times New Roman" w:hAnsi="Times New Roman"/>
        </w:rPr>
      </w:pPr>
      <w:r>
        <w:rPr>
          <w:rFonts w:ascii="Times New Roman" w:hAnsi="Times New Roman"/>
          <w:sz w:val="18"/>
          <w:szCs w:val="18"/>
          <w:shd w:val="clear" w:color="auto" w:fill="FFFFFF"/>
        </w:rPr>
        <w:t> </w:t>
      </w:r>
    </w:p>
    <w:p>
      <w:pPr>
        <w:pStyle w:val="5"/>
        <w:widowControl/>
        <w:ind w:right="75"/>
        <w:jc w:val="center"/>
        <w:rPr>
          <w:rFonts w:ascii="Times New Roman" w:hAnsi="Times New Roman" w:eastAsia="方正小标宋_GBK"/>
          <w:bCs/>
          <w:sz w:val="44"/>
          <w:szCs w:val="44"/>
        </w:rPr>
      </w:pPr>
      <w:r>
        <w:rPr>
          <w:rStyle w:val="9"/>
          <w:rFonts w:ascii="Times New Roman" w:hAnsi="Times New Roman" w:eastAsia="方正小标宋_GBK"/>
          <w:b w:val="0"/>
          <w:bCs/>
          <w:sz w:val="44"/>
          <w:szCs w:val="44"/>
          <w:shd w:val="clear" w:color="auto" w:fill="FFFFFF"/>
        </w:rPr>
        <w:t>2020年度部门整体支出绩效评价报告</w:t>
      </w:r>
    </w:p>
    <w:p>
      <w:pPr>
        <w:rPr>
          <w:rFonts w:ascii="Times New Roman" w:hAnsi="Times New Roman" w:eastAsia="楷体" w:cs="Times New Roman"/>
          <w:b/>
          <w:kern w:val="0"/>
          <w:sz w:val="32"/>
          <w:szCs w:val="32"/>
          <w:shd w:val="clear" w:color="auto" w:fill="FFFFFF"/>
        </w:rPr>
      </w:pPr>
      <w:r>
        <w:rPr>
          <w:rFonts w:ascii="Times New Roman" w:hAnsi="Times New Roman" w:cs="Times New Roman"/>
          <w:b/>
          <w:bCs/>
          <w:sz w:val="32"/>
          <w:szCs w:val="32"/>
        </w:rPr>
        <w:t xml:space="preserve">  </w:t>
      </w:r>
      <w:r>
        <w:rPr>
          <w:rFonts w:ascii="Times New Roman" w:hAnsi="Times New Roman" w:eastAsia="黑体" w:cs="Times New Roman"/>
          <w:kern w:val="0"/>
          <w:sz w:val="32"/>
          <w:szCs w:val="32"/>
          <w:shd w:val="clear" w:color="auto" w:fill="FFFFFF"/>
        </w:rPr>
        <w:t xml:space="preserve">   一、部门概况</w:t>
      </w:r>
    </w:p>
    <w:p>
      <w:pPr>
        <w:rPr>
          <w:rFonts w:ascii="Times New Roman" w:hAnsi="Times New Roman" w:eastAsia="楷体" w:cs="Times New Roman"/>
          <w:sz w:val="32"/>
        </w:rPr>
      </w:pPr>
      <w:r>
        <w:rPr>
          <w:rFonts w:ascii="Times New Roman" w:hAnsi="Times New Roman" w:eastAsia="楷体" w:cs="Times New Roman"/>
          <w:sz w:val="32"/>
        </w:rPr>
        <w:t xml:space="preserve">    (一)部门基本情况</w:t>
      </w:r>
    </w:p>
    <w:p>
      <w:pPr>
        <w:rPr>
          <w:rFonts w:ascii="Times New Roman" w:hAnsi="Times New Roman" w:eastAsia="仿宋" w:cs="Times New Roman"/>
          <w:sz w:val="32"/>
        </w:rPr>
      </w:pPr>
      <w:r>
        <w:rPr>
          <w:rFonts w:ascii="Times New Roman" w:hAnsi="Times New Roman" w:eastAsia="仿宋" w:cs="Times New Roman"/>
          <w:sz w:val="32"/>
        </w:rPr>
        <w:t xml:space="preserve">    机构设置：长沙市地方志编纂室为长沙市人民政府直属正县级事业单位，内设机构级别按长编办发﹝2013﹞156号文件确定。内设机构4个：综合处、市志处、年鉴处（加挂《长沙年鉴》编辑部）、业务指导处。</w:t>
      </w:r>
    </w:p>
    <w:p>
      <w:pPr>
        <w:rPr>
          <w:rFonts w:ascii="Times New Roman" w:hAnsi="Times New Roman" w:eastAsia="仿宋" w:cs="Times New Roman"/>
          <w:sz w:val="32"/>
        </w:rPr>
      </w:pPr>
      <w:r>
        <w:rPr>
          <w:rFonts w:ascii="Times New Roman" w:hAnsi="Times New Roman" w:eastAsia="仿宋" w:cs="Times New Roman"/>
          <w:sz w:val="32"/>
        </w:rPr>
        <w:t xml:space="preserve">    在职人员情况：长沙市地方志编纂室全额拨款事业编制为23名（含离退休人员管理服务编制1名、机关后勤服务事业编制2名）。其中主任1名，副主任2名，处长领导职数5名（含机关党总支部专职副书记1名），副处长领导职数4名。长沙市地方志编纂室参照《中华人民共和国公务员法》管理。单位实有在职人员为23人：正处级1人、副处级6人、正科级8人、副科级6人、工勤人员2人。离休干部2人，退休干部15人。全办在职及离退休人员共40人。聘用制初级雇员10名，中级雇员5名。</w:t>
      </w:r>
    </w:p>
    <w:p>
      <w:pPr>
        <w:rPr>
          <w:rFonts w:ascii="Times New Roman" w:hAnsi="Times New Roman" w:eastAsia="仿宋" w:cs="Times New Roman"/>
          <w:sz w:val="32"/>
        </w:rPr>
      </w:pPr>
      <w:r>
        <w:rPr>
          <w:rFonts w:ascii="Times New Roman" w:hAnsi="Times New Roman" w:eastAsia="仿宋" w:cs="Times New Roman"/>
          <w:sz w:val="32"/>
        </w:rPr>
        <w:t xml:space="preserve">    本单位车辆编制数为2台，实有小车2台。</w:t>
      </w:r>
    </w:p>
    <w:p>
      <w:pPr>
        <w:rPr>
          <w:rFonts w:ascii="Times New Roman" w:hAnsi="Times New Roman" w:eastAsia="楷体" w:cs="Times New Roman"/>
          <w:sz w:val="32"/>
        </w:rPr>
      </w:pPr>
      <w:r>
        <w:rPr>
          <w:rFonts w:ascii="Times New Roman" w:hAnsi="Times New Roman" w:eastAsia="楷体" w:cs="Times New Roman"/>
          <w:sz w:val="32"/>
        </w:rPr>
        <w:t xml:space="preserve">   （二）主要职能</w:t>
      </w:r>
    </w:p>
    <w:p>
      <w:pPr>
        <w:rPr>
          <w:rFonts w:ascii="Times New Roman" w:hAnsi="Times New Roman" w:eastAsia="仿宋" w:cs="Times New Roman"/>
          <w:sz w:val="32"/>
        </w:rPr>
      </w:pPr>
      <w:r>
        <w:rPr>
          <w:rFonts w:ascii="Times New Roman" w:hAnsi="Times New Roman" w:eastAsia="仿宋" w:cs="Times New Roman"/>
          <w:sz w:val="32"/>
        </w:rPr>
        <w:t xml:space="preserve">    1.贯彻执行国务院《地方志工作条例》《湖南省实施&lt;地方志工作条例&gt;办法》，拟定长沙市地方志的编修工作政策和规定。</w:t>
      </w:r>
    </w:p>
    <w:p>
      <w:pPr>
        <w:rPr>
          <w:rFonts w:ascii="Times New Roman" w:hAnsi="Times New Roman" w:eastAsia="仿宋" w:cs="Times New Roman"/>
          <w:sz w:val="32"/>
        </w:rPr>
      </w:pPr>
      <w:r>
        <w:rPr>
          <w:rFonts w:ascii="Times New Roman" w:hAnsi="Times New Roman" w:eastAsia="仿宋" w:cs="Times New Roman"/>
          <w:sz w:val="32"/>
        </w:rPr>
        <w:t xml:space="preserve">    2.拟定长沙市地方志工作规划、组织协调、督促指导全市的地方志工作。</w:t>
      </w:r>
    </w:p>
    <w:p>
      <w:pPr>
        <w:rPr>
          <w:rFonts w:ascii="Times New Roman" w:hAnsi="Times New Roman" w:eastAsia="仿宋" w:cs="Times New Roman"/>
          <w:sz w:val="32"/>
        </w:rPr>
      </w:pPr>
      <w:r>
        <w:rPr>
          <w:rFonts w:ascii="Times New Roman" w:hAnsi="Times New Roman" w:eastAsia="仿宋" w:cs="Times New Roman"/>
          <w:sz w:val="32"/>
        </w:rPr>
        <w:t xml:space="preserve">    3.在市委领导，市人民政府主持下，组织有关专家编修《长沙市志》、部门志、专业志及市志丛书，并负责其发行工作。</w:t>
      </w:r>
    </w:p>
    <w:p>
      <w:pPr>
        <w:rPr>
          <w:rFonts w:ascii="Times New Roman" w:hAnsi="Times New Roman" w:eastAsia="仿宋" w:cs="Times New Roman"/>
          <w:sz w:val="32"/>
        </w:rPr>
      </w:pPr>
      <w:r>
        <w:rPr>
          <w:rFonts w:ascii="Times New Roman" w:hAnsi="Times New Roman" w:eastAsia="仿宋" w:cs="Times New Roman"/>
          <w:sz w:val="32"/>
        </w:rPr>
        <w:t xml:space="preserve">    4.组织编纂地方综合年鉴，指导各区、县（市）的年鉴编纂工作，编辑、出版、发行《长沙年鉴》，开展地方综合年鉴的理论研讨。</w:t>
      </w:r>
    </w:p>
    <w:p>
      <w:pPr>
        <w:rPr>
          <w:rFonts w:ascii="Times New Roman" w:hAnsi="Times New Roman" w:eastAsia="仿宋" w:cs="Times New Roman"/>
          <w:sz w:val="32"/>
        </w:rPr>
      </w:pPr>
      <w:r>
        <w:rPr>
          <w:rFonts w:ascii="Times New Roman" w:hAnsi="Times New Roman" w:eastAsia="仿宋" w:cs="Times New Roman"/>
          <w:sz w:val="32"/>
        </w:rPr>
        <w:t xml:space="preserve">    5.负责对各部门和各区、县（市）的修志工作进行督查和业务指导；建设地方志资料库和地方志网站，推动地方志工作的信息化建设；合理开发利用地方志资源。</w:t>
      </w:r>
    </w:p>
    <w:p>
      <w:pPr>
        <w:rPr>
          <w:rFonts w:ascii="Times New Roman" w:hAnsi="Times New Roman" w:eastAsia="仿宋" w:cs="Times New Roman"/>
          <w:sz w:val="32"/>
        </w:rPr>
      </w:pPr>
      <w:r>
        <w:rPr>
          <w:rFonts w:ascii="Times New Roman" w:hAnsi="Times New Roman" w:eastAsia="仿宋" w:cs="Times New Roman"/>
          <w:sz w:val="32"/>
        </w:rPr>
        <w:t xml:space="preserve">    6.收集、整理、保存和研究长沙地方文献和市情资料，组织整理旧志，推动地方志理论研究。</w:t>
      </w:r>
    </w:p>
    <w:p>
      <w:pPr>
        <w:rPr>
          <w:rFonts w:ascii="Times New Roman" w:hAnsi="Times New Roman" w:eastAsia="仿宋" w:cs="Times New Roman"/>
          <w:sz w:val="32"/>
        </w:rPr>
      </w:pPr>
      <w:r>
        <w:rPr>
          <w:rFonts w:ascii="Times New Roman" w:hAnsi="Times New Roman" w:eastAsia="仿宋" w:cs="Times New Roman"/>
          <w:sz w:val="32"/>
        </w:rPr>
        <w:t xml:space="preserve">    7.组织修志编撰人员的业务培训；组织对地方志稿的评审、出版、评奖；负责开展全市读志、用志工作。</w:t>
      </w:r>
    </w:p>
    <w:p>
      <w:pPr>
        <w:rPr>
          <w:rFonts w:ascii="Times New Roman" w:hAnsi="Times New Roman" w:eastAsia="仿宋" w:cs="Times New Roman"/>
          <w:sz w:val="32"/>
        </w:rPr>
      </w:pPr>
      <w:r>
        <w:rPr>
          <w:rFonts w:ascii="Times New Roman" w:hAnsi="Times New Roman" w:eastAsia="仿宋" w:cs="Times New Roman"/>
          <w:sz w:val="32"/>
        </w:rPr>
        <w:t xml:space="preserve">    8.承办市委、市人民政府和上级主管部门交办的其他事项。</w:t>
      </w:r>
    </w:p>
    <w:p>
      <w:pPr>
        <w:rPr>
          <w:rFonts w:ascii="Times New Roman" w:hAnsi="Times New Roman" w:eastAsia="楷体" w:cs="Times New Roman"/>
          <w:sz w:val="32"/>
        </w:rPr>
      </w:pPr>
      <w:r>
        <w:rPr>
          <w:rFonts w:ascii="Times New Roman" w:hAnsi="Times New Roman" w:eastAsia="楷体" w:cs="Times New Roman"/>
          <w:sz w:val="32"/>
        </w:rPr>
        <w:t xml:space="preserve">   （三）重点工作计划</w:t>
      </w:r>
    </w:p>
    <w:p>
      <w:pPr>
        <w:rPr>
          <w:rFonts w:ascii="Times New Roman" w:hAnsi="Times New Roman" w:eastAsia="仿宋" w:cs="Times New Roman"/>
          <w:sz w:val="32"/>
        </w:rPr>
      </w:pPr>
      <w:r>
        <w:rPr>
          <w:rFonts w:ascii="Times New Roman" w:hAnsi="Times New Roman" w:eastAsia="仿宋" w:cs="Times New Roman"/>
          <w:sz w:val="32"/>
        </w:rPr>
        <w:t xml:space="preserve">    1.深入学习贯彻习近平新时代中国特色社会主义思想和十九大、</w:t>
      </w:r>
      <w:r>
        <w:rPr>
          <w:rFonts w:hint="eastAsia" w:ascii="Times New Roman" w:hAnsi="Times New Roman" w:eastAsia="仿宋" w:cs="Times New Roman"/>
          <w:sz w:val="32"/>
          <w:lang w:eastAsia="zh-CN"/>
        </w:rPr>
        <w:t>党的十九届四中全会精神</w:t>
      </w:r>
      <w:r>
        <w:rPr>
          <w:rFonts w:ascii="Times New Roman" w:hAnsi="Times New Roman" w:eastAsia="仿宋" w:cs="Times New Roman"/>
          <w:sz w:val="32"/>
        </w:rPr>
        <w:t>，将习近平总书记关于编史修志的重要指示与地方志事业发展有机结合，推动地方志事业建功新时代。</w:t>
      </w:r>
    </w:p>
    <w:p>
      <w:pPr>
        <w:rPr>
          <w:rFonts w:ascii="Times New Roman" w:hAnsi="Times New Roman" w:eastAsia="仿宋" w:cs="Times New Roman"/>
          <w:sz w:val="32"/>
        </w:rPr>
      </w:pPr>
      <w:r>
        <w:rPr>
          <w:rFonts w:ascii="Times New Roman" w:hAnsi="Times New Roman" w:eastAsia="仿宋" w:cs="Times New Roman"/>
          <w:sz w:val="32"/>
        </w:rPr>
        <w:t xml:space="preserve">    2.围绕“全面建设现代化长沙”提供地方志服务。收集整理有关文献资料，推动长沙历史文化创造性转化和创新性发展。</w:t>
      </w:r>
    </w:p>
    <w:p>
      <w:pPr>
        <w:rPr>
          <w:rFonts w:ascii="Times New Roman" w:hAnsi="Times New Roman" w:eastAsia="仿宋" w:cs="Times New Roman"/>
          <w:sz w:val="32"/>
        </w:rPr>
      </w:pPr>
      <w:r>
        <w:rPr>
          <w:rFonts w:ascii="Times New Roman" w:hAnsi="Times New Roman" w:eastAsia="仿宋" w:cs="Times New Roman"/>
          <w:sz w:val="32"/>
        </w:rPr>
        <w:t xml:space="preserve">    3.长沙市志第二轮修编工作。完成《长沙市志（1988－2012）》总纂，召开省级评审会，年底前完成出版前的工作。</w:t>
      </w:r>
    </w:p>
    <w:p>
      <w:pPr>
        <w:rPr>
          <w:rFonts w:ascii="Times New Roman" w:hAnsi="Times New Roman" w:eastAsia="仿宋" w:cs="Times New Roman"/>
          <w:sz w:val="32"/>
        </w:rPr>
      </w:pPr>
      <w:r>
        <w:rPr>
          <w:rFonts w:ascii="Times New Roman" w:hAnsi="Times New Roman" w:eastAsia="仿宋" w:cs="Times New Roman"/>
          <w:sz w:val="32"/>
        </w:rPr>
        <w:t xml:space="preserve">    4.编辑出版《长沙年鉴（2020卷）》。做好年鉴组稿、编辑、出版、赠阅、交换工作；开展《长沙年鉴》2020年度人物、年度事件评选活动，传播正能量；完成《中国地方志年鉴》《湖南年鉴》组稿任务。</w:t>
      </w:r>
    </w:p>
    <w:p>
      <w:pPr>
        <w:rPr>
          <w:rFonts w:ascii="Times New Roman" w:hAnsi="Times New Roman" w:eastAsia="仿宋" w:cs="Times New Roman"/>
          <w:sz w:val="32"/>
        </w:rPr>
      </w:pPr>
      <w:r>
        <w:rPr>
          <w:rFonts w:ascii="Times New Roman" w:hAnsi="Times New Roman" w:eastAsia="仿宋" w:cs="Times New Roman"/>
          <w:sz w:val="32"/>
        </w:rPr>
        <w:t xml:space="preserve">    5.提升地方志资料年报工作水平。广泛收集反映全市改革、发展、稳定成就的资料，完成2019年度全市地方志年报收集整理工作。</w:t>
      </w:r>
    </w:p>
    <w:p>
      <w:pPr>
        <w:rPr>
          <w:rFonts w:ascii="Times New Roman" w:hAnsi="Times New Roman" w:eastAsia="仿宋" w:cs="Times New Roman"/>
          <w:sz w:val="32"/>
        </w:rPr>
      </w:pPr>
      <w:r>
        <w:rPr>
          <w:rFonts w:ascii="Times New Roman" w:hAnsi="Times New Roman" w:eastAsia="仿宋" w:cs="Times New Roman"/>
          <w:sz w:val="32"/>
        </w:rPr>
        <w:t xml:space="preserve">    6.推动全市省级以上开发区志出版，做好开发区图志编纂工作。</w:t>
      </w:r>
    </w:p>
    <w:p>
      <w:pPr>
        <w:rPr>
          <w:rFonts w:ascii="Times New Roman" w:hAnsi="Times New Roman" w:eastAsia="仿宋" w:cs="Times New Roman"/>
          <w:sz w:val="32"/>
        </w:rPr>
      </w:pPr>
      <w:r>
        <w:rPr>
          <w:rFonts w:ascii="Times New Roman" w:hAnsi="Times New Roman" w:eastAsia="仿宋" w:cs="Times New Roman"/>
          <w:sz w:val="32"/>
        </w:rPr>
        <w:t xml:space="preserve">    7.指导基层修志编鉴。指导开福区完成第二轮志书出版；出版《湖南乡镇（街道）简志·长沙卷》；督促指导岳麓山风景名胜区管理局、沩山风景名胜区开发管委会修志工作；推动长沙市名镇名村志文化工程。</w:t>
      </w:r>
    </w:p>
    <w:p>
      <w:pPr>
        <w:rPr>
          <w:rFonts w:ascii="Times New Roman" w:hAnsi="Times New Roman" w:eastAsia="仿宋" w:cs="Times New Roman"/>
          <w:sz w:val="32"/>
        </w:rPr>
      </w:pPr>
      <w:r>
        <w:rPr>
          <w:rFonts w:ascii="Times New Roman" w:hAnsi="Times New Roman" w:eastAsia="仿宋" w:cs="Times New Roman"/>
          <w:sz w:val="32"/>
        </w:rPr>
        <w:t xml:space="preserve">    8.努力推进地方志工作法制化进程，贯彻落实《地方志工作条例》和全国、长沙市《纲要》及省、市《意见》，继续抓好区县（市）综合年鉴“一年一鉴，公开出版”全覆盖。</w:t>
      </w:r>
    </w:p>
    <w:p>
      <w:pPr>
        <w:rPr>
          <w:rFonts w:ascii="Times New Roman" w:hAnsi="Times New Roman" w:eastAsia="仿宋" w:cs="Times New Roman"/>
          <w:sz w:val="32"/>
        </w:rPr>
      </w:pPr>
      <w:r>
        <w:rPr>
          <w:rFonts w:ascii="Times New Roman" w:hAnsi="Times New Roman" w:eastAsia="仿宋" w:cs="Times New Roman"/>
          <w:sz w:val="32"/>
        </w:rPr>
        <w:t xml:space="preserve">    9.组织开展地方志业务培训。</w:t>
      </w:r>
    </w:p>
    <w:p>
      <w:pPr>
        <w:rPr>
          <w:rFonts w:ascii="Times New Roman" w:hAnsi="Times New Roman" w:eastAsia="仿宋" w:cs="Times New Roman"/>
          <w:sz w:val="32"/>
        </w:rPr>
      </w:pPr>
      <w:r>
        <w:rPr>
          <w:rFonts w:ascii="Times New Roman" w:hAnsi="Times New Roman" w:eastAsia="仿宋" w:cs="Times New Roman"/>
          <w:sz w:val="32"/>
        </w:rPr>
        <w:t xml:space="preserve">    10.推进“长沙文库”编纂。积极向市政府申报《长沙文库》项目立项，同步开展编纂前期工作。</w:t>
      </w:r>
    </w:p>
    <w:p>
      <w:pPr>
        <w:rPr>
          <w:rFonts w:ascii="Times New Roman" w:hAnsi="Times New Roman" w:eastAsia="仿宋" w:cs="Times New Roman"/>
          <w:sz w:val="32"/>
        </w:rPr>
      </w:pPr>
      <w:r>
        <w:rPr>
          <w:rFonts w:ascii="Times New Roman" w:hAnsi="Times New Roman" w:eastAsia="仿宋" w:cs="Times New Roman"/>
          <w:sz w:val="32"/>
        </w:rPr>
        <w:t xml:space="preserve">    11.积极推进国家方志馆近代人物分馆（加挂长沙方志馆牌子）立项的前期工作。</w:t>
      </w:r>
    </w:p>
    <w:p>
      <w:pPr>
        <w:rPr>
          <w:rFonts w:ascii="Times New Roman" w:hAnsi="Times New Roman" w:eastAsia="仿宋" w:cs="Times New Roman"/>
          <w:sz w:val="32"/>
        </w:rPr>
      </w:pPr>
      <w:r>
        <w:rPr>
          <w:rFonts w:ascii="Times New Roman" w:hAnsi="Times New Roman" w:eastAsia="仿宋" w:cs="Times New Roman"/>
          <w:sz w:val="32"/>
        </w:rPr>
        <w:t xml:space="preserve">    12.开展地方志文化“六进”活动。拓展地方志文化“六进”活动新方式和新渠道，开展地方志文化“六进”活动。</w:t>
      </w:r>
    </w:p>
    <w:p>
      <w:pPr>
        <w:rPr>
          <w:rFonts w:ascii="Times New Roman" w:hAnsi="Times New Roman" w:eastAsia="仿宋" w:cs="Times New Roman"/>
          <w:sz w:val="32"/>
        </w:rPr>
      </w:pPr>
      <w:r>
        <w:rPr>
          <w:rFonts w:ascii="Times New Roman" w:hAnsi="Times New Roman" w:eastAsia="仿宋" w:cs="Times New Roman"/>
          <w:sz w:val="32"/>
        </w:rPr>
        <w:t xml:space="preserve">    13.开展地方志理论研究。继续编辑出版《长沙史志》期刊，积极向中指办、省志委及全国地方志期刊推介地方志编纂和理论研究成果。</w:t>
      </w:r>
    </w:p>
    <w:p>
      <w:pPr>
        <w:rPr>
          <w:rFonts w:ascii="Times New Roman" w:hAnsi="Times New Roman" w:eastAsia="仿宋" w:cs="Times New Roman"/>
          <w:sz w:val="32"/>
        </w:rPr>
      </w:pPr>
      <w:r>
        <w:rPr>
          <w:rFonts w:ascii="Times New Roman" w:hAnsi="Times New Roman" w:eastAsia="仿宋" w:cs="Times New Roman"/>
          <w:sz w:val="32"/>
        </w:rPr>
        <w:t xml:space="preserve">    14.落实全面从严治党主体责任，进一步加强党风廉政建设。定期研究、部署、检查全面从严治党、反腐败工作、意识形态工作和综合治理工作。深入各类政治学习，提升全办干部职工廉洁自律的自觉性和履职尽责的担当精神。</w:t>
      </w:r>
    </w:p>
    <w:p>
      <w:pPr>
        <w:rPr>
          <w:rFonts w:ascii="Times New Roman" w:hAnsi="Times New Roman" w:eastAsia="仿宋" w:cs="Times New Roman"/>
          <w:sz w:val="32"/>
        </w:rPr>
      </w:pPr>
      <w:r>
        <w:rPr>
          <w:rFonts w:ascii="Times New Roman" w:hAnsi="Times New Roman" w:eastAsia="仿宋" w:cs="Times New Roman"/>
          <w:sz w:val="32"/>
        </w:rPr>
        <w:t xml:space="preserve">    15.做好办公室日常工作。按照市委市政府的有关要求，做好办公室日常工作，包括基层党建、组织人事、机关管理、后勤保障、老干关协、青年妇女等各项工作。</w:t>
      </w:r>
    </w:p>
    <w:p>
      <w:pPr>
        <w:rPr>
          <w:rFonts w:ascii="Times New Roman" w:hAnsi="Times New Roman" w:eastAsia="黑体" w:cs="Times New Roman"/>
          <w:kern w:val="0"/>
          <w:sz w:val="32"/>
          <w:szCs w:val="32"/>
          <w:shd w:val="clear" w:color="auto" w:fill="FFFFFF"/>
        </w:rPr>
      </w:pPr>
      <w:r>
        <w:rPr>
          <w:rFonts w:ascii="Times New Roman" w:hAnsi="Times New Roman" w:eastAsia="黑体" w:cs="Times New Roman"/>
          <w:kern w:val="0"/>
          <w:sz w:val="32"/>
          <w:szCs w:val="32"/>
          <w:shd w:val="clear" w:color="auto" w:fill="FFFFFF"/>
        </w:rPr>
        <w:t xml:space="preserve">    二、部门整体支出管理及使用情况</w:t>
      </w:r>
    </w:p>
    <w:p>
      <w:pPr>
        <w:rPr>
          <w:rFonts w:ascii="Times New Roman" w:hAnsi="Times New Roman" w:eastAsia="仿宋" w:cs="Times New Roman"/>
          <w:sz w:val="32"/>
        </w:rPr>
      </w:pPr>
      <w:r>
        <w:rPr>
          <w:rFonts w:ascii="Times New Roman" w:hAnsi="Times New Roman" w:eastAsia="仿宋" w:cs="Times New Roman"/>
          <w:sz w:val="32"/>
        </w:rPr>
        <w:t xml:space="preserve">    2020年年初市本级部门批复预算为1086.76万元，其中，基本支出784.9万元，经常性业务专项301.86万元：1.基本支出：2020年初预算数为784.9万元，是指为保障单位机构正常运转、完成日常工作任务而发生的各项支出，包括用于基本工资、津贴补贴等人员经费685.27万元以及办公费、工会经费、其他交通费、印刷费、邮电费等日常公用经费99.63万元。2.项目支出：2020年年初预算数为301.86万元，是指单位为完成特定行政工作任务或事业发展目标而发生的支出，包括有关事业发展专项、专项业务费等。其中：市志资料年报工作专项经费支出13.68万元，志鉴编撰经费支出180.18万元，新增《长沙市志（1988-2012）》和《湖南乡镇简志·长沙市卷》印刷出版工作的专项经费108万元。项目经费主要用于第二轮长沙市志编纂工作,《长沙年鉴（2020）》的编辑出版工作,《长沙年鉴》年度人物、年度事件评选工作,地方志年报资料收集、审核、存档，指导督查全市修志工作、指导特色志、乡镇简志编纂修工作，《长沙市志（1988-2012）》出版和《湖南乡镇简志·长沙市卷》印刷出版工作，《长沙史志》的编辑出版工作，《长沙文库》的编辑出版工作，长沙方志网及方志长沙微信公众号的运行维护工作等方面。</w:t>
      </w:r>
    </w:p>
    <w:p>
      <w:pPr>
        <w:rPr>
          <w:rFonts w:ascii="Times New Roman" w:hAnsi="Times New Roman" w:eastAsia="仿宋" w:cs="Times New Roman"/>
          <w:sz w:val="32"/>
        </w:rPr>
      </w:pPr>
      <w:r>
        <w:rPr>
          <w:rFonts w:ascii="Times New Roman" w:hAnsi="Times New Roman" w:eastAsia="仿宋" w:cs="Times New Roman"/>
          <w:sz w:val="32"/>
        </w:rPr>
        <w:t xml:space="preserve">    2020年度收入决算数为1241.34万元，支出决算数为1241.49万元,年初结转和结余为4279.13元，年末结转和结余为2811.73元，收入决算总数为1241.77万元，支出决算总数为1241.77万元。收入决算数比年初预算数多154.58万元，主要是追加了新进人员的工资奖金、公用经费，在职人员的奖金、社保基数调增、公积金基数调增等人员经费。支出决算数比年初预算数多154.73万元，其中基本支出年初预算数为784.9万元,决算数为952.12万元,比年初预算数多了167.22万元,主要是：追加了新进人员的工资奖金、公用经费，在职人员的奖金、社保基数调增、公积金基数调增等人员经费。项目支出年初预算数301.86万元,决算数289.37万元,比年初预算减少了12.49万元,主要原因是2020年度新冠疫情影响，“三公”经费支出大幅度减少。年末结转和结余数比年初结转和结余数减少1467.4元，主要原因是2020年度我室清理了长期挂账的往来账。</w:t>
      </w:r>
    </w:p>
    <w:p>
      <w:pPr>
        <w:rPr>
          <w:rFonts w:ascii="Times New Roman" w:hAnsi="Times New Roman" w:eastAsia="楷体" w:cs="Times New Roman"/>
          <w:sz w:val="32"/>
        </w:rPr>
      </w:pPr>
      <w:r>
        <w:rPr>
          <w:rFonts w:ascii="Times New Roman" w:hAnsi="Times New Roman" w:eastAsia="楷体" w:cs="Times New Roman"/>
          <w:sz w:val="32"/>
        </w:rPr>
        <w:t xml:space="preserve">   （一）基本支出</w:t>
      </w:r>
    </w:p>
    <w:p>
      <w:pPr>
        <w:rPr>
          <w:rFonts w:ascii="Times New Roman" w:hAnsi="Times New Roman" w:eastAsia="仿宋" w:cs="Times New Roman"/>
          <w:sz w:val="32"/>
        </w:rPr>
      </w:pPr>
      <w:r>
        <w:rPr>
          <w:rFonts w:ascii="Times New Roman" w:hAnsi="Times New Roman" w:eastAsia="仿宋" w:cs="Times New Roman"/>
          <w:sz w:val="32"/>
        </w:rPr>
        <w:t xml:space="preserve">    基本支出用于为保障机构正常运转、完成日常工作任务而发生的支出，包括人员经费（含工资福利支出与对个人和家庭的补助）和商品和服务支出。基本支出年初预算数为784.9万元,包括用于基本工资、津贴补贴等人员经费685.27万元以及办公费、工会经费、其他交通费等日常公用经费99.63万元。决算数为952.12万元,包括用于基本工资、津贴补贴等人员经费849.59万元以及办公费、工会经费、其他交通费等日常公用经费102.53万元。决算数比年初预算数多了167.22万元,主要是：追加了新进人员的工资奖金、公用经费，在职人员的奖金、社保基数调增、公积金基数调增等人员经费。</w:t>
      </w:r>
    </w:p>
    <w:p>
      <w:pPr>
        <w:rPr>
          <w:rFonts w:ascii="Times New Roman" w:hAnsi="Times New Roman" w:eastAsia="仿宋" w:cs="Times New Roman"/>
          <w:sz w:val="32"/>
        </w:rPr>
      </w:pPr>
      <w:r>
        <w:rPr>
          <w:rFonts w:ascii="Times New Roman" w:hAnsi="Times New Roman" w:eastAsia="仿宋" w:cs="Times New Roman"/>
          <w:sz w:val="32"/>
        </w:rPr>
        <w:t xml:space="preserve">    在编职工和政府雇员严格按照市编办核定人数和市人社局审核的工资福利标准进行统发，临聘人员按照市编办核定人数和市财政规定工资福利标准进行统发，所有人员社保金额按照市人社局和财政局统一规定进行缴纳，商品和服务支出按照财政采购相关规定执行，资金使用规范，符合国家财经法规和财务管理制度规定，资金的拨付履行了完整的审批程序和手续，资金使用基本符合部门预算批复的用途。</w:t>
      </w:r>
    </w:p>
    <w:p>
      <w:pPr>
        <w:rPr>
          <w:rFonts w:ascii="Times New Roman" w:hAnsi="Times New Roman" w:eastAsia="仿宋" w:cs="Times New Roman"/>
          <w:sz w:val="32"/>
        </w:rPr>
      </w:pPr>
      <w:r>
        <w:rPr>
          <w:rFonts w:ascii="Times New Roman" w:hAnsi="Times New Roman" w:eastAsia="仿宋" w:cs="Times New Roman"/>
          <w:sz w:val="32"/>
        </w:rPr>
        <w:t>“三公”经费支出：2020年的“三公”经费批复预算为15万元，其中公务接待费4万元、公务用车购置及运行维护费8万元、因公出国（境）费3万元。2020年决算支出“三公”经费为3.55万元，较年初预算节约11.45万元，节约比为76.33%，控制率为23.67%。其中公务接待费0.56万元、公务用车运行维护费2.99万元（全年没有车辆购置费用）、因公出国（境）0万元。我办严格加强“三公”经费控制，厉行节约，使用规范，按季度进行公开公示，自觉接受监督。“三公”经费控制率为23.67%，节约76.33%，“三公”经费预算变动率为0%，支出额度较上年度略有下降。其中：1.公务接待费：全年国内公务接待共6批次,接待33人次。2020年初批复预算公务接待费4万元，全年决算支出公务接待费0.56万元，较年初预算节约3.44万元，节约比为86%，控制率为14%,公务接待费决算支出较2019年减少1.05万元,下降65.21%,原因是2020年新冠疫情影响，接待工作大幅度减少。2.公务用车购置及运行维护费 ：2020年初批复预算公务用车购置及运行维护费8万元，2020年部门实有机要通信车辆2辆，全年没有车辆购置费用，全年决算支出公务车运行维护费为2.99万元，较年初预算节约5.01万元，节约比为62.6%，控制率为37.4%，公务用车运行维护费决算支出较2019年减少0.13万元,下降4.1%,主要原因是加强了公车使用管理,车辆运行经费减少且2020年我室清理了往来账，抵消了一部分公车运行维护费。3.因公出国（境）费：2020年初批复因公出国（境）费3万元，全年决算支出因公出国（境）费0万元，节约比为100%，决算数小于年初预算数的主要原因是2020年新冠疫情影响。</w:t>
      </w:r>
    </w:p>
    <w:p>
      <w:pPr>
        <w:rPr>
          <w:rFonts w:ascii="Times New Roman" w:hAnsi="Times New Roman" w:eastAsia="仿宋" w:cs="Times New Roman"/>
          <w:b/>
          <w:sz w:val="32"/>
        </w:rPr>
      </w:pPr>
      <w:r>
        <w:rPr>
          <w:rFonts w:ascii="Times New Roman" w:hAnsi="Times New Roman" w:eastAsia="仿宋" w:cs="Times New Roman"/>
          <w:sz w:val="32"/>
        </w:rPr>
        <w:t xml:space="preserve"> </w:t>
      </w:r>
      <w:r>
        <w:rPr>
          <w:rFonts w:ascii="Times New Roman" w:hAnsi="Times New Roman" w:eastAsia="楷体" w:cs="Times New Roman"/>
          <w:sz w:val="32"/>
        </w:rPr>
        <w:t xml:space="preserve">  （二）项目支出</w:t>
      </w:r>
    </w:p>
    <w:p>
      <w:pPr>
        <w:rPr>
          <w:rFonts w:ascii="Times New Roman" w:hAnsi="Times New Roman" w:eastAsia="仿宋" w:cs="Times New Roman"/>
          <w:sz w:val="32"/>
        </w:rPr>
      </w:pPr>
      <w:r>
        <w:rPr>
          <w:rFonts w:ascii="Times New Roman" w:hAnsi="Times New Roman" w:eastAsia="仿宋" w:cs="Times New Roman"/>
          <w:sz w:val="32"/>
        </w:rPr>
        <w:t xml:space="preserve">    项目支出是指单位为完成特定行政工作任务或事业发展目标而发生的支出，包括有关事业发展专项、专项业务费等。</w:t>
      </w:r>
    </w:p>
    <w:p>
      <w:pPr>
        <w:rPr>
          <w:rFonts w:ascii="Times New Roman" w:hAnsi="Times New Roman" w:eastAsia="仿宋" w:cs="Times New Roman"/>
          <w:sz w:val="32"/>
        </w:rPr>
      </w:pPr>
      <w:r>
        <w:rPr>
          <w:rFonts w:ascii="Times New Roman" w:hAnsi="Times New Roman" w:eastAsia="仿宋" w:cs="Times New Roman"/>
          <w:sz w:val="32"/>
        </w:rPr>
        <w:t xml:space="preserve">    1.2020年长沙市地方志编纂室3个部门项目年初预算数为301.86万元，全部为财政拨款，其中：市志资料年报工作专项经费支出预算13.68万元，志鉴编撰专项经费支出预算180.18万元，新增《长沙市志（1988-2012）》和《湖南乡镇简志•长沙市卷》印刷出版工作的专项经费108万元。</w:t>
      </w:r>
    </w:p>
    <w:p>
      <w:pPr>
        <w:rPr>
          <w:rFonts w:ascii="Times New Roman" w:hAnsi="Times New Roman" w:eastAsia="仿宋" w:cs="Times New Roman"/>
          <w:sz w:val="32"/>
        </w:rPr>
      </w:pPr>
      <w:r>
        <w:rPr>
          <w:rFonts w:ascii="Times New Roman" w:hAnsi="Times New Roman" w:eastAsia="仿宋" w:cs="Times New Roman"/>
          <w:sz w:val="32"/>
        </w:rPr>
        <w:t>市志资料年报工作专项主要是地方志年报资料收集、审核、存档，指导督查全市修志工作、指导特色志、乡镇简志编纂修工作，面向全市140多家单位收集地方志资料年报，对13个园区及开福区进行指导督查，对市本级及9个区县（市）宣传地方志文化，对全市呈报人员进行业务培训约180人次。市志资料年报工作专项项目经费预算主要包含：地方志资料年报稿酬约5万余元，全市修志指导及督查工作经费约2万元，地方志文化宣传工作经费约0.5万元，培训经费约3万元。</w:t>
      </w:r>
    </w:p>
    <w:p>
      <w:pPr>
        <w:rPr>
          <w:rFonts w:ascii="Times New Roman" w:hAnsi="Times New Roman" w:eastAsia="仿宋" w:cs="Times New Roman"/>
          <w:sz w:val="32"/>
        </w:rPr>
      </w:pPr>
      <w:r>
        <w:rPr>
          <w:rFonts w:ascii="Times New Roman" w:hAnsi="Times New Roman" w:eastAsia="仿宋" w:cs="Times New Roman"/>
          <w:sz w:val="32"/>
        </w:rPr>
        <w:t xml:space="preserve">    志鉴编撰专项主要包含《长沙年鉴（2020）》组稿、编辑和出版，《长沙年鉴》2019年度人物、年度事件评选活动，《长沙市志》第二轮修订分志稿编辑、审阅、验收 ，召开《长沙市志》评审会，《长沙史志》两期出版，编辑出版地方志衍生品，方志网建设及运营维护。志鉴编撰专项经费预算主要包含：《长沙年鉴（2020）》印刷费约18.8万元、出版管理费约10万元、稿费约11万元，《长沙年鉴》年度人物、年度事件评选活动经费2万元，《长沙市志》分志稿稿酬18万元、评审会会务费约15万元，评审费约10万，评审稿印刷费约12万，《长沙史志》两期出版印刷费约3万，《刘崐与晚清著名历史人物》《菁莪乐育——湖南育才学校百年风云人物散记》两本书籍出版费用约30万元，方志网建设及运营维护5万元。</w:t>
      </w:r>
    </w:p>
    <w:p>
      <w:pPr>
        <w:rPr>
          <w:rFonts w:ascii="Times New Roman" w:hAnsi="Times New Roman" w:eastAsia="仿宋" w:cs="Times New Roman"/>
          <w:sz w:val="32"/>
        </w:rPr>
      </w:pPr>
      <w:r>
        <w:rPr>
          <w:rFonts w:ascii="Times New Roman" w:hAnsi="Times New Roman" w:eastAsia="仿宋" w:cs="Times New Roman"/>
          <w:sz w:val="32"/>
        </w:rPr>
        <w:t xml:space="preserve">   《长沙市志（1988-2012）》和《湖南乡镇简志•长沙市卷》印刷出版工作专项主要包含《长沙市志（1988-2012）》出版管理工作，《湖南乡镇简志•长沙市卷》印刷出版工作。《长沙市志（1988-2012）》出版管理工作预算经费48万元，《湖南乡镇简志•长沙市卷》印刷出版工作预算经费60万元。</w:t>
      </w:r>
    </w:p>
    <w:p>
      <w:pPr>
        <w:rPr>
          <w:rFonts w:ascii="Times New Roman" w:hAnsi="Times New Roman" w:eastAsia="仿宋" w:cs="Times New Roman"/>
          <w:sz w:val="32"/>
        </w:rPr>
      </w:pPr>
      <w:r>
        <w:rPr>
          <w:rFonts w:ascii="Times New Roman" w:hAnsi="Times New Roman" w:eastAsia="仿宋" w:cs="Times New Roman"/>
          <w:sz w:val="32"/>
        </w:rPr>
        <w:t xml:space="preserve">    2. 2020年3个部门项目支出年末决算数为289.37万元，年末决算数比年初预算减少了12.49万元，其减少原因是2020年度新冠疫情影响，志鉴编纂经费专项中的“三公”经费、差旅费、培训费、会议费支出大幅度减少。</w:t>
      </w:r>
    </w:p>
    <w:p>
      <w:pPr>
        <w:rPr>
          <w:rFonts w:ascii="Times New Roman" w:hAnsi="Times New Roman" w:eastAsia="仿宋" w:cs="Times New Roman"/>
          <w:sz w:val="32"/>
        </w:rPr>
      </w:pPr>
      <w:r>
        <w:rPr>
          <w:rFonts w:ascii="Times New Roman" w:hAnsi="Times New Roman" w:eastAsia="仿宋" w:cs="Times New Roman"/>
          <w:sz w:val="32"/>
        </w:rPr>
        <w:t xml:space="preserve">    市志资料年报工作专项完成2020年度地方志资料年报稿件验收工作，支付地方志资料年报稿酬约2万元（剩余稿费2021年支付），开展地方志文化宣传活动，支付地方志文化宣传工作经费约0.5万元，因2020年度新冠疫情影响，全市地方志工作业务培训会取消。</w:t>
      </w:r>
    </w:p>
    <w:p>
      <w:pPr>
        <w:rPr>
          <w:rFonts w:ascii="Times New Roman" w:hAnsi="Times New Roman" w:eastAsia="仿宋" w:cs="Times New Roman"/>
          <w:sz w:val="32"/>
        </w:rPr>
      </w:pPr>
      <w:r>
        <w:rPr>
          <w:rFonts w:ascii="Times New Roman" w:hAnsi="Times New Roman" w:eastAsia="仿宋" w:cs="Times New Roman"/>
          <w:sz w:val="32"/>
        </w:rPr>
        <w:t xml:space="preserve">    志鉴编撰专项完成了《长沙年鉴（2020）》组稿、编辑和出版，支付精品年鉴出版管理费10.45万元、年鉴手机版“掌上长沙”设计制作费2.3万元、专家评审费约3.2万元、地图制作费0.6万元、印刷费16.87万元、稿费约11.7万元，完成《长沙年鉴》2019年度人物、年度事件评选活动，支付活动经费约1万元，完成《长沙市志》分志稿验收，支付稿酬8.5万元、评审费6.8万元，完成《长沙史志》2020年上下两期出版，支付印刷费2.95万元，完成《刘崐与晚清著名历史人物》《菁莪乐育——湖南育才学校百年风云人物散记》出版服务采购共24.8万元,按工作进度支付。</w:t>
      </w:r>
    </w:p>
    <w:p>
      <w:pPr>
        <w:rPr>
          <w:rFonts w:ascii="Times New Roman" w:hAnsi="Times New Roman" w:eastAsia="仿宋" w:cs="Times New Roman"/>
          <w:sz w:val="32"/>
        </w:rPr>
      </w:pPr>
      <w:r>
        <w:rPr>
          <w:rFonts w:ascii="Times New Roman" w:hAnsi="Times New Roman" w:eastAsia="仿宋" w:cs="Times New Roman"/>
          <w:sz w:val="32"/>
        </w:rPr>
        <w:t>《长沙市志（1988-2012）》和《湖南乡镇简志•长沙市卷》印刷出版工作专项完成了《长沙市志（1988-2012）》出版管理服务采购共48.9万元，完成《湖南乡镇简志•长沙市卷》印刷出版工作共38.8万元。</w:t>
      </w:r>
    </w:p>
    <w:p>
      <w:pPr>
        <w:rPr>
          <w:rFonts w:ascii="Times New Roman" w:hAnsi="Times New Roman" w:eastAsia="黑体" w:cs="Times New Roman"/>
          <w:kern w:val="0"/>
          <w:sz w:val="32"/>
          <w:szCs w:val="32"/>
          <w:shd w:val="clear" w:color="auto" w:fill="FFFFFF"/>
        </w:rPr>
      </w:pPr>
      <w:r>
        <w:rPr>
          <w:rFonts w:ascii="Times New Roman" w:hAnsi="Times New Roman" w:eastAsia="黑体" w:cs="Times New Roman"/>
          <w:kern w:val="0"/>
          <w:sz w:val="32"/>
          <w:szCs w:val="32"/>
          <w:shd w:val="clear" w:color="auto" w:fill="FFFFFF"/>
        </w:rPr>
        <w:t xml:space="preserve">    三、部门项目组织实施情况</w:t>
      </w:r>
    </w:p>
    <w:p>
      <w:pPr>
        <w:rPr>
          <w:rFonts w:ascii="Times New Roman" w:hAnsi="Times New Roman" w:eastAsia="仿宋" w:cs="Times New Roman"/>
          <w:sz w:val="32"/>
        </w:rPr>
      </w:pPr>
      <w:r>
        <w:rPr>
          <w:rFonts w:ascii="Times New Roman" w:hAnsi="Times New Roman" w:eastAsia="仿宋" w:cs="Times New Roman"/>
          <w:sz w:val="32"/>
        </w:rPr>
        <w:t xml:space="preserve">    2020年，我室结合全市工作要点和重点工作部署对部门项目预算资金进行综合辅排、合理编制了全年用款计划，完善了单位的专项资金管理制度，严格遵循专项资金支出相关要求，未挤占截留挪用专项资金，做到专款专用，确保资金使用效率最大化。并且，我室按照财政要求认真组织了整体支出绩效自评，各项目资金使用单位根据实际情况提交了自评报告。</w:t>
      </w:r>
    </w:p>
    <w:p>
      <w:pPr>
        <w:rPr>
          <w:rFonts w:ascii="Times New Roman" w:hAnsi="Times New Roman" w:eastAsia="仿宋" w:cs="Times New Roman"/>
          <w:sz w:val="32"/>
        </w:rPr>
      </w:pPr>
      <w:r>
        <w:rPr>
          <w:rFonts w:ascii="Times New Roman" w:hAnsi="Times New Roman" w:eastAsia="仿宋" w:cs="Times New Roman"/>
          <w:sz w:val="32"/>
        </w:rPr>
        <w:t xml:space="preserve">   （一）2020年我室根据部门项目实施进度情况和需求，涉及到政府采购项目，均通过市政府采购部门审批，走政府采购程序或招标程序，没有违规违纪的现象发生。</w:t>
      </w:r>
    </w:p>
    <w:p>
      <w:pPr>
        <w:ind w:firstLine="640" w:firstLineChars="200"/>
        <w:rPr>
          <w:rFonts w:ascii="Times New Roman" w:hAnsi="Times New Roman" w:eastAsia="仿宋" w:cs="Times New Roman"/>
          <w:sz w:val="32"/>
        </w:rPr>
      </w:pPr>
      <w:r>
        <w:rPr>
          <w:rFonts w:ascii="Times New Roman" w:hAnsi="Times New Roman" w:eastAsia="仿宋" w:cs="Times New Roman"/>
          <w:sz w:val="32"/>
        </w:rPr>
        <w:t>根据项目性质和金额大小，对《湖南乡镇简志 长沙市卷》印刷服务采购项目、《长沙市志（1988－2012）》排版设计服务采购项目和长沙市地方志编纂室“中国近代人物研究成果出版”采购项目采取了竞争性谈判的政府采购方式，《长沙年鉴》（2020卷）设计制作服务采购项目采取了竞争性磋商的政府采购方式。</w:t>
      </w:r>
    </w:p>
    <w:p>
      <w:pPr>
        <w:rPr>
          <w:rFonts w:ascii="Times New Roman" w:hAnsi="Times New Roman" w:eastAsia="仿宋" w:cs="Times New Roman"/>
          <w:sz w:val="32"/>
        </w:rPr>
      </w:pPr>
      <w:r>
        <w:rPr>
          <w:rFonts w:ascii="Times New Roman" w:hAnsi="Times New Roman" w:eastAsia="仿宋" w:cs="Times New Roman"/>
          <w:sz w:val="32"/>
        </w:rPr>
        <w:t xml:space="preserve">   《湖南乡镇简志 长沙市卷》印刷服务采购项目报价59.5万元，通过竞争性谈判的方式，最终以38.8万元的价格成交，并于2020年10月通过验收，完成《湖南乡镇简志 长沙市卷》印刷工作。</w:t>
      </w:r>
    </w:p>
    <w:p>
      <w:pPr>
        <w:rPr>
          <w:rFonts w:ascii="Times New Roman" w:hAnsi="Times New Roman" w:eastAsia="仿宋" w:cs="Times New Roman"/>
          <w:sz w:val="32"/>
        </w:rPr>
      </w:pPr>
      <w:r>
        <w:rPr>
          <w:rFonts w:ascii="Times New Roman" w:hAnsi="Times New Roman" w:eastAsia="仿宋" w:cs="Times New Roman"/>
          <w:sz w:val="32"/>
        </w:rPr>
        <w:t xml:space="preserve">   《长沙市志（1988－2012）》排版设计服务采购项目报价24.5万元，通过竞争性谈判的方式，最终以22.7万元的价格成交，合同的支付进度于工作完成进度一致。</w:t>
      </w:r>
    </w:p>
    <w:p>
      <w:pPr>
        <w:rPr>
          <w:rFonts w:ascii="Times New Roman" w:hAnsi="Times New Roman" w:eastAsia="仿宋" w:cs="Times New Roman"/>
          <w:sz w:val="32"/>
        </w:rPr>
      </w:pPr>
      <w:r>
        <w:rPr>
          <w:rFonts w:ascii="Times New Roman" w:hAnsi="Times New Roman" w:eastAsia="仿宋" w:cs="Times New Roman"/>
          <w:sz w:val="32"/>
        </w:rPr>
        <w:t>长沙市地方志编纂室“中国近代人物研究成果出版”采购项目报价25.1万元，通过竞争性谈判的方式，最终以,24.8万元的价格成交，合同的支付进度于工作完成进度一致。</w:t>
      </w:r>
    </w:p>
    <w:p>
      <w:pPr>
        <w:rPr>
          <w:rFonts w:ascii="Times New Roman" w:hAnsi="Times New Roman" w:eastAsia="仿宋" w:cs="Times New Roman"/>
          <w:sz w:val="32"/>
        </w:rPr>
      </w:pPr>
      <w:r>
        <w:rPr>
          <w:rFonts w:ascii="Times New Roman" w:hAnsi="Times New Roman" w:eastAsia="仿宋" w:cs="Times New Roman"/>
          <w:sz w:val="32"/>
        </w:rPr>
        <w:t>《长沙年鉴》（2020卷）设计制作服务采购项目报价18.8万元，通过竞争性磋商的方式，最终确定供应商，并以18.75万元的价格成交，合同的支付进度于工作完成进度一致。</w:t>
      </w:r>
    </w:p>
    <w:p>
      <w:pPr>
        <w:rPr>
          <w:rFonts w:ascii="Times New Roman" w:hAnsi="Times New Roman" w:eastAsia="仿宋" w:cs="Times New Roman"/>
          <w:sz w:val="32"/>
        </w:rPr>
      </w:pPr>
      <w:bookmarkStart w:id="0" w:name="_bookmark21"/>
      <w:bookmarkEnd w:id="0"/>
      <w:r>
        <w:rPr>
          <w:rFonts w:ascii="Times New Roman" w:hAnsi="Times New Roman" w:eastAsia="仿宋" w:cs="Times New Roman"/>
          <w:sz w:val="32"/>
        </w:rPr>
        <w:t>  （二）我室专项资金严格按照《行政单位会计制度》等国家财经制度和会计法规、以及长沙市财政的相关财经制度和本单位制定的财务管理制度进行审批支付，并对五万元以上支出实行“三重一大”审批制度。对采购事项严格按照政府采购的相关规定办理，保证了项目资金的合理利用。项目在实施前，对于各相关专项业务所开展的活动、会议、专项业务工作都实行先进行事项和经费预算的审批，并由综合处对涉及的采购事项严格把关，严格按照政府采购相关规定办理。</w:t>
      </w:r>
    </w:p>
    <w:p>
      <w:pPr>
        <w:rPr>
          <w:rFonts w:ascii="Times New Roman" w:hAnsi="Times New Roman" w:eastAsia="仿宋" w:cs="Times New Roman"/>
          <w:sz w:val="32"/>
        </w:rPr>
      </w:pPr>
      <w:r>
        <w:rPr>
          <w:rFonts w:ascii="Times New Roman" w:hAnsi="Times New Roman" w:eastAsia="仿宋" w:cs="Times New Roman"/>
          <w:sz w:val="32"/>
        </w:rPr>
        <w:t xml:space="preserve">    我室为加强部门项目资金的管理，建立并完善了政府采购内控制度、资产管理内控制度、合同管理内控制度、财务管理制度、专项资金管理制度。杜绝截留、挤占、挪用项目资金；违反规定转拨、转移专项资金等情况发生。</w:t>
      </w:r>
    </w:p>
    <w:p>
      <w:pPr>
        <w:rPr>
          <w:rFonts w:ascii="Times New Roman" w:hAnsi="Times New Roman" w:eastAsia="仿宋" w:cs="Times New Roman"/>
          <w:sz w:val="32"/>
        </w:rPr>
      </w:pPr>
      <w:r>
        <w:rPr>
          <w:rFonts w:ascii="Times New Roman" w:hAnsi="Times New Roman" w:eastAsia="仿宋" w:cs="Times New Roman"/>
          <w:sz w:val="32"/>
        </w:rPr>
        <w:t>为提高项目资金的使用效率，我室建立项目资金月计划申报机制和项目资金使用情况季报机制，提高了各项目实施处室的工作效率和资金使用率。</w:t>
      </w:r>
    </w:p>
    <w:p>
      <w:pPr>
        <w:rPr>
          <w:rFonts w:ascii="Times New Roman" w:hAnsi="Times New Roman" w:eastAsia="黑体" w:cs="Times New Roman"/>
          <w:kern w:val="0"/>
          <w:sz w:val="32"/>
          <w:szCs w:val="32"/>
          <w:shd w:val="clear" w:color="auto" w:fill="FFFFFF"/>
        </w:rPr>
      </w:pPr>
      <w:r>
        <w:rPr>
          <w:rFonts w:ascii="Times New Roman" w:hAnsi="Times New Roman" w:eastAsia="黑体" w:cs="Times New Roman"/>
          <w:kern w:val="0"/>
          <w:sz w:val="32"/>
          <w:szCs w:val="32"/>
          <w:shd w:val="clear" w:color="auto" w:fill="FFFFFF"/>
        </w:rPr>
        <w:t>    四、资产管理情况</w:t>
      </w:r>
    </w:p>
    <w:p>
      <w:pPr>
        <w:rPr>
          <w:rFonts w:ascii="Times New Roman" w:hAnsi="Times New Roman" w:eastAsia="仿宋" w:cs="Times New Roman"/>
          <w:sz w:val="32"/>
        </w:rPr>
      </w:pPr>
      <w:r>
        <w:rPr>
          <w:rFonts w:ascii="Times New Roman" w:hAnsi="Times New Roman" w:eastAsia="仿宋" w:cs="Times New Roman"/>
          <w:sz w:val="32"/>
        </w:rPr>
        <w:t xml:space="preserve">   （一）截至2020年12月31日，我办资产总额为707779.09元，主要由以下两部分构成： 流动资产2811.73元,占资产总额的0.4%,主要为其他应收款； 固定资产704967.36元,占资产总额的99.6%，主要包括办公设备、家具用具等。</w:t>
      </w:r>
    </w:p>
    <w:p>
      <w:pPr>
        <w:rPr>
          <w:rFonts w:ascii="Times New Roman" w:hAnsi="Times New Roman" w:eastAsia="仿宋" w:cs="Times New Roman"/>
          <w:sz w:val="32"/>
        </w:rPr>
      </w:pPr>
      <w:r>
        <w:rPr>
          <w:rFonts w:ascii="Times New Roman" w:hAnsi="Times New Roman" w:eastAsia="仿宋" w:cs="Times New Roman"/>
          <w:sz w:val="32"/>
        </w:rPr>
        <w:t xml:space="preserve">   （二）2020年我办资产总额较2019年度资产总额增加4330.21元，变动情况主要包括两方面:一方面，流动资产总额比2019年减少了14236.79元，固定资产总额比2019年新增了74879元；另一方面，2020年我室按新会计制度计提了资产的折旧数据，2020年1-12月计提累计折旧56312元。</w:t>
      </w:r>
    </w:p>
    <w:p>
      <w:pPr>
        <w:rPr>
          <w:rFonts w:ascii="Times New Roman" w:hAnsi="Times New Roman" w:eastAsia="仿宋" w:cs="Times New Roman"/>
          <w:sz w:val="32"/>
        </w:rPr>
      </w:pPr>
      <w:r>
        <w:rPr>
          <w:rFonts w:ascii="Times New Roman" w:hAnsi="Times New Roman" w:eastAsia="仿宋" w:cs="Times New Roman"/>
          <w:sz w:val="32"/>
        </w:rPr>
        <w:t xml:space="preserve">   （三）经认真统计、对比，我单位填报的资产情况报表数据与2020年度部门决算报表数据相符，资产状况良好。</w:t>
      </w:r>
    </w:p>
    <w:p>
      <w:pPr>
        <w:rPr>
          <w:rFonts w:ascii="Times New Roman" w:hAnsi="Times New Roman" w:eastAsia="仿宋" w:cs="Times New Roman"/>
          <w:sz w:val="32"/>
        </w:rPr>
      </w:pPr>
      <w:r>
        <w:rPr>
          <w:rFonts w:ascii="Times New Roman" w:hAnsi="Times New Roman" w:eastAsia="仿宋" w:cs="Times New Roman"/>
          <w:sz w:val="32"/>
        </w:rPr>
        <w:t xml:space="preserve">   （四）我单位2020年度新增固定资产74879元，主要包括一台笔记本电脑、5台台式电脑、2台打印机、一套会议桌椅；没有资产处置，没有对外投资、出租以及出借国有资产的情况。</w:t>
      </w:r>
    </w:p>
    <w:p>
      <w:pPr>
        <w:rPr>
          <w:rFonts w:ascii="Times New Roman" w:hAnsi="Times New Roman" w:eastAsia="仿宋" w:cs="Times New Roman"/>
          <w:sz w:val="32"/>
        </w:rPr>
      </w:pPr>
      <w:r>
        <w:rPr>
          <w:rFonts w:ascii="Times New Roman" w:hAnsi="Times New Roman" w:eastAsia="仿宋" w:cs="Times New Roman"/>
          <w:sz w:val="32"/>
        </w:rPr>
        <w:t xml:space="preserve">   （五）资产管理工作的成效及经验</w:t>
      </w:r>
    </w:p>
    <w:p>
      <w:pPr>
        <w:rPr>
          <w:rFonts w:ascii="Times New Roman" w:hAnsi="Times New Roman" w:eastAsia="仿宋" w:cs="Times New Roman"/>
          <w:b/>
          <w:bCs/>
          <w:sz w:val="32"/>
        </w:rPr>
      </w:pPr>
      <w:r>
        <w:rPr>
          <w:rFonts w:ascii="Times New Roman" w:hAnsi="Times New Roman" w:eastAsia="仿宋" w:cs="Times New Roman"/>
          <w:b/>
          <w:bCs/>
          <w:sz w:val="32"/>
        </w:rPr>
        <w:t xml:space="preserve">    1.资产管理体制和制度建设方面</w:t>
      </w:r>
    </w:p>
    <w:p>
      <w:pPr>
        <w:rPr>
          <w:rFonts w:ascii="Times New Roman" w:hAnsi="Times New Roman" w:eastAsia="仿宋" w:cs="Times New Roman"/>
          <w:sz w:val="32"/>
        </w:rPr>
      </w:pPr>
      <w:r>
        <w:rPr>
          <w:rFonts w:ascii="Times New Roman" w:hAnsi="Times New Roman" w:eastAsia="仿宋" w:cs="Times New Roman"/>
          <w:sz w:val="32"/>
        </w:rPr>
        <w:t xml:space="preserve">    建立健全资产管理制度，合理配备并有效使用资产，坚持厉行节约的原则，提高资产使用效率，保障资产的安全和完整。综合处负责对全办资产管理进行指导和监督，对纳入政府采购范围的资产进行统一购置。设置资产管理专员，具体负责本单位资产的采购、分配、清查，以及资产使用、维护过程中的监督任务。</w:t>
      </w:r>
    </w:p>
    <w:p>
      <w:pPr>
        <w:rPr>
          <w:rFonts w:ascii="Times New Roman" w:hAnsi="Times New Roman" w:eastAsia="仿宋" w:cs="Times New Roman"/>
          <w:b/>
          <w:bCs/>
          <w:sz w:val="32"/>
        </w:rPr>
      </w:pPr>
      <w:r>
        <w:rPr>
          <w:rFonts w:ascii="Times New Roman" w:hAnsi="Times New Roman" w:eastAsia="仿宋" w:cs="Times New Roman"/>
          <w:b/>
          <w:bCs/>
          <w:sz w:val="32"/>
        </w:rPr>
        <w:t xml:space="preserve">    2.运行机制和管理方式</w:t>
      </w:r>
    </w:p>
    <w:p>
      <w:pPr>
        <w:rPr>
          <w:rFonts w:ascii="Times New Roman" w:hAnsi="Times New Roman" w:eastAsia="仿宋" w:cs="Times New Roman"/>
          <w:sz w:val="32"/>
        </w:rPr>
      </w:pPr>
      <w:r>
        <w:rPr>
          <w:rFonts w:ascii="Times New Roman" w:hAnsi="Times New Roman" w:eastAsia="仿宋" w:cs="Times New Roman"/>
          <w:sz w:val="32"/>
        </w:rPr>
        <w:t xml:space="preserve">    加强日常资产管理工作，在资产管理时统一粘贴固定资产标签，建立了固定资产台账，定期与财务系统核对，抽查固定资产使用部门实物、卡片管理情况，做到账帐相符，帐卡相符。</w:t>
      </w:r>
    </w:p>
    <w:p>
      <w:pPr>
        <w:rPr>
          <w:rFonts w:ascii="Times New Roman" w:hAnsi="Times New Roman" w:eastAsia="仿宋" w:cs="Times New Roman"/>
          <w:sz w:val="32"/>
        </w:rPr>
      </w:pPr>
      <w:r>
        <w:rPr>
          <w:rFonts w:ascii="Times New Roman" w:hAnsi="Times New Roman" w:eastAsia="仿宋" w:cs="Times New Roman"/>
          <w:sz w:val="32"/>
        </w:rPr>
        <w:t xml:space="preserve">   （六）资产管理工作方面存在的问题</w:t>
      </w:r>
    </w:p>
    <w:p>
      <w:pPr>
        <w:rPr>
          <w:rFonts w:ascii="Times New Roman" w:hAnsi="Times New Roman" w:eastAsia="仿宋" w:cs="Times New Roman"/>
          <w:sz w:val="32"/>
        </w:rPr>
      </w:pPr>
      <w:r>
        <w:rPr>
          <w:rFonts w:ascii="Times New Roman" w:hAnsi="Times New Roman" w:eastAsia="仿宋" w:cs="Times New Roman"/>
          <w:sz w:val="32"/>
        </w:rPr>
        <w:t xml:space="preserve">    资产日常管理制度不够完善。管理方式和工作流程方面的问题。资产采购、处置的审批手续较繁琐；年度资产配置预算编制不够精准。</w:t>
      </w:r>
    </w:p>
    <w:p>
      <w:pPr>
        <w:rPr>
          <w:rFonts w:ascii="Times New Roman" w:hAnsi="Times New Roman" w:eastAsia="仿宋" w:cs="Times New Roman"/>
          <w:sz w:val="32"/>
        </w:rPr>
      </w:pPr>
      <w:r>
        <w:rPr>
          <w:rFonts w:ascii="Times New Roman" w:hAnsi="Times New Roman" w:eastAsia="仿宋" w:cs="Times New Roman"/>
          <w:sz w:val="32"/>
        </w:rPr>
        <w:t xml:space="preserve">    (七）加强资产管理工作的建议</w:t>
      </w:r>
    </w:p>
    <w:p>
      <w:pPr>
        <w:rPr>
          <w:rFonts w:ascii="Times New Roman" w:hAnsi="Times New Roman" w:eastAsia="仿宋" w:cs="Times New Roman"/>
          <w:sz w:val="32"/>
        </w:rPr>
      </w:pPr>
      <w:r>
        <w:rPr>
          <w:rFonts w:ascii="Times New Roman" w:hAnsi="Times New Roman" w:eastAsia="仿宋" w:cs="Times New Roman"/>
          <w:sz w:val="32"/>
        </w:rPr>
        <w:t xml:space="preserve">    1.建立健全固定资产管理制度和科学的管理机制，改进资产日常管理制度，结合本单位特点，切合实际，便于操作，特别要注意制度体系的完整性、配套性和可行性。实行资产日常使用的动态管理，建立固定资产登记、使用、保管机制，加强单位内部财产物资的管理，及时准确记录资产的增减、结存、分布等情况，定期进行资产清查盘点，严禁产生账外资产。</w:t>
      </w:r>
    </w:p>
    <w:p>
      <w:pPr>
        <w:rPr>
          <w:rFonts w:ascii="Times New Roman" w:hAnsi="Times New Roman" w:eastAsia="仿宋" w:cs="Times New Roman"/>
          <w:sz w:val="32"/>
        </w:rPr>
      </w:pPr>
      <w:r>
        <w:rPr>
          <w:rFonts w:ascii="Times New Roman" w:hAnsi="Times New Roman" w:eastAsia="仿宋" w:cs="Times New Roman"/>
          <w:sz w:val="32"/>
        </w:rPr>
        <w:t xml:space="preserve">    2.推进资产管理与预算管理有机结合，据资产配置标准，综合考虑资产存量情况等因素，认真组织编制年度新增资产配置预算计划上报，提高新增资产配制预算的规范性和完整性，逐步做到所有使用财政性资金购置车辆、通用办公设备、计算机软件、家具等纳入新增资产的配置预算，推进资产管理与预算管理有机结合，提高资产配置预算的精准度。</w:t>
      </w:r>
    </w:p>
    <w:p>
      <w:pPr>
        <w:rPr>
          <w:rFonts w:ascii="Times New Roman" w:hAnsi="Times New Roman" w:eastAsia="黑体" w:cs="Times New Roman"/>
          <w:kern w:val="0"/>
          <w:sz w:val="32"/>
          <w:szCs w:val="32"/>
          <w:shd w:val="clear" w:color="auto" w:fill="FFFFFF"/>
        </w:rPr>
      </w:pPr>
      <w:r>
        <w:rPr>
          <w:rFonts w:ascii="Times New Roman" w:hAnsi="Times New Roman" w:eastAsia="黑体" w:cs="Times New Roman"/>
          <w:kern w:val="0"/>
          <w:sz w:val="32"/>
          <w:szCs w:val="32"/>
          <w:shd w:val="clear" w:color="auto" w:fill="FFFFFF"/>
        </w:rPr>
        <w:t xml:space="preserve">    五、疫情防控资金使用情况</w:t>
      </w:r>
    </w:p>
    <w:p>
      <w:pPr>
        <w:rPr>
          <w:rFonts w:ascii="Times New Roman" w:hAnsi="Times New Roman" w:eastAsia="仿宋" w:cs="Times New Roman"/>
          <w:sz w:val="32"/>
        </w:rPr>
      </w:pPr>
      <w:r>
        <w:rPr>
          <w:rFonts w:ascii="Times New Roman" w:hAnsi="Times New Roman" w:eastAsia="仿宋" w:cs="Times New Roman"/>
          <w:sz w:val="32"/>
        </w:rPr>
        <w:t xml:space="preserve">    在全国上下抗击新型冠状病毒肺炎的战斗中，长沙市地方志编纂室党员、志愿者纷纷请战，主动要求下沉街道社区一线，参与摸排重点人员；进驻企业协助疫情防控和复工复产；积极参加义务献血，向疫情一线捐款捐物。全年共有150人次自愿参与基层街道社区疫情防控阻击战和企业的疫情防控、复工复产，帮扶企业申请减补资金10余万元；向防疫一线捐款4980元，捐赠酒精、消毒液、手套、体温计等防疫物资150余件（套）；4人次参加新冠肺炎疫情防控义务献血,发放献血补贴1600元。全室采购防疫物资共6317元。</w:t>
      </w:r>
    </w:p>
    <w:p>
      <w:pPr>
        <w:rPr>
          <w:rFonts w:ascii="Times New Roman" w:hAnsi="Times New Roman" w:eastAsia="楷体" w:cs="Times New Roman"/>
          <w:b/>
          <w:sz w:val="32"/>
        </w:rPr>
      </w:pPr>
      <w:r>
        <w:rPr>
          <w:rFonts w:ascii="Times New Roman" w:hAnsi="Times New Roman" w:eastAsia="仿宋" w:cs="Times New Roman"/>
          <w:sz w:val="32"/>
        </w:rPr>
        <w:t xml:space="preserve"> </w:t>
      </w:r>
      <w:r>
        <w:rPr>
          <w:rFonts w:ascii="Times New Roman" w:hAnsi="Times New Roman" w:eastAsia="黑体" w:cs="Times New Roman"/>
          <w:kern w:val="0"/>
          <w:sz w:val="32"/>
          <w:szCs w:val="32"/>
          <w:shd w:val="clear" w:color="auto" w:fill="FFFFFF"/>
        </w:rPr>
        <w:t xml:space="preserve">   六、落实过紧日子政策具体措施</w:t>
      </w:r>
    </w:p>
    <w:p>
      <w:pPr>
        <w:rPr>
          <w:rFonts w:ascii="Times New Roman" w:hAnsi="Times New Roman" w:eastAsia="仿宋" w:cs="Times New Roman"/>
          <w:sz w:val="32"/>
        </w:rPr>
      </w:pPr>
      <w:r>
        <w:rPr>
          <w:rFonts w:ascii="Times New Roman" w:hAnsi="Times New Roman" w:eastAsia="仿宋" w:cs="Times New Roman"/>
          <w:sz w:val="32"/>
        </w:rPr>
        <w:t xml:space="preserve">    2020年度我室为落实过紧日子政策，增强机关干部的节约意识，采取了以下措施：</w:t>
      </w:r>
    </w:p>
    <w:p>
      <w:pPr>
        <w:rPr>
          <w:rFonts w:ascii="Times New Roman" w:hAnsi="Times New Roman" w:eastAsia="仿宋" w:cs="Times New Roman"/>
          <w:sz w:val="32"/>
        </w:rPr>
      </w:pPr>
      <w:r>
        <w:rPr>
          <w:rFonts w:ascii="Times New Roman" w:hAnsi="Times New Roman" w:eastAsia="仿宋" w:cs="Times New Roman"/>
          <w:sz w:val="32"/>
        </w:rPr>
        <w:t xml:space="preserve">   （一）培育节俭机关文化，牢固树立过紧日子思想。加强节约宣传教育工作，引导机关干部从现在做起从自身做起、从小事做起，养成艰苦奋斗、勤俭节约的良好习惯。</w:t>
      </w:r>
    </w:p>
    <w:p>
      <w:pPr>
        <w:rPr>
          <w:rFonts w:ascii="Times New Roman" w:hAnsi="Times New Roman" w:eastAsia="仿宋" w:cs="Times New Roman"/>
          <w:sz w:val="32"/>
        </w:rPr>
      </w:pPr>
      <w:r>
        <w:rPr>
          <w:rFonts w:ascii="Times New Roman" w:hAnsi="Times New Roman" w:eastAsia="仿宋" w:cs="Times New Roman"/>
          <w:sz w:val="32"/>
        </w:rPr>
        <w:t xml:space="preserve">   （二）大力压减经费开支</w:t>
      </w:r>
    </w:p>
    <w:p>
      <w:pPr>
        <w:rPr>
          <w:rFonts w:ascii="Times New Roman" w:hAnsi="Times New Roman" w:eastAsia="仿宋" w:cs="Times New Roman"/>
          <w:sz w:val="32"/>
        </w:rPr>
      </w:pPr>
      <w:r>
        <w:rPr>
          <w:rFonts w:ascii="Times New Roman" w:hAnsi="Times New Roman" w:eastAsia="仿宋" w:cs="Times New Roman"/>
          <w:sz w:val="32"/>
        </w:rPr>
        <w:t xml:space="preserve">    1.严格执行财务预算制度，坚持“从紧预算，从紧支出，严格调控，合理保障”的原则，节约专项资金，切实提高专项资金使用效率。2020年我室为增强专项资金使用的有效性，凡涉及到政府采购的项目，均通过政府采购程序采购，节约了大量专项资金，如《湖南乡镇简志 长沙市卷》印刷服务采购项目报价59.5万元，通过竞争性谈判的方式，最终以38.8万元的价格成交，节约了20.7万元。</w:t>
      </w:r>
    </w:p>
    <w:p>
      <w:pPr>
        <w:rPr>
          <w:rFonts w:ascii="Times New Roman" w:hAnsi="Times New Roman" w:eastAsia="仿宋" w:cs="Times New Roman"/>
          <w:sz w:val="32"/>
        </w:rPr>
      </w:pPr>
      <w:r>
        <w:rPr>
          <w:rFonts w:ascii="Times New Roman" w:hAnsi="Times New Roman" w:eastAsia="仿宋" w:cs="Times New Roman"/>
          <w:sz w:val="32"/>
        </w:rPr>
        <w:t>2.从严控制“三公四费”开支。2020年，我室公务接待费、公务用车运行维护费、会议费、差旅费、培训费等开支较上年度均有所下降。</w:t>
      </w:r>
    </w:p>
    <w:p>
      <w:pPr>
        <w:rPr>
          <w:rFonts w:ascii="Times New Roman" w:hAnsi="Times New Roman" w:eastAsia="仿宋" w:cs="Times New Roman"/>
          <w:sz w:val="32"/>
        </w:rPr>
      </w:pPr>
      <w:r>
        <w:rPr>
          <w:rFonts w:ascii="Times New Roman" w:hAnsi="Times New Roman" w:eastAsia="仿宋" w:cs="Times New Roman"/>
          <w:sz w:val="32"/>
        </w:rPr>
        <w:t xml:space="preserve">   （三）努力节约能源资源</w:t>
      </w:r>
    </w:p>
    <w:p>
      <w:pPr>
        <w:rPr>
          <w:rFonts w:ascii="Times New Roman" w:hAnsi="Times New Roman" w:eastAsia="仿宋" w:cs="Times New Roman"/>
          <w:sz w:val="32"/>
        </w:rPr>
      </w:pPr>
      <w:r>
        <w:rPr>
          <w:rFonts w:ascii="Times New Roman" w:hAnsi="Times New Roman" w:eastAsia="仿宋" w:cs="Times New Roman"/>
          <w:sz w:val="32"/>
        </w:rPr>
        <w:t xml:space="preserve">    1.带头做好节电节气工作，2020年，根据长沙市节能办要求，办公室空调温度不超过20℃，室内禁用大功率取暖设备，我室通过宣传和不定期检查，节约意识深入人心，大家自觉遵守规定，节电节气工作取得了良好效果。</w:t>
      </w:r>
    </w:p>
    <w:p>
      <w:pPr>
        <w:rPr>
          <w:rFonts w:ascii="Times New Roman" w:hAnsi="Times New Roman" w:eastAsia="仿宋" w:cs="Times New Roman"/>
          <w:sz w:val="32"/>
        </w:rPr>
      </w:pPr>
      <w:r>
        <w:rPr>
          <w:rFonts w:ascii="Times New Roman" w:hAnsi="Times New Roman" w:eastAsia="仿宋" w:cs="Times New Roman"/>
          <w:sz w:val="32"/>
        </w:rPr>
        <w:t xml:space="preserve">    2.节约通信费用。减少办公电话非工作使用，打电话提倡言简意赅，缩短通话时间。根据工作需要，正确选择电子邮件、电话、挂号、普通邮件等通信方式，尽可能减少邮寄费用开支。</w:t>
      </w:r>
    </w:p>
    <w:p>
      <w:pPr>
        <w:rPr>
          <w:rFonts w:ascii="Times New Roman" w:hAnsi="Times New Roman" w:eastAsia="仿宋" w:cs="Times New Roman"/>
          <w:sz w:val="32"/>
        </w:rPr>
      </w:pPr>
      <w:r>
        <w:rPr>
          <w:rFonts w:ascii="Times New Roman" w:hAnsi="Times New Roman" w:eastAsia="仿宋" w:cs="Times New Roman"/>
          <w:sz w:val="32"/>
        </w:rPr>
        <w:t xml:space="preserve">    3.做好垃圾分类和垃圾回收管理，减少资源浪费，促进资源循环利用。</w:t>
      </w:r>
    </w:p>
    <w:p>
      <w:pPr>
        <w:rPr>
          <w:rFonts w:ascii="Times New Roman" w:hAnsi="Times New Roman" w:eastAsia="仿宋" w:cs="Times New Roman"/>
          <w:sz w:val="32"/>
        </w:rPr>
      </w:pPr>
      <w:r>
        <w:rPr>
          <w:rFonts w:ascii="Times New Roman" w:hAnsi="Times New Roman" w:eastAsia="仿宋" w:cs="Times New Roman"/>
          <w:sz w:val="32"/>
        </w:rPr>
        <w:t xml:space="preserve">   （四）优化保障管理方式。通过改进管理方式，进一步节约行政成本，提高保障和管理效能。</w:t>
      </w:r>
    </w:p>
    <w:p>
      <w:pPr>
        <w:rPr>
          <w:rFonts w:ascii="Times New Roman" w:hAnsi="Times New Roman" w:eastAsia="仿宋" w:cs="Times New Roman"/>
          <w:sz w:val="32"/>
        </w:rPr>
      </w:pPr>
      <w:r>
        <w:rPr>
          <w:rFonts w:ascii="Times New Roman" w:hAnsi="Times New Roman" w:eastAsia="仿宋" w:cs="Times New Roman"/>
          <w:sz w:val="32"/>
        </w:rPr>
        <w:t xml:space="preserve">    1.加强办公设备用品管理：办公用品实行统一采购和领取登记制度。</w:t>
      </w:r>
    </w:p>
    <w:p>
      <w:pPr>
        <w:rPr>
          <w:rFonts w:ascii="Times New Roman" w:hAnsi="Times New Roman" w:eastAsia="仿宋" w:cs="Times New Roman"/>
          <w:sz w:val="32"/>
        </w:rPr>
      </w:pPr>
      <w:r>
        <w:rPr>
          <w:rFonts w:ascii="Times New Roman" w:hAnsi="Times New Roman" w:eastAsia="仿宋" w:cs="Times New Roman"/>
          <w:sz w:val="32"/>
        </w:rPr>
        <w:t xml:space="preserve">    2.机关工作人员要爱护办公设备，掌握正确的操作和维护知识，提高使用寿命。机关重要办公自动化设备实行专人管理，其他人员不得擅自操作。提倡无纸化办公和双面纸张打印，利用工作微信群、QQ群下发通知，传达文件，减少纸张使用量，促进办公用品高效和循环利用。</w:t>
      </w:r>
    </w:p>
    <w:p>
      <w:pPr>
        <w:rPr>
          <w:rFonts w:ascii="Times New Roman" w:hAnsi="Times New Roman" w:eastAsia="仿宋" w:cs="Times New Roman"/>
          <w:sz w:val="32"/>
        </w:rPr>
      </w:pPr>
      <w:r>
        <w:rPr>
          <w:rFonts w:ascii="Times New Roman" w:hAnsi="Times New Roman" w:eastAsia="仿宋" w:cs="Times New Roman"/>
          <w:sz w:val="32"/>
        </w:rPr>
        <w:t xml:space="preserve">    3.加强用水用电管理，现充分利用自然光照明，减少电灯使用时间，做到人走灯熄;尽量减少仪器设备耗电，不使用的仪器设备要及时关机，下班前要检查切断电源。</w:t>
      </w:r>
    </w:p>
    <w:p>
      <w:pPr>
        <w:rPr>
          <w:rFonts w:ascii="Times New Roman" w:hAnsi="Times New Roman" w:eastAsia="黑体" w:cs="Times New Roman"/>
          <w:kern w:val="0"/>
          <w:sz w:val="32"/>
          <w:szCs w:val="32"/>
          <w:shd w:val="clear" w:color="auto" w:fill="FFFFFF"/>
        </w:rPr>
      </w:pPr>
      <w:r>
        <w:rPr>
          <w:rFonts w:ascii="Times New Roman" w:hAnsi="Times New Roman" w:eastAsia="黑体" w:cs="Times New Roman"/>
          <w:kern w:val="0"/>
          <w:sz w:val="32"/>
          <w:szCs w:val="32"/>
          <w:shd w:val="clear" w:color="auto" w:fill="FFFFFF"/>
        </w:rPr>
        <w:t xml:space="preserve">    七、部门整体支出绩效情况</w:t>
      </w:r>
    </w:p>
    <w:p>
      <w:pPr>
        <w:rPr>
          <w:rFonts w:ascii="Times New Roman" w:hAnsi="Times New Roman" w:eastAsia="仿宋" w:cs="Times New Roman"/>
          <w:sz w:val="32"/>
        </w:rPr>
      </w:pPr>
      <w:r>
        <w:rPr>
          <w:rFonts w:ascii="Times New Roman" w:hAnsi="Times New Roman" w:eastAsia="仿宋" w:cs="Times New Roman"/>
          <w:sz w:val="32"/>
        </w:rPr>
        <w:t xml:space="preserve">    2020年,全市地方志工作在市委、市政府的坚强领导下，坚持以习近平新时代中国特色社会主义思想为统领，深入贯彻党的十九大和十九届五中全会精神，抗疫、修志两手抓，两不误，圆满完成全年工作任务，顺利实现“两全目标”，市县两级综合志书全部完成出版，《长沙年鉴（2020）》第三次蝉联“中国年鉴精品工程”，《浏阳年鉴（2020）》入选“中国年鉴精品工程”。</w:t>
      </w:r>
    </w:p>
    <w:p>
      <w:pPr>
        <w:rPr>
          <w:rFonts w:ascii="Times New Roman" w:hAnsi="Times New Roman" w:eastAsia="仿宋" w:cs="Times New Roman"/>
          <w:b/>
          <w:sz w:val="32"/>
        </w:rPr>
      </w:pPr>
      <w:r>
        <w:rPr>
          <w:rFonts w:ascii="Times New Roman" w:hAnsi="Times New Roman" w:eastAsia="仿宋" w:cs="Times New Roman"/>
          <w:sz w:val="32"/>
        </w:rPr>
        <w:t xml:space="preserve">   </w:t>
      </w:r>
      <w:r>
        <w:rPr>
          <w:rFonts w:ascii="Times New Roman" w:hAnsi="Times New Roman" w:eastAsia="仿宋" w:cs="Times New Roman"/>
          <w:b/>
          <w:sz w:val="32"/>
        </w:rPr>
        <w:t xml:space="preserve"> 从经济性、效率性、效益性和可持续性分析：</w:t>
      </w:r>
    </w:p>
    <w:p>
      <w:pPr>
        <w:rPr>
          <w:rFonts w:ascii="Times New Roman" w:hAnsi="Times New Roman" w:eastAsia="仿宋" w:cs="Times New Roman"/>
          <w:b/>
          <w:sz w:val="32"/>
        </w:rPr>
      </w:pPr>
      <w:r>
        <w:rPr>
          <w:rFonts w:ascii="Times New Roman" w:hAnsi="Times New Roman" w:eastAsia="仿宋" w:cs="Times New Roman"/>
          <w:sz w:val="32"/>
        </w:rPr>
        <w:t xml:space="preserve">   </w:t>
      </w:r>
      <w:r>
        <w:rPr>
          <w:rFonts w:ascii="Times New Roman" w:hAnsi="Times New Roman" w:eastAsia="仿宋" w:cs="Times New Roman"/>
          <w:b/>
          <w:sz w:val="32"/>
        </w:rPr>
        <w:t xml:space="preserve"> 1.党建引领不断加强</w:t>
      </w:r>
    </w:p>
    <w:p>
      <w:pPr>
        <w:rPr>
          <w:rFonts w:ascii="Times New Roman" w:hAnsi="Times New Roman" w:eastAsia="仿宋" w:cs="Times New Roman"/>
          <w:sz w:val="32"/>
        </w:rPr>
      </w:pPr>
      <w:r>
        <w:rPr>
          <w:rFonts w:ascii="Times New Roman" w:hAnsi="Times New Roman" w:eastAsia="仿宋" w:cs="Times New Roman"/>
          <w:sz w:val="32"/>
        </w:rPr>
        <w:t xml:space="preserve">    （1）战疫情、显担当：150余人次参与基层街道社区疫情防控阻击战和企业的疫情防控、复工复产工作，帮扶企业申请减补资金10万余元；累计捐款4980元，捐赠防疫物资150余件（套）；4人次参加义务献血。（2）明责任、强能力：将党建工作纳入重要议事日程，定期研究机关党建工作推进情况。严格党内组织生活。抓实巡察整改工作。针对巡察反馈13个大类41个问题，党组先后14次专题研究，率先完成选人用人整改，得到市委组织部的肯定，目前40个问题整改到位。剩余1个问题因涉及多家单位稍有延后，现正在推进中。（3）学理论、坚信念：深入学习习近平新时代中国特色社会主义思想，跟进学习习近平总书记最新重要讲话精神，特别是考察湖南重要讲话精神。全年开展中心组集中学习9次，“长沙方志讲堂”3次、班子成员讲党课5次、党务干部讲党课1次。（4）强阵地、优队伍：完成3次职级晋升、2次转正测评、1次实职提拔。吸收入党积极分子5名。（5）抓廉政、转作风：履行全面从严治党主体责任，常态化开展以党规党纪、典型案例警示为主要内容的党风廉政教育。持续开展违规收送红包礼金、“大官小贪”等问题专项整治。加强公务用车管理，严防婚丧嫁娶违纪行为。修订完善管理制度，就27个涉及机关作风方面的问题进一步规范。加大对机关工作纪律的检查力度，加强平安单位建设。</w:t>
      </w:r>
    </w:p>
    <w:p>
      <w:pPr>
        <w:ind w:firstLine="642" w:firstLineChars="200"/>
        <w:rPr>
          <w:rFonts w:ascii="Times New Roman" w:hAnsi="Times New Roman" w:eastAsia="仿宋" w:cs="Times New Roman"/>
          <w:b/>
          <w:sz w:val="32"/>
        </w:rPr>
      </w:pPr>
      <w:r>
        <w:rPr>
          <w:rFonts w:ascii="Times New Roman" w:hAnsi="Times New Roman" w:eastAsia="仿宋" w:cs="Times New Roman"/>
          <w:b/>
          <w:sz w:val="32"/>
        </w:rPr>
        <w:t>2.“两全目标”顺利完成</w:t>
      </w:r>
    </w:p>
    <w:p>
      <w:pPr>
        <w:rPr>
          <w:rFonts w:ascii="Times New Roman" w:hAnsi="Times New Roman" w:eastAsia="仿宋" w:cs="Times New Roman"/>
          <w:sz w:val="32"/>
        </w:rPr>
      </w:pPr>
      <w:r>
        <w:rPr>
          <w:rFonts w:ascii="Times New Roman" w:hAnsi="Times New Roman" w:eastAsia="仿宋" w:cs="Times New Roman"/>
          <w:sz w:val="32"/>
        </w:rPr>
        <w:t xml:space="preserve">   （1）市志编纂交答卷：竭力抓分纂、全心破难关。对因自身原因导致进度严重滞后的单位，采取勤上门、找外援、动手写等方式，多管齐下，力促市志分纂稿按时保质全部验收；全力迎评审、凝心纂佳志。成立总纂修改规范小组，逐字逐句修改完善，并整理入志照片。请市领导、市直相关部门把好志稿意识形态关、保密关、史实关。汇集、梳理专家意见，对框架结构、资料内容、文体文风进行修改，顺利通过5月22日省级评审会，得到专家们一致好评；致力凸特色、尽心树品牌。为突出市志“档次、特色、新颖”的形象特质，多次就卷首彩图、随文插图等设计和排版方式与设计公司进行对接、沟通。初步确定封皮、封面、版芯、插图、彩板等全书设计样式，力求体现星城特质和亮点。</w:t>
      </w:r>
    </w:p>
    <w:p>
      <w:pPr>
        <w:rPr>
          <w:rFonts w:ascii="Times New Roman" w:hAnsi="Times New Roman" w:eastAsia="仿宋" w:cs="Times New Roman"/>
          <w:sz w:val="32"/>
        </w:rPr>
      </w:pPr>
      <w:r>
        <w:rPr>
          <w:rFonts w:ascii="Times New Roman" w:hAnsi="Times New Roman" w:eastAsia="仿宋" w:cs="Times New Roman"/>
          <w:sz w:val="32"/>
        </w:rPr>
        <w:t xml:space="preserve">    （2）年鉴三度创精品：树牢“四化”意识，推动高质发展。优化框架设计，按照“三研四查”的工作思路，结合专家意见与长沙实际情况，规范篇目设置，凸显年度特色与中心工作。深化组稿指导，向全市170余家组稿单位下发撰写要求，提供框架、条目参考模板。利用“双评”平台，传播长沙声音，活动征集遴选年度事件66件、典型人物53名，最终评选出甘厚美等10名年度人物、“最具幸福感城市”成为长沙人民获得感的标志性符号等10个年度事件，评选结果在《长沙晚报》进行公示，并载入《长沙年鉴（2020）》。利用会议平台，强化宣传推介。推进区域覆盖，创建精品佳鉴，积极开展中国精品年鉴区域试点工作，研究形成“总结经验，以市带县；重点指导，以点带面；定期督查，全面推进”的工作措施。总结市本级经验，给予参考；对各区县（市）年鉴编纂工作开展调研，加强针对性指导；召开区县（市）综合年鉴评审会，促进互鉴提升。《浏阳年鉴（2020）》经先行先试、成功入选“中国精品年鉴”。组织各区县（市）参加各级评奖活动，成绩斐然。</w:t>
      </w:r>
    </w:p>
    <w:p>
      <w:pPr>
        <w:rPr>
          <w:rFonts w:ascii="Times New Roman" w:hAnsi="Times New Roman" w:eastAsia="仿宋" w:cs="Times New Roman"/>
          <w:b/>
          <w:sz w:val="32"/>
        </w:rPr>
      </w:pPr>
      <w:r>
        <w:rPr>
          <w:rFonts w:ascii="Times New Roman" w:hAnsi="Times New Roman" w:eastAsia="仿宋" w:cs="Times New Roman"/>
          <w:sz w:val="32"/>
        </w:rPr>
        <w:t xml:space="preserve">   </w:t>
      </w:r>
      <w:r>
        <w:rPr>
          <w:rFonts w:ascii="Times New Roman" w:hAnsi="Times New Roman" w:eastAsia="仿宋" w:cs="Times New Roman"/>
          <w:b/>
          <w:sz w:val="32"/>
        </w:rPr>
        <w:t xml:space="preserve"> 3.融合创新，转型促可持续发展</w:t>
      </w:r>
    </w:p>
    <w:p>
      <w:pPr>
        <w:rPr>
          <w:rFonts w:ascii="Times New Roman" w:hAnsi="Times New Roman" w:eastAsia="仿宋" w:cs="Times New Roman"/>
          <w:sz w:val="32"/>
        </w:rPr>
      </w:pPr>
      <w:r>
        <w:rPr>
          <w:rFonts w:ascii="Times New Roman" w:hAnsi="Times New Roman" w:eastAsia="仿宋" w:cs="Times New Roman"/>
          <w:sz w:val="32"/>
        </w:rPr>
        <w:t xml:space="preserve">    （1）资料年报工作常态推进：完成2018年度年报资料整理归档工作，入库120家单位年报资料。向全市131家地方志资料年报承报单位下发通知、注意事项以及2019年度地方志工作情况的表彰通报。及时对接催稿，强化业务指导。至12月，102家单位上报了资料年报。</w:t>
      </w:r>
    </w:p>
    <w:p>
      <w:pPr>
        <w:rPr>
          <w:rFonts w:ascii="Times New Roman" w:hAnsi="Times New Roman" w:eastAsia="仿宋" w:cs="Times New Roman"/>
          <w:sz w:val="32"/>
        </w:rPr>
      </w:pPr>
      <w:r>
        <w:rPr>
          <w:rFonts w:ascii="Times New Roman" w:hAnsi="Times New Roman" w:eastAsia="仿宋" w:cs="Times New Roman"/>
          <w:sz w:val="32"/>
        </w:rPr>
        <w:t xml:space="preserve">    （2）特色志书全面推进：乡镇简志出版发行。《湖南乡镇（街道）简志•长沙卷》数易其稿，历经4次审校，于10月公开出版，全书近160万字，250余张图照，记载了168个乡镇（街道）2015年乡镇区划调整前的区域概况、经济发展、基础设施等情况。名镇名村志稳步推进。加大指导力度，实地调研浏阳市沙市镇秧田村和东门村，审读《南山村志》《秧田村志》等稿件。印发“凡例”“编纂规范”“基本篇目”，召开编纂规范培训暨推进会，邀请专家进行授课。开展第一批名镇志名村志申报工作，公布11部第一批入选名镇志名村志名单。开发区志图志加紧编修。《天心经济开发区志（2002—2012）》等5部开发区志公开出版，其他几部开发区志正紧锣密鼓进行编纂。召开开发区图志编纂工作推进会。至12月底，长沙高新区等4家单位的图志基本完成初稿。</w:t>
      </w:r>
    </w:p>
    <w:p>
      <w:pPr>
        <w:rPr>
          <w:rFonts w:ascii="Times New Roman" w:hAnsi="Times New Roman" w:eastAsia="仿宋" w:cs="Times New Roman"/>
          <w:sz w:val="32"/>
        </w:rPr>
      </w:pPr>
      <w:r>
        <w:rPr>
          <w:rFonts w:ascii="Times New Roman" w:hAnsi="Times New Roman" w:eastAsia="仿宋" w:cs="Times New Roman"/>
          <w:sz w:val="32"/>
        </w:rPr>
        <w:t xml:space="preserve">    （3）地情资源开发利用持续推进：组织出版发行《点墨长沙》1万套，在全市引起热烈反响，一度出现“一书难求”的盛况。组织点校了清同治《宁乡县志》。</w:t>
      </w:r>
    </w:p>
    <w:p>
      <w:pPr>
        <w:rPr>
          <w:rFonts w:ascii="Times New Roman" w:hAnsi="Times New Roman" w:eastAsia="仿宋" w:cs="Times New Roman"/>
          <w:sz w:val="32"/>
        </w:rPr>
      </w:pPr>
      <w:r>
        <w:rPr>
          <w:rFonts w:ascii="Times New Roman" w:hAnsi="Times New Roman" w:eastAsia="仿宋" w:cs="Times New Roman"/>
          <w:sz w:val="32"/>
        </w:rPr>
        <w:t xml:space="preserve">    （4）地方志宣传有声有色：通过开展“六进”、志书发行式等活动，向全国各级地方志机构、图书馆、酒店、学校等赠阅书籍1.7万余册。在机关周边悬挂横幅、发放宣传资料。完成网站和微信公众号改版工作，持续推送地方志史志资源。</w:t>
      </w:r>
    </w:p>
    <w:p>
      <w:pPr>
        <w:rPr>
          <w:rFonts w:ascii="Times New Roman" w:hAnsi="Times New Roman" w:eastAsia="仿宋" w:cs="Times New Roman"/>
          <w:sz w:val="32"/>
        </w:rPr>
      </w:pPr>
      <w:r>
        <w:rPr>
          <w:rFonts w:ascii="Times New Roman" w:hAnsi="Times New Roman" w:eastAsia="仿宋" w:cs="Times New Roman"/>
          <w:sz w:val="32"/>
        </w:rPr>
        <w:t xml:space="preserve">    （5）方志馆建设大力推进：方志馆筹建做好了“1233”。办好一个提案。“关于将申建国家方志馆中国近代人物分馆列入重要议事日程的提案”列为市政协重点提案，副市长彭楠主持提案办理。编制两个文本。邀请全国工程勘察设计大师杨瑛领衔编制项目选址论证报告和项目建议书。踏勘三个选址。邀请专家三次实地踏勘了南湖路与湘江大道交叉口东南角，湘江路古城风貌区，望城区锦绣农庄三处选址。开好三次协调会。市政府就研究选址、用地等事项进行三次调度。启动了“国家方志馆中国近代人物分馆入馆人物”专项课题研究，编写《刘崐与晚清著名历史人物》《菁莪乐育——湖南育才学校百年风云人物散记》。申建国家方志馆中国近代人物分馆已经列入长沙市十四五规划，写入了2021年政府工作报告。</w:t>
      </w:r>
    </w:p>
    <w:p>
      <w:pPr>
        <w:rPr>
          <w:rFonts w:ascii="Times New Roman" w:hAnsi="Times New Roman" w:eastAsia="黑体" w:cs="Times New Roman"/>
          <w:kern w:val="0"/>
          <w:sz w:val="32"/>
          <w:szCs w:val="32"/>
          <w:shd w:val="clear" w:color="auto" w:fill="FFFFFF"/>
        </w:rPr>
      </w:pPr>
      <w:r>
        <w:rPr>
          <w:rFonts w:ascii="Times New Roman" w:hAnsi="Times New Roman" w:eastAsia="黑体" w:cs="Times New Roman"/>
          <w:kern w:val="0"/>
          <w:sz w:val="32"/>
          <w:szCs w:val="32"/>
          <w:shd w:val="clear" w:color="auto" w:fill="FFFFFF"/>
        </w:rPr>
        <w:t xml:space="preserve">    八、存在的主要问题</w:t>
      </w:r>
    </w:p>
    <w:p>
      <w:pPr>
        <w:rPr>
          <w:rFonts w:ascii="Times New Roman" w:hAnsi="Times New Roman" w:eastAsia="仿宋" w:cs="Times New Roman"/>
          <w:sz w:val="32"/>
        </w:rPr>
      </w:pPr>
      <w:r>
        <w:rPr>
          <w:rFonts w:ascii="Times New Roman" w:hAnsi="Times New Roman" w:eastAsia="仿宋" w:cs="Times New Roman"/>
          <w:sz w:val="32"/>
        </w:rPr>
        <w:t xml:space="preserve">   （一）部分项目资金支付进度滞后。</w:t>
      </w:r>
    </w:p>
    <w:p>
      <w:pPr>
        <w:rPr>
          <w:rFonts w:ascii="Times New Roman" w:hAnsi="Times New Roman" w:eastAsia="仿宋" w:cs="Times New Roman"/>
          <w:sz w:val="32"/>
        </w:rPr>
      </w:pPr>
      <w:r>
        <w:rPr>
          <w:rFonts w:ascii="Times New Roman" w:hAnsi="Times New Roman" w:eastAsia="仿宋" w:cs="Times New Roman"/>
          <w:sz w:val="32"/>
        </w:rPr>
        <w:t xml:space="preserve">   （二）内控制度需进一步完善，随着资金管理改革的进一步推进，我单位内部机构进行了相应的优化，建立健全了财务管理制度、固定资产管理制度、费用报销规程等制度，但仍需进一步强化财务约束监督体制。</w:t>
      </w:r>
    </w:p>
    <w:p>
      <w:pPr>
        <w:rPr>
          <w:rFonts w:ascii="Times New Roman" w:hAnsi="Times New Roman" w:eastAsia="黑体" w:cs="Times New Roman"/>
          <w:kern w:val="0"/>
          <w:sz w:val="32"/>
          <w:szCs w:val="32"/>
          <w:shd w:val="clear" w:color="auto" w:fill="FFFFFF"/>
        </w:rPr>
      </w:pPr>
      <w:r>
        <w:rPr>
          <w:rFonts w:ascii="Times New Roman" w:hAnsi="Times New Roman" w:eastAsia="黑体" w:cs="Times New Roman"/>
          <w:kern w:val="0"/>
          <w:sz w:val="32"/>
          <w:szCs w:val="32"/>
          <w:shd w:val="clear" w:color="auto" w:fill="FFFFFF"/>
        </w:rPr>
        <w:t xml:space="preserve">    九、改进措施和有关建议</w:t>
      </w:r>
    </w:p>
    <w:p>
      <w:pPr>
        <w:rPr>
          <w:rFonts w:ascii="Times New Roman" w:hAnsi="Times New Roman" w:eastAsia="仿宋" w:cs="Times New Roman"/>
          <w:sz w:val="32"/>
        </w:rPr>
      </w:pPr>
      <w:r>
        <w:rPr>
          <w:rFonts w:ascii="Times New Roman" w:hAnsi="Times New Roman" w:eastAsia="仿宋" w:cs="Times New Roman"/>
          <w:sz w:val="32"/>
        </w:rPr>
        <w:t xml:space="preserve">   （一）科学合理编制预算，严格执行预算。进一步提高预算编制到位率，做准做全基本支出预算，做全项目支出预算，加强预算支出的审核、跟踪及预算执行情况分析，提高预算编制严谨性和可控性。　</w:t>
      </w:r>
    </w:p>
    <w:p>
      <w:pPr>
        <w:rPr>
          <w:rFonts w:ascii="Times New Roman" w:hAnsi="Times New Roman" w:eastAsia="仿宋" w:cs="Times New Roman"/>
          <w:sz w:val="32"/>
        </w:rPr>
      </w:pPr>
      <w:r>
        <w:rPr>
          <w:rFonts w:ascii="Times New Roman" w:hAnsi="Times New Roman" w:eastAsia="仿宋" w:cs="Times New Roman"/>
          <w:sz w:val="32"/>
        </w:rPr>
        <w:t xml:space="preserve">   （二）进一步加强项目资金管理。严格实行项目管理程序化，实现项目申报、实施、拨付、评价全流程监督与控制，规范专项资金管理，提高专项资金的使用效益。</w:t>
      </w:r>
    </w:p>
    <w:p>
      <w:pPr>
        <w:rPr>
          <w:rFonts w:ascii="Times New Roman" w:hAnsi="Times New Roman" w:eastAsia="仿宋" w:cs="Times New Roman"/>
          <w:sz w:val="32"/>
        </w:rPr>
      </w:pPr>
      <w:r>
        <w:rPr>
          <w:rFonts w:ascii="Times New Roman" w:hAnsi="Times New Roman" w:eastAsia="仿宋" w:cs="Times New Roman"/>
          <w:sz w:val="32"/>
        </w:rPr>
        <w:t xml:space="preserve">   （三）进一步完善内部管理制度，提升管理效能。</w:t>
      </w:r>
    </w:p>
    <w:p>
      <w:pPr>
        <w:rPr>
          <w:rFonts w:ascii="Times New Roman" w:hAnsi="Times New Roman" w:eastAsia="黑体" w:cs="Times New Roman"/>
          <w:kern w:val="0"/>
          <w:sz w:val="32"/>
          <w:szCs w:val="32"/>
          <w:shd w:val="clear" w:color="auto" w:fill="FFFFFF"/>
        </w:rPr>
      </w:pPr>
      <w:r>
        <w:rPr>
          <w:rFonts w:ascii="Times New Roman" w:hAnsi="Times New Roman" w:eastAsia="黑体" w:cs="Times New Roman"/>
          <w:kern w:val="0"/>
          <w:sz w:val="32"/>
          <w:szCs w:val="32"/>
          <w:shd w:val="clear" w:color="auto" w:fill="FFFFFF"/>
        </w:rPr>
        <w:t xml:space="preserve">    十、绩效自评结果拟应用和公开公示情况</w:t>
      </w:r>
    </w:p>
    <w:p>
      <w:pPr>
        <w:rPr>
          <w:rFonts w:ascii="Times New Roman" w:hAnsi="Times New Roman" w:eastAsia="仿宋" w:cs="Times New Roman"/>
          <w:sz w:val="32"/>
        </w:rPr>
      </w:pPr>
      <w:r>
        <w:rPr>
          <w:rFonts w:ascii="Times New Roman" w:hAnsi="Times New Roman" w:eastAsia="楷体" w:cs="Times New Roman"/>
          <w:b/>
          <w:sz w:val="32"/>
        </w:rPr>
        <w:t xml:space="preserve">    </w:t>
      </w:r>
      <w:r>
        <w:rPr>
          <w:rFonts w:ascii="Times New Roman" w:hAnsi="Times New Roman" w:eastAsia="仿宋" w:cs="Times New Roman"/>
          <w:sz w:val="32"/>
        </w:rPr>
        <w:t>根据上年度部门整体支出绩效自评情况，我室对预算执行率偏低的项目在预算编制时进行了相应的调整；2020年度部门整体支出绩效自评报告于2020年6月30日在门户网站上公开。</w:t>
      </w:r>
    </w:p>
    <w:p>
      <w:pPr>
        <w:rPr>
          <w:rFonts w:ascii="Times New Roman" w:hAnsi="Times New Roman" w:eastAsia="黑体" w:cs="Times New Roman"/>
          <w:kern w:val="0"/>
          <w:sz w:val="32"/>
          <w:szCs w:val="32"/>
          <w:shd w:val="clear" w:color="auto" w:fill="FFFFFF"/>
        </w:rPr>
      </w:pPr>
      <w:r>
        <w:rPr>
          <w:rFonts w:ascii="Times New Roman" w:hAnsi="Times New Roman" w:eastAsia="黑体" w:cs="Times New Roman"/>
          <w:kern w:val="0"/>
          <w:sz w:val="32"/>
          <w:szCs w:val="32"/>
          <w:shd w:val="clear" w:color="auto" w:fill="FFFFFF"/>
        </w:rPr>
        <w:t xml:space="preserve">    十一、其他需要说明的情况</w:t>
      </w:r>
    </w:p>
    <w:p>
      <w:pPr>
        <w:rPr>
          <w:rFonts w:ascii="Times New Roman" w:hAnsi="Times New Roman" w:eastAsia="仿宋" w:cs="Times New Roman"/>
          <w:sz w:val="32"/>
        </w:rPr>
      </w:pPr>
      <w:r>
        <w:rPr>
          <w:rFonts w:ascii="Times New Roman" w:hAnsi="Times New Roman" w:eastAsia="楷体" w:cs="Times New Roman"/>
          <w:b/>
          <w:sz w:val="32"/>
        </w:rPr>
        <w:t xml:space="preserve">    </w:t>
      </w:r>
      <w:r>
        <w:rPr>
          <w:rFonts w:ascii="Times New Roman" w:hAnsi="Times New Roman" w:eastAsia="仿宋" w:cs="Times New Roman"/>
          <w:sz w:val="32"/>
        </w:rPr>
        <w:t>无。</w:t>
      </w:r>
    </w:p>
    <w:p>
      <w:pPr>
        <w:rPr>
          <w:rFonts w:ascii="Times New Roman" w:hAnsi="Times New Roman" w:eastAsia="楷体" w:cs="Times New Roman"/>
          <w:b/>
          <w:sz w:val="32"/>
        </w:rPr>
      </w:pPr>
      <w:r>
        <w:rPr>
          <w:rFonts w:ascii="Times New Roman" w:hAnsi="Times New Roman" w:eastAsia="楷体" w:cs="Times New Roman"/>
          <w:b/>
          <w:sz w:val="32"/>
        </w:rPr>
        <w:t xml:space="preserve">   </w:t>
      </w:r>
    </w:p>
    <w:p>
      <w:pPr>
        <w:rPr>
          <w:rFonts w:ascii="Times New Roman" w:hAnsi="Times New Roman" w:eastAsia="仿宋" w:cs="Times New Roman"/>
          <w:sz w:val="32"/>
        </w:rPr>
      </w:pPr>
    </w:p>
    <w:p>
      <w:pPr>
        <w:rPr>
          <w:rFonts w:ascii="Times New Roman" w:hAnsi="Times New Roman" w:eastAsia="仿宋" w:cs="Times New Roman"/>
          <w:sz w:val="32"/>
        </w:rPr>
      </w:pPr>
    </w:p>
    <w:p>
      <w:pPr>
        <w:rPr>
          <w:rFonts w:ascii="Times New Roman" w:hAnsi="Times New Roman" w:eastAsia="仿宋" w:cs="Times New Roman"/>
          <w:sz w:val="32"/>
        </w:rPr>
      </w:pPr>
    </w:p>
    <w:p>
      <w:pPr>
        <w:rPr>
          <w:rFonts w:ascii="Times New Roman" w:hAnsi="Times New Roman" w:eastAsia="仿宋" w:cs="Times New Roman"/>
          <w:sz w:val="32"/>
        </w:rPr>
      </w:pPr>
      <w:r>
        <w:rPr>
          <w:rFonts w:ascii="Times New Roman" w:hAnsi="Times New Roman" w:eastAsia="仿宋" w:cs="Times New Roman"/>
          <w:sz w:val="32"/>
        </w:rPr>
        <w:t xml:space="preserve">                               </w:t>
      </w:r>
    </w:p>
    <w:p>
      <w:pPr>
        <w:rPr>
          <w:rFonts w:ascii="Times New Roman" w:hAnsi="Times New Roman" w:eastAsia="仿宋" w:cs="Times New Roman"/>
          <w:sz w:val="32"/>
        </w:rPr>
      </w:pPr>
      <w:r>
        <w:rPr>
          <w:rFonts w:ascii="Times New Roman" w:hAnsi="Times New Roman" w:eastAsia="仿宋" w:cs="Times New Roman"/>
          <w:sz w:val="32"/>
        </w:rPr>
        <w:t xml:space="preserve">                                 长沙市地方志编纂室</w:t>
      </w:r>
    </w:p>
    <w:p>
      <w:pPr>
        <w:rPr>
          <w:rFonts w:ascii="Times New Roman" w:hAnsi="Times New Roman" w:eastAsia="仿宋" w:cs="Times New Roman"/>
          <w:sz w:val="32"/>
        </w:rPr>
      </w:pPr>
      <w:r>
        <w:rPr>
          <w:rFonts w:ascii="Times New Roman" w:hAnsi="Times New Roman" w:eastAsia="仿宋" w:cs="Times New Roman"/>
          <w:sz w:val="32"/>
        </w:rPr>
        <w:t xml:space="preserve">                                   2021年9月23日</w:t>
      </w:r>
    </w:p>
    <w:p>
      <w:pPr>
        <w:rPr>
          <w:rFonts w:ascii="Times New Roman" w:hAnsi="Times New Roman" w:eastAsia="仿宋" w:cs="Times New Roman"/>
          <w:sz w:val="32"/>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ourier New">
    <w:altName w:val="DejaVu Sans"/>
    <w:panose1 w:val="02070309020205020404"/>
    <w:charset w:val="00"/>
    <w:family w:val="modern"/>
    <w:pitch w:val="default"/>
    <w:sig w:usb0="00000000" w:usb1="00000000" w:usb2="00000009" w:usb3="00000000" w:csb0="000001FF" w:csb1="00000000"/>
  </w:font>
  <w:font w:name="方正小标宋_GBK">
    <w:panose1 w:val="02000000000000000000"/>
    <w:charset w:val="86"/>
    <w:family w:val="script"/>
    <w:pitch w:val="default"/>
    <w:sig w:usb0="00000001" w:usb1="08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D86"/>
    <w:rsid w:val="0000265C"/>
    <w:rsid w:val="0001527C"/>
    <w:rsid w:val="00040A6E"/>
    <w:rsid w:val="000516EF"/>
    <w:rsid w:val="000623C9"/>
    <w:rsid w:val="000D526E"/>
    <w:rsid w:val="000F0610"/>
    <w:rsid w:val="000F53C5"/>
    <w:rsid w:val="00100C5C"/>
    <w:rsid w:val="001358A7"/>
    <w:rsid w:val="001717F0"/>
    <w:rsid w:val="00196D86"/>
    <w:rsid w:val="001A0767"/>
    <w:rsid w:val="001A3915"/>
    <w:rsid w:val="00200D84"/>
    <w:rsid w:val="00203734"/>
    <w:rsid w:val="00213F07"/>
    <w:rsid w:val="0021418B"/>
    <w:rsid w:val="0025774F"/>
    <w:rsid w:val="002609B4"/>
    <w:rsid w:val="002674D3"/>
    <w:rsid w:val="00274AA8"/>
    <w:rsid w:val="00281F79"/>
    <w:rsid w:val="00283CFF"/>
    <w:rsid w:val="00291443"/>
    <w:rsid w:val="002B1F05"/>
    <w:rsid w:val="002C3F1C"/>
    <w:rsid w:val="00312391"/>
    <w:rsid w:val="00341BC1"/>
    <w:rsid w:val="00355494"/>
    <w:rsid w:val="00374F62"/>
    <w:rsid w:val="003859F4"/>
    <w:rsid w:val="003A50F4"/>
    <w:rsid w:val="003E558A"/>
    <w:rsid w:val="003E6D73"/>
    <w:rsid w:val="003F776C"/>
    <w:rsid w:val="00401F9B"/>
    <w:rsid w:val="00446A47"/>
    <w:rsid w:val="0046532A"/>
    <w:rsid w:val="004B0945"/>
    <w:rsid w:val="004C7C75"/>
    <w:rsid w:val="004E6D91"/>
    <w:rsid w:val="005070AD"/>
    <w:rsid w:val="005459DF"/>
    <w:rsid w:val="00560D8D"/>
    <w:rsid w:val="005D4B6C"/>
    <w:rsid w:val="005D5D7E"/>
    <w:rsid w:val="005E0EE2"/>
    <w:rsid w:val="00606D7C"/>
    <w:rsid w:val="00614FC6"/>
    <w:rsid w:val="00633065"/>
    <w:rsid w:val="00662169"/>
    <w:rsid w:val="006673BD"/>
    <w:rsid w:val="006A69D0"/>
    <w:rsid w:val="006E2693"/>
    <w:rsid w:val="00703BD1"/>
    <w:rsid w:val="007148C8"/>
    <w:rsid w:val="00721D52"/>
    <w:rsid w:val="00757A3B"/>
    <w:rsid w:val="00772711"/>
    <w:rsid w:val="007B0A4E"/>
    <w:rsid w:val="007D5AB6"/>
    <w:rsid w:val="007F5534"/>
    <w:rsid w:val="00824CF5"/>
    <w:rsid w:val="008655F2"/>
    <w:rsid w:val="00897AF6"/>
    <w:rsid w:val="00921782"/>
    <w:rsid w:val="009571BF"/>
    <w:rsid w:val="00A04E8A"/>
    <w:rsid w:val="00A2210E"/>
    <w:rsid w:val="00A22A87"/>
    <w:rsid w:val="00A32AA2"/>
    <w:rsid w:val="00AD4C2F"/>
    <w:rsid w:val="00B17000"/>
    <w:rsid w:val="00B21446"/>
    <w:rsid w:val="00B55E0F"/>
    <w:rsid w:val="00B74E67"/>
    <w:rsid w:val="00B9005E"/>
    <w:rsid w:val="00BA0CCA"/>
    <w:rsid w:val="00BA6350"/>
    <w:rsid w:val="00BB246E"/>
    <w:rsid w:val="00BD00E0"/>
    <w:rsid w:val="00BD3989"/>
    <w:rsid w:val="00BF2005"/>
    <w:rsid w:val="00C06B54"/>
    <w:rsid w:val="00C25BF5"/>
    <w:rsid w:val="00C613D4"/>
    <w:rsid w:val="00CA5E67"/>
    <w:rsid w:val="00D14CE4"/>
    <w:rsid w:val="00D51CA6"/>
    <w:rsid w:val="00D53F0E"/>
    <w:rsid w:val="00D6418B"/>
    <w:rsid w:val="00D81C74"/>
    <w:rsid w:val="00DB68F4"/>
    <w:rsid w:val="00E120FF"/>
    <w:rsid w:val="00E2504E"/>
    <w:rsid w:val="00E37C12"/>
    <w:rsid w:val="00E64217"/>
    <w:rsid w:val="00EB3878"/>
    <w:rsid w:val="00F074B5"/>
    <w:rsid w:val="00F6230F"/>
    <w:rsid w:val="00F77FA5"/>
    <w:rsid w:val="00F82A19"/>
    <w:rsid w:val="00F877F3"/>
    <w:rsid w:val="00FA2965"/>
    <w:rsid w:val="00FB35DE"/>
    <w:rsid w:val="00FE0C10"/>
    <w:rsid w:val="00FE348C"/>
    <w:rsid w:val="08F61A97"/>
    <w:rsid w:val="09083705"/>
    <w:rsid w:val="0CBE402E"/>
    <w:rsid w:val="0D8A247D"/>
    <w:rsid w:val="0F213C31"/>
    <w:rsid w:val="13AD7A82"/>
    <w:rsid w:val="1B4E004F"/>
    <w:rsid w:val="22C70FBF"/>
    <w:rsid w:val="25AC1147"/>
    <w:rsid w:val="27F0758C"/>
    <w:rsid w:val="29D0577A"/>
    <w:rsid w:val="2B474DB9"/>
    <w:rsid w:val="2DC72DA9"/>
    <w:rsid w:val="2F247A9B"/>
    <w:rsid w:val="36D1355E"/>
    <w:rsid w:val="39373652"/>
    <w:rsid w:val="3D1440D0"/>
    <w:rsid w:val="3DB95D18"/>
    <w:rsid w:val="3E4E00D2"/>
    <w:rsid w:val="45562CEB"/>
    <w:rsid w:val="46FE5FD2"/>
    <w:rsid w:val="470319DD"/>
    <w:rsid w:val="48023094"/>
    <w:rsid w:val="499C0D98"/>
    <w:rsid w:val="4AD54BFF"/>
    <w:rsid w:val="4C0209DC"/>
    <w:rsid w:val="4C8A4EA2"/>
    <w:rsid w:val="4E745886"/>
    <w:rsid w:val="51E06BDA"/>
    <w:rsid w:val="52652BE0"/>
    <w:rsid w:val="5E213041"/>
    <w:rsid w:val="60A31A33"/>
    <w:rsid w:val="61E216DD"/>
    <w:rsid w:val="64095F2D"/>
    <w:rsid w:val="67340AA0"/>
    <w:rsid w:val="69087C02"/>
    <w:rsid w:val="6BE66A8B"/>
    <w:rsid w:val="6EB30969"/>
    <w:rsid w:val="6FED8944"/>
    <w:rsid w:val="73C5617A"/>
    <w:rsid w:val="743E3E9A"/>
    <w:rsid w:val="74B77972"/>
    <w:rsid w:val="77971D5B"/>
    <w:rsid w:val="79A71DDC"/>
    <w:rsid w:val="7B9A6E21"/>
    <w:rsid w:val="8EFDF1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37"/>
    <w:qFormat/>
    <w:uiPriority w:val="0"/>
    <w:rPr>
      <w:sz w:val="18"/>
      <w:szCs w:val="18"/>
    </w:rPr>
  </w:style>
  <w:style w:type="paragraph" w:styleId="3">
    <w:name w:val="footer"/>
    <w:basedOn w:val="1"/>
    <w:link w:val="36"/>
    <w:qFormat/>
    <w:uiPriority w:val="0"/>
    <w:pPr>
      <w:tabs>
        <w:tab w:val="center" w:pos="4153"/>
        <w:tab w:val="right" w:pos="8306"/>
      </w:tabs>
      <w:snapToGrid w:val="0"/>
      <w:jc w:val="left"/>
    </w:pPr>
    <w:rPr>
      <w:sz w:val="18"/>
      <w:szCs w:val="18"/>
    </w:rPr>
  </w:style>
  <w:style w:type="paragraph" w:styleId="4">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styleId="10">
    <w:name w:val="FollowedHyperlink"/>
    <w:basedOn w:val="8"/>
    <w:qFormat/>
    <w:uiPriority w:val="0"/>
    <w:rPr>
      <w:color w:val="800080"/>
      <w:u w:val="none"/>
    </w:rPr>
  </w:style>
  <w:style w:type="character" w:styleId="11">
    <w:name w:val="HTML Definition"/>
    <w:basedOn w:val="8"/>
    <w:qFormat/>
    <w:uiPriority w:val="0"/>
  </w:style>
  <w:style w:type="character" w:styleId="12">
    <w:name w:val="HTML Variable"/>
    <w:basedOn w:val="8"/>
    <w:qFormat/>
    <w:uiPriority w:val="0"/>
  </w:style>
  <w:style w:type="character" w:styleId="13">
    <w:name w:val="Hyperlink"/>
    <w:basedOn w:val="8"/>
    <w:qFormat/>
    <w:uiPriority w:val="0"/>
    <w:rPr>
      <w:color w:val="0000FF"/>
      <w:u w:val="none"/>
    </w:rPr>
  </w:style>
  <w:style w:type="character" w:styleId="14">
    <w:name w:val="HTML Code"/>
    <w:basedOn w:val="8"/>
    <w:qFormat/>
    <w:uiPriority w:val="0"/>
    <w:rPr>
      <w:rFonts w:ascii="Courier New" w:hAnsi="Courier New"/>
      <w:sz w:val="20"/>
    </w:rPr>
  </w:style>
  <w:style w:type="character" w:styleId="15">
    <w:name w:val="HTML Cite"/>
    <w:basedOn w:val="8"/>
    <w:qFormat/>
    <w:uiPriority w:val="0"/>
  </w:style>
  <w:style w:type="character" w:customStyle="1" w:styleId="16">
    <w:name w:val="image"/>
    <w:basedOn w:val="8"/>
    <w:qFormat/>
    <w:uiPriority w:val="0"/>
  </w:style>
  <w:style w:type="character" w:customStyle="1" w:styleId="17">
    <w:name w:val="image1"/>
    <w:basedOn w:val="8"/>
    <w:qFormat/>
    <w:uiPriority w:val="0"/>
  </w:style>
  <w:style w:type="character" w:customStyle="1" w:styleId="18">
    <w:name w:val="image2"/>
    <w:basedOn w:val="8"/>
    <w:qFormat/>
    <w:uiPriority w:val="0"/>
  </w:style>
  <w:style w:type="character" w:customStyle="1" w:styleId="19">
    <w:name w:val="ui-icon34"/>
    <w:basedOn w:val="8"/>
    <w:qFormat/>
    <w:uiPriority w:val="0"/>
  </w:style>
  <w:style w:type="character" w:customStyle="1" w:styleId="20">
    <w:name w:val="directchildrenspan"/>
    <w:basedOn w:val="8"/>
    <w:qFormat/>
    <w:uiPriority w:val="0"/>
  </w:style>
  <w:style w:type="character" w:customStyle="1" w:styleId="21">
    <w:name w:val="button-hover"/>
    <w:basedOn w:val="8"/>
    <w:qFormat/>
    <w:uiPriority w:val="0"/>
  </w:style>
  <w:style w:type="character" w:customStyle="1" w:styleId="22">
    <w:name w:val="button-hover1"/>
    <w:basedOn w:val="8"/>
    <w:qFormat/>
    <w:uiPriority w:val="0"/>
  </w:style>
  <w:style w:type="character" w:customStyle="1" w:styleId="23">
    <w:name w:val="item-middle"/>
    <w:basedOn w:val="8"/>
    <w:qFormat/>
    <w:uiPriority w:val="0"/>
  </w:style>
  <w:style w:type="character" w:customStyle="1" w:styleId="24">
    <w:name w:val="group"/>
    <w:basedOn w:val="8"/>
    <w:qFormat/>
    <w:uiPriority w:val="0"/>
  </w:style>
  <w:style w:type="character" w:customStyle="1" w:styleId="25">
    <w:name w:val="clicked1"/>
    <w:basedOn w:val="8"/>
    <w:qFormat/>
    <w:uiPriority w:val="0"/>
    <w:rPr>
      <w:color w:val="000000"/>
    </w:rPr>
  </w:style>
  <w:style w:type="character" w:customStyle="1" w:styleId="26">
    <w:name w:val="clicked2"/>
    <w:basedOn w:val="8"/>
    <w:qFormat/>
    <w:uiPriority w:val="0"/>
  </w:style>
  <w:style w:type="character" w:customStyle="1" w:styleId="27">
    <w:name w:val="clicked3"/>
    <w:basedOn w:val="8"/>
    <w:qFormat/>
    <w:uiPriority w:val="0"/>
  </w:style>
  <w:style w:type="character" w:customStyle="1" w:styleId="28">
    <w:name w:val="ui-state-hover21"/>
    <w:basedOn w:val="8"/>
    <w:qFormat/>
    <w:uiPriority w:val="0"/>
  </w:style>
  <w:style w:type="character" w:customStyle="1" w:styleId="29">
    <w:name w:val="ui-state-default12"/>
    <w:basedOn w:val="8"/>
    <w:qFormat/>
    <w:uiPriority w:val="0"/>
  </w:style>
  <w:style w:type="character" w:customStyle="1" w:styleId="30">
    <w:name w:val="ui-state-default13"/>
    <w:basedOn w:val="8"/>
    <w:qFormat/>
    <w:uiPriority w:val="0"/>
  </w:style>
  <w:style w:type="character" w:customStyle="1" w:styleId="31">
    <w:name w:val="ui-state-active6"/>
    <w:basedOn w:val="8"/>
    <w:qFormat/>
    <w:uiPriority w:val="0"/>
  </w:style>
  <w:style w:type="character" w:customStyle="1" w:styleId="32">
    <w:name w:val="newstitle"/>
    <w:basedOn w:val="8"/>
    <w:qFormat/>
    <w:uiPriority w:val="0"/>
    <w:rPr>
      <w:b/>
      <w:color w:val="000000"/>
      <w:sz w:val="24"/>
      <w:szCs w:val="24"/>
    </w:rPr>
  </w:style>
  <w:style w:type="character" w:customStyle="1" w:styleId="33">
    <w:name w:val="imgspan"/>
    <w:basedOn w:val="8"/>
    <w:qFormat/>
    <w:uiPriority w:val="0"/>
  </w:style>
  <w:style w:type="paragraph" w:customStyle="1" w:styleId="3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35">
    <w:name w:val="页眉 Char"/>
    <w:basedOn w:val="8"/>
    <w:link w:val="4"/>
    <w:qFormat/>
    <w:uiPriority w:val="0"/>
    <w:rPr>
      <w:rFonts w:asciiTheme="minorHAnsi" w:hAnsiTheme="minorHAnsi" w:eastAsiaTheme="minorEastAsia" w:cstheme="minorBidi"/>
      <w:kern w:val="2"/>
      <w:sz w:val="18"/>
      <w:szCs w:val="18"/>
    </w:rPr>
  </w:style>
  <w:style w:type="character" w:customStyle="1" w:styleId="36">
    <w:name w:val="页脚 Char"/>
    <w:basedOn w:val="8"/>
    <w:link w:val="3"/>
    <w:qFormat/>
    <w:uiPriority w:val="0"/>
    <w:rPr>
      <w:rFonts w:asciiTheme="minorHAnsi" w:hAnsiTheme="minorHAnsi" w:eastAsiaTheme="minorEastAsia" w:cstheme="minorBidi"/>
      <w:kern w:val="2"/>
      <w:sz w:val="18"/>
      <w:szCs w:val="18"/>
    </w:rPr>
  </w:style>
  <w:style w:type="character" w:customStyle="1" w:styleId="37">
    <w:name w:val="批注框文本 Char"/>
    <w:basedOn w:val="8"/>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www.diannaotuan.com</Company>
  <Pages>1</Pages>
  <Words>2710</Words>
  <Characters>15453</Characters>
  <Lines>128</Lines>
  <Paragraphs>36</Paragraphs>
  <TotalTime>421</TotalTime>
  <ScaleCrop>false</ScaleCrop>
  <LinksUpToDate>false</LinksUpToDate>
  <CharactersWithSpaces>18127</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2022-05-27T15:35:00Z</dcterms:created>
  <dc:creator>lenovo</dc:creator>
  <cp:lastModifiedBy>        宁翛</cp:lastModifiedBy>
  <cp:lastPrinted>2022-12-07T17:48:00Z</cp:lastPrinted>
  <dcterms:modified xsi:type="dcterms:W3CDTF">2025-10-10T15:57:06Z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