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default" w:ascii="Times New Roman" w:hAnsi="Times New Roman" w:cs="Times New Roman"/>
          <w:b/>
          <w:color w:val="auto"/>
          <w:sz w:val="44"/>
          <w:highlight w:val="none"/>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52"/>
          <w:szCs w:val="52"/>
          <w:highlight w:val="none"/>
          <w:lang w:val="en-US" w:eastAsia="zh-CN"/>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52"/>
          <w:szCs w:val="52"/>
          <w:highlight w:val="none"/>
          <w:lang w:val="en-US" w:eastAsia="zh-CN"/>
        </w:rPr>
      </w:pPr>
      <w:r>
        <w:rPr>
          <w:rFonts w:hint="eastAsia" w:ascii="方正小标宋简体" w:hAnsi="方正小标宋简体" w:eastAsia="方正小标宋简体" w:cs="方正小标宋简体"/>
          <w:color w:val="auto"/>
          <w:sz w:val="52"/>
          <w:szCs w:val="52"/>
          <w:highlight w:val="none"/>
          <w:lang w:val="en-US" w:eastAsia="zh-CN"/>
        </w:rPr>
        <w:t>2022</w:t>
      </w:r>
      <w:r>
        <w:rPr>
          <w:rFonts w:hint="eastAsia" w:ascii="方正小标宋简体" w:hAnsi="方正小标宋简体" w:eastAsia="方正小标宋简体" w:cs="方正小标宋简体"/>
          <w:color w:val="auto"/>
          <w:sz w:val="52"/>
          <w:szCs w:val="52"/>
          <w:highlight w:val="none"/>
          <w:lang w:eastAsia="zh-CN"/>
        </w:rPr>
        <w:t>年度长沙市住房和城乡建设局</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52"/>
          <w:szCs w:val="52"/>
          <w:highlight w:val="none"/>
          <w:lang w:eastAsia="zh-CN"/>
        </w:rPr>
      </w:pPr>
      <w:r>
        <w:rPr>
          <w:rFonts w:hint="eastAsia" w:ascii="方正小标宋简体" w:hAnsi="方正小标宋简体" w:eastAsia="方正小标宋简体" w:cs="方正小标宋简体"/>
          <w:color w:val="auto"/>
          <w:sz w:val="52"/>
          <w:szCs w:val="52"/>
          <w:highlight w:val="none"/>
          <w:lang w:val="en-US" w:eastAsia="zh-CN"/>
        </w:rPr>
        <w:t>部门</w:t>
      </w:r>
      <w:r>
        <w:rPr>
          <w:rFonts w:hint="eastAsia" w:ascii="方正小标宋简体" w:hAnsi="方正小标宋简体" w:eastAsia="方正小标宋简体" w:cs="方正小标宋简体"/>
          <w:color w:val="auto"/>
          <w:sz w:val="52"/>
          <w:szCs w:val="52"/>
          <w:highlight w:val="none"/>
          <w:lang w:eastAsia="zh-CN"/>
        </w:rPr>
        <w:t>整体支出绩效自评报告</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color w:val="auto"/>
          <w:sz w:val="52"/>
          <w:szCs w:val="52"/>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ascii="黑体" w:hAnsi="黑体" w:eastAsia="黑体" w:cs="Times New Roman"/>
          <w:b/>
          <w:bCs/>
          <w:color w:val="auto"/>
          <w:sz w:val="32"/>
          <w:szCs w:val="32"/>
          <w:highlight w:val="none"/>
        </w:rPr>
      </w:pPr>
      <w:r>
        <w:rPr>
          <w:rFonts w:hint="eastAsia" w:ascii="黑体" w:hAnsi="黑体" w:eastAsia="黑体" w:cs="黑体"/>
          <w:color w:val="auto"/>
          <w:sz w:val="32"/>
          <w:szCs w:val="32"/>
          <w:highlight w:val="none"/>
        </w:rPr>
        <w:t>一、部门概况</w:t>
      </w:r>
    </w:p>
    <w:p>
      <w:pPr>
        <w:spacing w:line="240" w:lineRule="auto"/>
        <w:ind w:firstLine="643" w:firstLineChars="200"/>
        <w:jc w:val="left"/>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（一）部门基本情况</w:t>
      </w:r>
    </w:p>
    <w:p>
      <w:pPr>
        <w:spacing w:line="240" w:lineRule="auto"/>
        <w:ind w:firstLine="643" w:firstLineChars="200"/>
        <w:jc w:val="left"/>
        <w:rPr>
          <w:rFonts w:ascii="Times New Roman" w:hAnsi="Times New Roman" w:eastAsia="仿宋_GB2312" w:cs="Times New Roman"/>
          <w:b/>
          <w:bCs/>
          <w:color w:val="auto"/>
          <w:sz w:val="32"/>
          <w:szCs w:val="32"/>
          <w:highlight w:val="none"/>
        </w:rPr>
      </w:pPr>
      <w:r>
        <w:rPr>
          <w:rFonts w:ascii="Times New Roman" w:hAnsi="Times New Roman" w:eastAsia="仿宋_GB2312" w:cs="Times New Roman"/>
          <w:b/>
          <w:bCs/>
          <w:color w:val="auto"/>
          <w:sz w:val="32"/>
          <w:szCs w:val="32"/>
          <w:highlight w:val="none"/>
        </w:rPr>
        <w:t>1</w:t>
      </w: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rPr>
        <w:t>机构设置</w:t>
      </w:r>
    </w:p>
    <w:p>
      <w:pPr>
        <w:spacing w:line="240" w:lineRule="auto"/>
        <w:ind w:firstLine="640" w:firstLineChars="200"/>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长沙市住房和城乡建设局（以下简称“市住建局”或“本局”）</w:t>
      </w:r>
      <w:r>
        <w:rPr>
          <w:rFonts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度</w:t>
      </w:r>
      <w:r>
        <w:rPr>
          <w:rFonts w:hint="eastAsia" w:ascii="Times New Roman" w:hAnsi="Times New Roman" w:eastAsia="仿宋_GB2312" w:cs="仿宋_GB2312"/>
          <w:color w:val="auto"/>
          <w:sz w:val="32"/>
          <w:szCs w:val="32"/>
          <w:highlight w:val="none"/>
        </w:rPr>
        <w:t>机关</w:t>
      </w:r>
      <w:r>
        <w:rPr>
          <w:rFonts w:hint="eastAsia" w:ascii="Times New Roman" w:hAnsi="Times New Roman" w:eastAsia="仿宋_GB2312" w:cs="Times New Roman"/>
          <w:color w:val="auto"/>
          <w:sz w:val="32"/>
          <w:szCs w:val="32"/>
          <w:highlight w:val="none"/>
        </w:rPr>
        <w:t>内设29个处室，包括办公室、研究室、房地产开发管理处、房地产市场监管处、物业监管处（长沙市物业管理办公室）、房屋安全管理处（长沙市房屋安全鉴定管理办公室）、建筑行业管理处、建设市场管理处、工程质量安全监管处（应急管理办公室）、勘察设计处、建筑节能与科学技术处、</w:t>
      </w:r>
      <w:r>
        <w:rPr>
          <w:rFonts w:hint="eastAsia" w:ascii="Times New Roman" w:hAnsi="Times New Roman" w:eastAsia="仿宋_GB2312" w:cs="Times New Roman"/>
          <w:color w:val="auto"/>
          <w:sz w:val="32"/>
          <w:szCs w:val="32"/>
          <w:highlight w:val="none"/>
          <w:lang w:eastAsia="zh-CN"/>
        </w:rPr>
        <w:t>总工室</w:t>
      </w:r>
      <w:r>
        <w:rPr>
          <w:rFonts w:hint="eastAsia" w:ascii="Times New Roman" w:hAnsi="Times New Roman" w:eastAsia="仿宋_GB2312" w:cs="Times New Roman"/>
          <w:color w:val="auto"/>
          <w:sz w:val="32"/>
          <w:szCs w:val="32"/>
          <w:highlight w:val="none"/>
        </w:rPr>
        <w:t>（市政基础设施建设项目前期办公室）、村镇建设处、城市地下管线管理处、机场建设协调处、供水管理处、排水管理处、行政审批和政务服务处、住房保障规划项目处、保障性住房指导监管处（长沙市住房制度改革领导小组办公室）、信息处、法制处、信访处、计划财务审计处、宣传教育处、组织人事处、高铁新城办事处、离退休人员管理服务处、机关党委。</w:t>
      </w:r>
    </w:p>
    <w:p>
      <w:pPr>
        <w:spacing w:line="240" w:lineRule="auto"/>
        <w:ind w:firstLine="643" w:firstLineChars="200"/>
        <w:jc w:val="left"/>
        <w:rPr>
          <w:rFonts w:ascii="Times New Roman" w:hAnsi="Times New Roman" w:eastAsia="仿宋_GB2312" w:cs="Times New Roman"/>
          <w:b/>
          <w:bCs/>
          <w:color w:val="auto"/>
          <w:sz w:val="32"/>
          <w:szCs w:val="32"/>
          <w:highlight w:val="none"/>
        </w:rPr>
      </w:pPr>
      <w:r>
        <w:rPr>
          <w:rFonts w:ascii="Times New Roman" w:hAnsi="Times New Roman" w:eastAsia="仿宋_GB2312" w:cs="Times New Roman"/>
          <w:b/>
          <w:bCs/>
          <w:color w:val="auto"/>
          <w:sz w:val="32"/>
          <w:szCs w:val="32"/>
          <w:highlight w:val="none"/>
        </w:rPr>
        <w:t>2</w:t>
      </w: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rPr>
        <w:t>职能职责</w:t>
      </w:r>
    </w:p>
    <w:p>
      <w:pPr>
        <w:spacing w:line="240" w:lineRule="auto"/>
        <w:ind w:firstLine="640" w:firstLineChars="200"/>
        <w:jc w:val="left"/>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贯彻落实有关住房和城乡建设的政策法规；拟订、审查住房和城乡建设行业地方性法规、规章草案；研究拟订住房和城乡建设发展战略、产业政策、改革方案和中长期规划及年度计划并组织实施；牵头组织推进新型城市化发展战略和行业诚信体系建设；参与包括专业规划在内的城市规划工作；指导和协调区、县（市）住房和城乡建设管理工作。</w:t>
      </w:r>
    </w:p>
    <w:p>
      <w:pPr>
        <w:spacing w:line="240" w:lineRule="auto"/>
        <w:ind w:firstLine="640" w:firstLineChars="200"/>
        <w:jc w:val="left"/>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指导、监管、协调城市建设资金投融资工作；负责管理城市维护建设专项资金；负责物业专项维修资金、新型墙体材料专项基金、城市基础设施建设配套费的征收管理；检查、监督、审计建设资金使用情况；参与全市城建重点工程资金计划的编制，负责市级政府投资市政工程项目设计概算审查。</w:t>
      </w:r>
    </w:p>
    <w:p>
      <w:pPr>
        <w:spacing w:line="240" w:lineRule="auto"/>
        <w:ind w:firstLine="640" w:firstLineChars="200"/>
        <w:jc w:val="left"/>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承担规范全市房地产市场秩序、监督管理房地产市场的责任。按规定权限管理全市房地产开发企业、物业管理企业的资质；负责商品房屋预售许可、销售管理；监督管理房地产开发市场、房地产交易市场、物业管理市场、房地产中介服务市场和租赁市场；负责指导监督城市房屋白蚁防治工作；负责危旧房屋的安全鉴定和行业管理工作；指导住宅产业化工作。</w:t>
      </w:r>
    </w:p>
    <w:p>
      <w:pPr>
        <w:spacing w:line="240" w:lineRule="auto"/>
        <w:ind w:firstLine="640" w:firstLineChars="200"/>
        <w:jc w:val="left"/>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承担城区供水、排水、节水、防涝排渍以及城镇污水处理、再生水和中水利用等职责；负责指导和监督以城区市政道路为载体的雨水管网、雨污合流管网以及除压力干管之外的污水收集管网的管理维护工作；承担乡镇污水处理厂及配套管网建设和运行管理。</w:t>
      </w:r>
    </w:p>
    <w:p>
      <w:pPr>
        <w:spacing w:line="240" w:lineRule="auto"/>
        <w:ind w:firstLine="640" w:firstLineChars="200"/>
        <w:jc w:val="left"/>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承担村镇建设管理和指导责任，参与村镇建设规划的编制，参与城乡一体化建设工作；指导全市城乡建设档案工作，负责本市建设项目的档案收集、保管和利用工作；承担全市农村危房改造管理。</w:t>
      </w:r>
    </w:p>
    <w:p>
      <w:pPr>
        <w:spacing w:line="240" w:lineRule="auto"/>
        <w:ind w:firstLine="640" w:firstLineChars="200"/>
        <w:jc w:val="left"/>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承担管理全市建筑市场的责任。负责全市建设工程招投标监管和备案工作；负责建筑施工、装饰装修、工程监理、造价咨询、招标代理、建设工程质量检测和混凝土生产等行业的监管；按照规定权限负责建筑业企业、工程监理企业等单位的资质和从业人员资格管理；负责建筑工程施工许可</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负责房屋建筑和市政基础设施工程公开招标项目的招标控制价备案、工程造价管理；指导建设工程有形建筑市场。</w:t>
      </w:r>
    </w:p>
    <w:p>
      <w:pPr>
        <w:spacing w:line="240" w:lineRule="auto"/>
        <w:ind w:firstLine="640" w:firstLineChars="200"/>
        <w:jc w:val="left"/>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7</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承担全市建设工程质量、安全生产监督管理的责任。负责工程建设标准体系的贯彻执行，制定建设工程质量管理、安全生产的规章制度并监督执行；负责全市建设工程施工现场管理，牵头组织建设工程项目联合验收备案；负责建筑起重机械特种作业人员的操作资格认定。</w:t>
      </w:r>
    </w:p>
    <w:p>
      <w:pPr>
        <w:spacing w:line="240" w:lineRule="auto"/>
        <w:ind w:firstLine="640" w:firstLineChars="200"/>
        <w:jc w:val="left"/>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8</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承担建设工程消防设计审查、验收及备案抽查工作。</w:t>
      </w:r>
    </w:p>
    <w:p>
      <w:pPr>
        <w:spacing w:line="240" w:lineRule="auto"/>
        <w:ind w:firstLine="640" w:firstLineChars="200"/>
        <w:jc w:val="left"/>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9</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承担推进全市建筑节能、墙体材料革新和建设科技进步的责任；牵头推进绿色建筑、可再生能源建筑应用示范工作；负责全市城市雕塑管理工作。</w:t>
      </w:r>
    </w:p>
    <w:p>
      <w:pPr>
        <w:spacing w:line="240" w:lineRule="auto"/>
        <w:ind w:firstLine="640" w:firstLineChars="200"/>
        <w:jc w:val="left"/>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10</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承担监督管理全市建设工程勘察设计市场的责任。负责全市市政基础设施工程方案审查、政府投资的房屋建筑和市政基础设施工程初步设计审查，以及全市建设工程施工图设计文件审查备案；负责全市建设工程勘察设计行业的监督管理。</w:t>
      </w:r>
    </w:p>
    <w:p>
      <w:pPr>
        <w:spacing w:line="240" w:lineRule="auto"/>
        <w:ind w:firstLine="640" w:firstLineChars="200"/>
        <w:jc w:val="left"/>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11</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建立和完善住房保障体系，研究拟订全市住房保障政策并组织实施，指导、监督全市住房保障工作；组织编制全市住房保障中长期发展规划，组织落实住房保障建设计划，负责保障性住房建设、分配、运营、管理的协调和监督工作；承担市住房改革领导小组办公室的日常工作，处理住房改革工作中的遗留问题。</w:t>
      </w:r>
    </w:p>
    <w:p>
      <w:pPr>
        <w:spacing w:line="240" w:lineRule="auto"/>
        <w:ind w:firstLine="640" w:firstLineChars="200"/>
        <w:jc w:val="left"/>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12</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承办市委、市人民政府交办的其他事项。</w:t>
      </w:r>
    </w:p>
    <w:p>
      <w:pPr>
        <w:spacing w:line="240" w:lineRule="auto"/>
        <w:ind w:firstLine="643" w:firstLineChars="200"/>
        <w:jc w:val="left"/>
        <w:rPr>
          <w:rFonts w:ascii="Times New Roman" w:hAnsi="Times New Roman" w:eastAsia="仿宋_GB2312" w:cs="Times New Roman"/>
          <w:b/>
          <w:bCs/>
          <w:color w:val="auto"/>
          <w:sz w:val="32"/>
          <w:szCs w:val="32"/>
          <w:highlight w:val="none"/>
        </w:rPr>
      </w:pPr>
      <w:r>
        <w:rPr>
          <w:rFonts w:ascii="Times New Roman" w:hAnsi="Times New Roman" w:eastAsia="仿宋_GB2312" w:cs="Times New Roman"/>
          <w:b/>
          <w:bCs/>
          <w:color w:val="auto"/>
          <w:sz w:val="32"/>
          <w:szCs w:val="32"/>
          <w:highlight w:val="none"/>
        </w:rPr>
        <w:t>3</w:t>
      </w: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rPr>
        <w:t>在职人员情况</w:t>
      </w:r>
    </w:p>
    <w:p>
      <w:pPr>
        <w:spacing w:line="240" w:lineRule="auto"/>
        <w:ind w:firstLine="640" w:firstLineChars="200"/>
        <w:rPr>
          <w:rFonts w:ascii="Times New Roman" w:hAnsi="Times New Roman" w:eastAsia="仿宋_GB2312" w:cs="Times New Roman"/>
          <w:i/>
          <w:iCs/>
          <w:color w:val="auto"/>
          <w:sz w:val="32"/>
          <w:szCs w:val="32"/>
          <w:highlight w:val="none"/>
        </w:rPr>
      </w:pPr>
      <w:r>
        <w:rPr>
          <w:rFonts w:hint="eastAsia" w:ascii="Times New Roman" w:hAnsi="Times New Roman" w:eastAsia="仿宋_GB2312" w:cs="仿宋_GB2312"/>
          <w:color w:val="auto"/>
          <w:sz w:val="32"/>
          <w:szCs w:val="32"/>
          <w:highlight w:val="none"/>
          <w:lang w:eastAsia="zh-CN"/>
        </w:rPr>
        <w:t>本局</w:t>
      </w:r>
      <w:r>
        <w:rPr>
          <w:rFonts w:hint="eastAsia" w:ascii="Times New Roman" w:hAnsi="Times New Roman" w:eastAsia="仿宋_GB2312" w:cs="仿宋_GB2312"/>
          <w:color w:val="auto"/>
          <w:sz w:val="32"/>
          <w:szCs w:val="32"/>
          <w:highlight w:val="none"/>
        </w:rPr>
        <w:t>机关行政编制人数</w:t>
      </w:r>
      <w:r>
        <w:rPr>
          <w:rFonts w:ascii="Times New Roman" w:hAnsi="Times New Roman" w:eastAsia="仿宋_GB2312" w:cs="Times New Roman"/>
          <w:color w:val="auto"/>
          <w:sz w:val="32"/>
          <w:szCs w:val="32"/>
          <w:highlight w:val="none"/>
        </w:rPr>
        <w:t>150</w:t>
      </w:r>
      <w:r>
        <w:rPr>
          <w:rFonts w:hint="eastAsia" w:ascii="Times New Roman" w:hAnsi="Times New Roman" w:eastAsia="仿宋_GB2312" w:cs="仿宋_GB2312"/>
          <w:color w:val="auto"/>
          <w:sz w:val="32"/>
          <w:szCs w:val="32"/>
          <w:highlight w:val="none"/>
        </w:rPr>
        <w:t>人，</w:t>
      </w:r>
      <w:r>
        <w:rPr>
          <w:rFonts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年</w:t>
      </w:r>
      <w:r>
        <w:rPr>
          <w:rFonts w:ascii="Times New Roman" w:hAnsi="Times New Roman" w:eastAsia="仿宋_GB2312" w:cs="Times New Roman"/>
          <w:color w:val="auto"/>
          <w:sz w:val="32"/>
          <w:szCs w:val="32"/>
          <w:highlight w:val="none"/>
        </w:rPr>
        <w:t>12</w:t>
      </w:r>
      <w:r>
        <w:rPr>
          <w:rFonts w:hint="eastAsia" w:ascii="Times New Roman" w:hAnsi="Times New Roman" w:eastAsia="仿宋_GB2312" w:cs="仿宋_GB2312"/>
          <w:color w:val="auto"/>
          <w:sz w:val="32"/>
          <w:szCs w:val="32"/>
          <w:highlight w:val="none"/>
        </w:rPr>
        <w:t>月实有在职</w:t>
      </w:r>
      <w:r>
        <w:rPr>
          <w:rFonts w:hint="eastAsia" w:ascii="Times New Roman" w:hAnsi="Times New Roman" w:eastAsia="仿宋_GB2312" w:cs="仿宋_GB2312"/>
          <w:color w:val="auto"/>
          <w:sz w:val="32"/>
          <w:szCs w:val="32"/>
          <w:highlight w:val="none"/>
          <w:lang w:val="en-US" w:eastAsia="zh-CN"/>
        </w:rPr>
        <w:t>在编</w:t>
      </w:r>
      <w:r>
        <w:rPr>
          <w:rFonts w:hint="eastAsia" w:ascii="Times New Roman" w:hAnsi="Times New Roman" w:eastAsia="仿宋_GB2312" w:cs="仿宋_GB2312"/>
          <w:color w:val="auto"/>
          <w:sz w:val="32"/>
          <w:szCs w:val="32"/>
          <w:highlight w:val="none"/>
        </w:rPr>
        <w:t>人数</w:t>
      </w:r>
      <w:r>
        <w:rPr>
          <w:rFonts w:hint="eastAsia" w:ascii="Times New Roman" w:hAnsi="Times New Roman" w:eastAsia="仿宋_GB2312" w:cs="Times New Roman"/>
          <w:color w:val="auto"/>
          <w:sz w:val="32"/>
          <w:szCs w:val="32"/>
          <w:highlight w:val="none"/>
          <w:lang w:val="en-US" w:eastAsia="zh-CN"/>
        </w:rPr>
        <w:t>138</w:t>
      </w:r>
      <w:r>
        <w:rPr>
          <w:rFonts w:hint="eastAsia" w:ascii="Times New Roman" w:hAnsi="Times New Roman" w:eastAsia="仿宋_GB2312" w:cs="仿宋_GB2312"/>
          <w:color w:val="auto"/>
          <w:sz w:val="32"/>
          <w:szCs w:val="32"/>
          <w:highlight w:val="none"/>
        </w:rPr>
        <w:t>人，离休人员</w:t>
      </w: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仿宋_GB2312"/>
          <w:color w:val="auto"/>
          <w:sz w:val="32"/>
          <w:szCs w:val="32"/>
          <w:highlight w:val="none"/>
        </w:rPr>
        <w:t>人。中高级政府雇员</w:t>
      </w:r>
      <w:r>
        <w:rPr>
          <w:rFonts w:hint="eastAsia" w:ascii="Times New Roman" w:hAnsi="Times New Roman" w:eastAsia="仿宋_GB2312" w:cs="Times New Roman"/>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人，临聘人员</w:t>
      </w: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7</w:t>
      </w:r>
      <w:r>
        <w:rPr>
          <w:rFonts w:hint="eastAsia" w:ascii="Times New Roman" w:hAnsi="Times New Roman" w:eastAsia="仿宋_GB2312" w:cs="仿宋_GB2312"/>
          <w:color w:val="auto"/>
          <w:sz w:val="32"/>
          <w:szCs w:val="32"/>
          <w:highlight w:val="none"/>
        </w:rPr>
        <w:t>人</w:t>
      </w:r>
      <w:r>
        <w:rPr>
          <w:rFonts w:hint="eastAsia" w:ascii="Times New Roman" w:hAnsi="Times New Roman" w:eastAsia="仿宋_GB2312" w:cs="仿宋_GB2312"/>
          <w:i/>
          <w:iCs/>
          <w:color w:val="auto"/>
          <w:sz w:val="32"/>
          <w:szCs w:val="32"/>
          <w:highlight w:val="none"/>
          <w:lang w:val="en-US" w:eastAsia="zh-CN"/>
        </w:rPr>
        <w:t>。</w:t>
      </w:r>
    </w:p>
    <w:p>
      <w:pPr>
        <w:spacing w:line="240" w:lineRule="auto"/>
        <w:ind w:firstLine="643" w:firstLineChars="200"/>
        <w:jc w:val="left"/>
        <w:rPr>
          <w:rFonts w:hint="eastAsia" w:ascii="Times New Roman" w:hAnsi="Times New Roman" w:eastAsia="仿宋_GB2312" w:cs="Times New Roman"/>
          <w:b/>
          <w:bCs/>
          <w:color w:val="auto"/>
          <w:sz w:val="32"/>
          <w:szCs w:val="32"/>
          <w:highlight w:val="none"/>
        </w:rPr>
      </w:pPr>
      <w:r>
        <w:rPr>
          <w:rFonts w:hint="eastAsia" w:ascii="Times New Roman" w:hAnsi="Times New Roman" w:eastAsia="仿宋_GB2312" w:cs="Times New Roman"/>
          <w:b/>
          <w:bCs/>
          <w:color w:val="auto"/>
          <w:sz w:val="32"/>
          <w:szCs w:val="32"/>
          <w:highlight w:val="none"/>
        </w:rPr>
        <w:t>4</w:t>
      </w:r>
      <w:r>
        <w:rPr>
          <w:rFonts w:hint="eastAsia" w:ascii="Times New Roman" w:hAnsi="Times New Roman" w:eastAsia="仿宋_GB2312" w:cs="Times New Roman"/>
          <w:b/>
          <w:bCs/>
          <w:color w:val="auto"/>
          <w:sz w:val="32"/>
          <w:szCs w:val="32"/>
          <w:highlight w:val="none"/>
          <w:lang w:eastAsia="zh-CN"/>
        </w:rPr>
        <w:t>.</w:t>
      </w:r>
      <w:r>
        <w:rPr>
          <w:rFonts w:hint="eastAsia" w:ascii="Times New Roman" w:hAnsi="Times New Roman" w:eastAsia="仿宋_GB2312" w:cs="Times New Roman"/>
          <w:b/>
          <w:bCs/>
          <w:color w:val="auto"/>
          <w:sz w:val="32"/>
          <w:szCs w:val="32"/>
          <w:highlight w:val="none"/>
        </w:rPr>
        <w:t>重点工作计划</w:t>
      </w:r>
    </w:p>
    <w:p>
      <w:pPr>
        <w:spacing w:line="240" w:lineRule="auto"/>
        <w:ind w:firstLine="643" w:firstLineChars="200"/>
        <w:jc w:val="both"/>
        <w:rPr>
          <w:rFonts w:ascii="Times New Roman" w:hAnsi="Times New Roman" w:eastAsia="仿宋_GB2312" w:cs="Times New Roman"/>
          <w:color w:val="auto"/>
          <w:sz w:val="32"/>
          <w:szCs w:val="32"/>
          <w:highlight w:val="none"/>
        </w:rPr>
      </w:pP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val="en-US" w:eastAsia="zh-CN"/>
        </w:rPr>
        <w:t>1</w:t>
      </w: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val="en-US" w:eastAsia="zh-CN"/>
        </w:rPr>
        <w:t>精准助力“强省会”战略实施。</w:t>
      </w:r>
      <w:r>
        <w:rPr>
          <w:rFonts w:hint="eastAsia" w:ascii="华文宋体" w:hAnsi="华文宋体" w:eastAsia="仿宋_GB2312" w:cs="华文中宋"/>
          <w:color w:val="auto"/>
          <w:spacing w:val="0"/>
          <w:kern w:val="0"/>
          <w:sz w:val="32"/>
          <w:szCs w:val="32"/>
          <w:highlight w:val="none"/>
          <w:lang w:val="en-US" w:eastAsia="zh-CN" w:bidi="ar-SA"/>
        </w:rPr>
        <w:t>聚焦城市路网和轨道交通建设，着力推进</w:t>
      </w:r>
      <w:r>
        <w:rPr>
          <w:rFonts w:hint="eastAsia" w:ascii="Times New Roman" w:hAnsi="Times New Roman" w:eastAsia="仿宋_GB2312" w:cs="华文中宋"/>
          <w:color w:val="auto"/>
          <w:spacing w:val="0"/>
          <w:kern w:val="0"/>
          <w:sz w:val="32"/>
          <w:szCs w:val="32"/>
          <w:highlight w:val="none"/>
          <w:lang w:val="en-US" w:eastAsia="zh-CN" w:bidi="ar-SA"/>
        </w:rPr>
        <w:t>4</w:t>
      </w:r>
      <w:r>
        <w:rPr>
          <w:rFonts w:hint="eastAsia" w:ascii="华文宋体" w:hAnsi="华文宋体" w:eastAsia="仿宋_GB2312" w:cs="华文中宋"/>
          <w:color w:val="auto"/>
          <w:spacing w:val="0"/>
          <w:kern w:val="0"/>
          <w:sz w:val="32"/>
          <w:szCs w:val="32"/>
          <w:highlight w:val="none"/>
          <w:lang w:val="en-US" w:eastAsia="zh-CN" w:bidi="ar-SA"/>
        </w:rPr>
        <w:t>条过江通道建设，全面推进劳动路东延、湘府路东延、机场中轴大道等黄花机场配套道路建设，围绕高铁西城等重点片区配套重大市政项目。稳步推进轨道交通</w:t>
      </w:r>
      <w:r>
        <w:rPr>
          <w:rFonts w:hint="eastAsia" w:ascii="Times New Roman" w:hAnsi="Times New Roman" w:eastAsia="仿宋_GB2312" w:cs="华文中宋"/>
          <w:color w:val="auto"/>
          <w:spacing w:val="0"/>
          <w:kern w:val="0"/>
          <w:sz w:val="32"/>
          <w:szCs w:val="32"/>
          <w:highlight w:val="none"/>
          <w:lang w:val="en-US" w:eastAsia="zh-CN" w:bidi="ar-SA"/>
        </w:rPr>
        <w:t>7</w:t>
      </w:r>
      <w:r>
        <w:rPr>
          <w:rFonts w:hint="eastAsia" w:ascii="华文宋体" w:hAnsi="华文宋体" w:eastAsia="仿宋_GB2312" w:cs="华文中宋"/>
          <w:color w:val="auto"/>
          <w:spacing w:val="0"/>
          <w:kern w:val="0"/>
          <w:sz w:val="32"/>
          <w:szCs w:val="32"/>
          <w:highlight w:val="none"/>
          <w:lang w:val="en-US" w:eastAsia="zh-CN" w:bidi="ar-SA"/>
        </w:rPr>
        <w:t>号线、</w:t>
      </w:r>
      <w:r>
        <w:rPr>
          <w:rFonts w:hint="eastAsia" w:ascii="Times New Roman" w:hAnsi="Times New Roman" w:eastAsia="仿宋_GB2312" w:cs="华文中宋"/>
          <w:color w:val="auto"/>
          <w:spacing w:val="0"/>
          <w:kern w:val="0"/>
          <w:sz w:val="32"/>
          <w:szCs w:val="32"/>
          <w:highlight w:val="none"/>
          <w:lang w:val="en-US" w:eastAsia="zh-CN" w:bidi="ar-SA"/>
        </w:rPr>
        <w:t>1</w:t>
      </w:r>
      <w:r>
        <w:rPr>
          <w:rFonts w:hint="eastAsia" w:ascii="华文宋体" w:hAnsi="华文宋体" w:eastAsia="仿宋_GB2312" w:cs="华文中宋"/>
          <w:color w:val="auto"/>
          <w:spacing w:val="0"/>
          <w:kern w:val="0"/>
          <w:sz w:val="32"/>
          <w:szCs w:val="32"/>
          <w:highlight w:val="none"/>
          <w:lang w:val="en-US" w:eastAsia="zh-CN" w:bidi="ar-SA"/>
        </w:rPr>
        <w:t>号线北延一期、</w:t>
      </w:r>
      <w:r>
        <w:rPr>
          <w:rFonts w:hint="eastAsia" w:ascii="Times New Roman" w:hAnsi="Times New Roman" w:eastAsia="仿宋_GB2312" w:cs="华文中宋"/>
          <w:color w:val="auto"/>
          <w:spacing w:val="0"/>
          <w:kern w:val="0"/>
          <w:sz w:val="32"/>
          <w:szCs w:val="32"/>
          <w:highlight w:val="none"/>
          <w:lang w:val="en-US" w:eastAsia="zh-CN" w:bidi="ar-SA"/>
        </w:rPr>
        <w:t>2</w:t>
      </w:r>
      <w:r>
        <w:rPr>
          <w:rFonts w:hint="eastAsia" w:ascii="华文宋体" w:hAnsi="华文宋体" w:eastAsia="仿宋_GB2312" w:cs="华文中宋"/>
          <w:color w:val="auto"/>
          <w:spacing w:val="0"/>
          <w:kern w:val="0"/>
          <w:sz w:val="32"/>
          <w:szCs w:val="32"/>
          <w:highlight w:val="none"/>
          <w:lang w:val="en-US" w:eastAsia="zh-CN" w:bidi="ar-SA"/>
        </w:rPr>
        <w:t>号线西延二期，长株潭城际轨道交通西环线等建设，力争年内启动长宁磁浮快线，推动长浏快线建设，同步布局好配套设施。打通城区断头路、瓶颈路</w:t>
      </w:r>
      <w:r>
        <w:rPr>
          <w:rFonts w:hint="eastAsia" w:ascii="Times New Roman" w:hAnsi="Times New Roman" w:eastAsia="仿宋_GB2312" w:cs="华文中宋"/>
          <w:color w:val="auto"/>
          <w:spacing w:val="0"/>
          <w:kern w:val="0"/>
          <w:sz w:val="32"/>
          <w:szCs w:val="32"/>
          <w:highlight w:val="none"/>
          <w:lang w:val="en-US" w:eastAsia="zh-CN" w:bidi="ar-SA"/>
        </w:rPr>
        <w:t>10</w:t>
      </w:r>
      <w:r>
        <w:rPr>
          <w:rFonts w:hint="eastAsia" w:ascii="华文宋体" w:hAnsi="华文宋体" w:eastAsia="仿宋_GB2312" w:cs="华文中宋"/>
          <w:color w:val="auto"/>
          <w:spacing w:val="0"/>
          <w:kern w:val="0"/>
          <w:sz w:val="32"/>
          <w:szCs w:val="32"/>
          <w:highlight w:val="none"/>
          <w:lang w:val="en-US" w:eastAsia="zh-CN" w:bidi="ar-SA"/>
        </w:rPr>
        <w:t>条。系统推进第二轮中央环保督察反馈城区水环境问题整改，大力实施城区市政管网雨污分流工程，推进三大类、共</w:t>
      </w:r>
      <w:r>
        <w:rPr>
          <w:rFonts w:hint="eastAsia" w:ascii="Times New Roman" w:hAnsi="Times New Roman" w:eastAsia="仿宋_GB2312" w:cs="华文中宋"/>
          <w:color w:val="auto"/>
          <w:spacing w:val="0"/>
          <w:kern w:val="0"/>
          <w:sz w:val="32"/>
          <w:szCs w:val="32"/>
          <w:highlight w:val="none"/>
          <w:lang w:val="en-US" w:eastAsia="zh-CN" w:bidi="ar-SA"/>
        </w:rPr>
        <w:t>32</w:t>
      </w:r>
      <w:r>
        <w:rPr>
          <w:rFonts w:hint="eastAsia" w:ascii="华文宋体" w:hAnsi="华文宋体" w:eastAsia="仿宋_GB2312" w:cs="华文中宋"/>
          <w:color w:val="auto"/>
          <w:spacing w:val="0"/>
          <w:kern w:val="0"/>
          <w:sz w:val="32"/>
          <w:szCs w:val="32"/>
          <w:highlight w:val="none"/>
          <w:lang w:val="en-US" w:eastAsia="zh-CN" w:bidi="ar-SA"/>
        </w:rPr>
        <w:t>个、总投资</w:t>
      </w:r>
      <w:r>
        <w:rPr>
          <w:rFonts w:hint="eastAsia" w:ascii="Times New Roman" w:hAnsi="Times New Roman" w:eastAsia="仿宋_GB2312" w:cs="华文中宋"/>
          <w:color w:val="auto"/>
          <w:spacing w:val="0"/>
          <w:kern w:val="0"/>
          <w:sz w:val="32"/>
          <w:szCs w:val="32"/>
          <w:highlight w:val="none"/>
          <w:lang w:val="en-US" w:eastAsia="zh-CN" w:bidi="ar-SA"/>
        </w:rPr>
        <w:t>261</w:t>
      </w:r>
      <w:r>
        <w:rPr>
          <w:rFonts w:hint="eastAsia" w:ascii="华文宋体" w:hAnsi="华文宋体" w:eastAsia="仿宋_GB2312" w:cs="华文中宋"/>
          <w:color w:val="auto"/>
          <w:spacing w:val="0"/>
          <w:kern w:val="0"/>
          <w:sz w:val="32"/>
          <w:szCs w:val="32"/>
          <w:highlight w:val="none"/>
          <w:lang w:val="en-US" w:eastAsia="zh-CN" w:bidi="ar-SA"/>
        </w:rPr>
        <w:t>亿的项目建设，突出小西门泵站、赵洲港泵站、石碑大港排口、敢胜垸污水厂</w:t>
      </w:r>
      <w:r>
        <w:rPr>
          <w:rFonts w:hint="eastAsia" w:ascii="Times New Roman" w:hAnsi="Times New Roman" w:eastAsia="仿宋_GB2312" w:cs="华文中宋"/>
          <w:color w:val="auto"/>
          <w:spacing w:val="0"/>
          <w:kern w:val="0"/>
          <w:sz w:val="32"/>
          <w:szCs w:val="32"/>
          <w:highlight w:val="none"/>
          <w:lang w:val="en-US" w:eastAsia="zh-CN" w:bidi="ar-SA"/>
        </w:rPr>
        <w:t>4</w:t>
      </w:r>
      <w:r>
        <w:rPr>
          <w:rFonts w:hint="eastAsia" w:ascii="华文宋体" w:hAnsi="华文宋体" w:eastAsia="仿宋_GB2312" w:cs="华文中宋"/>
          <w:color w:val="auto"/>
          <w:spacing w:val="0"/>
          <w:kern w:val="0"/>
          <w:sz w:val="32"/>
          <w:szCs w:val="32"/>
          <w:highlight w:val="none"/>
          <w:lang w:val="en-US" w:eastAsia="zh-CN" w:bidi="ar-SA"/>
        </w:rPr>
        <w:t>个典型问题整改，确保各类项目建设领先时间节点。</w:t>
      </w:r>
    </w:p>
    <w:p>
      <w:pPr>
        <w:pStyle w:val="18"/>
        <w:ind w:firstLine="643" w:firstLineChars="200"/>
        <w:jc w:val="both"/>
        <w:rPr>
          <w:rFonts w:ascii="Times New Roman" w:hAnsi="Times New Roman" w:eastAsia="仿宋_GB2312"/>
          <w:color w:val="auto"/>
          <w:highlight w:val="none"/>
        </w:rPr>
      </w:pP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val="en-US" w:eastAsia="zh-CN"/>
        </w:rPr>
        <w:t>2</w:t>
      </w: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val="en-US" w:eastAsia="zh-CN"/>
        </w:rPr>
        <w:t>夯实建筑业高质量发展基础。</w:t>
      </w:r>
      <w:r>
        <w:rPr>
          <w:rFonts w:hint="eastAsia" w:ascii="Times New Roman" w:hAnsi="Times New Roman" w:eastAsia="仿宋_GB2312" w:cs="仿宋_GB2312"/>
          <w:color w:val="auto"/>
          <w:sz w:val="32"/>
          <w:szCs w:val="32"/>
          <w:highlight w:val="none"/>
          <w:lang w:val="en-US" w:eastAsia="zh-CN"/>
        </w:rPr>
        <w:t>出台住建领域碳达峰行动方案，促进建筑业工业化、数字化、智能化高质量发展，推动装配式建筑产业建链补链延链强链，壮大产业集群，加快湖南建工集团六建装配式产业园建设，进一步凸显长沙装配式建造优势。实现城镇新开工装配式建筑面积占比35%以上。围绕做大做强引导企业创新发展，深入推进建筑产业发展“千百十”工程，扶持头部建筑企业发展壮大，培育总产值100亿以上企业达到10家，助力中小企业向“专精特新”发展。鼓励建设单位进行全过程工程咨询发包，扩展BIM技术在工程项目全生命周期的应用。全年力争实现建筑业总产值增长8%以上。采取日常巡查和专项稽查结合的方式打击“三包一挂”。对建设市场主体开展全流程、全要素信用监管，落实信用评价全覆盖。全面推行“双随机、一公开”检查方式和“互联网+监管”模式，构建公开公平公正的市场环境。</w:t>
      </w:r>
    </w:p>
    <w:p>
      <w:pPr>
        <w:pStyle w:val="4"/>
        <w:spacing w:after="0" w:line="240" w:lineRule="auto"/>
        <w:ind w:firstLine="643" w:firstLineChars="200"/>
        <w:jc w:val="both"/>
        <w:rPr>
          <w:rFonts w:ascii="Times New Roman" w:hAnsi="Times New Roman" w:eastAsia="仿宋_GB2312" w:cs="Times New Roman"/>
          <w:color w:val="auto"/>
          <w:highlight w:val="none"/>
        </w:rPr>
      </w:pPr>
      <w:r>
        <w:rPr>
          <w:rFonts w:hint="eastAsia" w:ascii="Times New Roman" w:hAnsi="Times New Roman" w:eastAsia="仿宋_GB2312" w:cs="仿宋_GB2312"/>
          <w:b/>
          <w:bCs/>
          <w:color w:val="auto"/>
          <w:sz w:val="32"/>
          <w:szCs w:val="32"/>
          <w:highlight w:val="none"/>
          <w:lang w:val="en-US" w:eastAsia="zh-CN"/>
        </w:rPr>
        <w:t>（3）促进房地产业健康发展和良性循环。</w:t>
      </w:r>
      <w:r>
        <w:rPr>
          <w:rFonts w:hint="eastAsia" w:ascii="Times New Roman" w:hAnsi="Times New Roman" w:eastAsia="仿宋_GB2312" w:cs="仿宋_GB2312"/>
          <w:color w:val="auto"/>
          <w:sz w:val="32"/>
          <w:szCs w:val="32"/>
          <w:highlight w:val="none"/>
          <w:lang w:val="en-US" w:eastAsia="zh-CN"/>
        </w:rPr>
        <w:t>围绕人、房、地、钱四位一体的联动机制完善长效方案，根据刚需、改善型住房需求特征优化政策，试行“限房价、控地价、竞品质”土地出让方式，满足群众合理购房需求。坚决有力处置个别房地产企业房地产项目逾期交付风险，实现“保交楼、保民生、保稳定”目标。完善住房领域“一网通办”平台，提高涉房事项信息化管理水平。推进住房供给侧结构性改革。加快发展保障性租赁住房，围绕园区、城区和重大片区重点布局，全年筹集不少于2.99万套。开工建设公租房336套，发放租赁补贴4632户。培育发展住房租赁市场，推进住房租赁监管服务平台建设，全面完成国家住房租赁市场发展试点任务，形成可复制可推广经验。</w:t>
      </w:r>
    </w:p>
    <w:p>
      <w:pPr>
        <w:spacing w:line="240" w:lineRule="auto"/>
        <w:ind w:firstLine="643" w:firstLineChars="200"/>
        <w:jc w:val="both"/>
        <w:rPr>
          <w:rFonts w:ascii="Times New Roman" w:hAnsi="Times New Roman" w:eastAsia="仿宋_GB2312"/>
          <w:color w:val="auto"/>
          <w:sz w:val="32"/>
          <w:szCs w:val="32"/>
          <w:highlight w:val="none"/>
        </w:rPr>
      </w:pP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val="en-US" w:eastAsia="zh-CN"/>
        </w:rPr>
        <w:t>4</w:t>
      </w: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val="en-US" w:eastAsia="zh-CN"/>
        </w:rPr>
        <w:t>全心全意为人民服务。</w:t>
      </w:r>
      <w:r>
        <w:rPr>
          <w:rFonts w:hint="eastAsia" w:ascii="Times New Roman" w:hAnsi="Times New Roman" w:eastAsia="仿宋_GB2312" w:cs="仿宋_GB2312"/>
          <w:color w:val="auto"/>
          <w:sz w:val="32"/>
          <w:szCs w:val="32"/>
          <w:highlight w:val="none"/>
          <w:lang w:val="en-US" w:eastAsia="zh-CN"/>
        </w:rPr>
        <w:t>加快构建以小区党支部为龙头，业委会、物业服务企业等多方参与的小区治理格局，助推小区制度完善、智慧增效、治理升级</w:t>
      </w:r>
      <w:r>
        <w:rPr>
          <w:rFonts w:hint="eastAsia" w:ascii="Times New Roman" w:hAnsi="Times New Roman" w:eastAsia="仿宋_GB2312" w:cs="仿宋_GB2312"/>
          <w:color w:val="auto"/>
          <w:sz w:val="32"/>
          <w:szCs w:val="32"/>
          <w:highlight w:val="none"/>
          <w:lang w:val="en" w:eastAsia="zh-CN"/>
        </w:rPr>
        <w:t>。</w:t>
      </w:r>
      <w:r>
        <w:rPr>
          <w:rFonts w:hint="eastAsia" w:ascii="Times New Roman" w:hAnsi="Times New Roman" w:eastAsia="仿宋_GB2312" w:cs="仿宋_GB2312"/>
          <w:color w:val="auto"/>
          <w:sz w:val="32"/>
          <w:szCs w:val="32"/>
          <w:highlight w:val="none"/>
          <w:lang w:val="en-US" w:eastAsia="zh-CN"/>
        </w:rPr>
        <w:t>推动既有小区品质稳步提升，全市计划完成既有小区品质提升项目200个，各区县市（含高新区）至少完成20个。持续推进既有住宅加装电梯项目，确保完成年度既有多层住宅增设电梯950台任务。在全市开展增设电梯项目质量安全监督检查行动和项目开工竣工督促推进行动，落实电梯标准化加装，全流程跟踪，规范化运维。全力创建国家节水型城市。加快雷锋水厂原水管网建设，完成城区住宅小区二次供水设施户表改造不少于3万户。新建住宅项目二次供水设施全面按照“省标”落地，同步推进城市管道直饮水系统建设和改造试点。</w:t>
      </w:r>
    </w:p>
    <w:p>
      <w:pPr>
        <w:spacing w:line="240" w:lineRule="auto"/>
        <w:ind w:firstLine="643" w:firstLineChars="200"/>
        <w:jc w:val="both"/>
        <w:rPr>
          <w:rFonts w:hint="eastAsia" w:ascii="Times New Roman" w:hAnsi="Times New Roman" w:eastAsia="仿宋_GB2312" w:cs="仿宋_GB2312"/>
          <w:color w:val="auto"/>
          <w:sz w:val="32"/>
          <w:szCs w:val="32"/>
          <w:highlight w:val="none"/>
          <w:lang w:val="en" w:eastAsia="zh-CN"/>
        </w:rPr>
      </w:pP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val="en-US" w:eastAsia="zh-CN"/>
        </w:rPr>
        <w:t>5</w:t>
      </w: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val="en-US" w:eastAsia="zh-CN"/>
        </w:rPr>
        <w:t>切实保障城市安全运行。</w:t>
      </w:r>
      <w:r>
        <w:rPr>
          <w:rFonts w:hint="eastAsia" w:ascii="Times New Roman" w:hAnsi="Times New Roman" w:eastAsia="仿宋_GB2312" w:cs="仿宋_GB2312"/>
          <w:color w:val="auto"/>
          <w:sz w:val="32"/>
          <w:szCs w:val="32"/>
          <w:highlight w:val="none"/>
          <w:lang w:val="en-US" w:eastAsia="zh-CN"/>
        </w:rPr>
        <w:t>健全建筑工程质量安全保障体系，持续抓好建筑施工领域安全生产专项整治三年行动，优化升级建设工地“差别化”管理模式。强化消防设计审查验收全过程监管，进一步完善联合验收机制。狠抓城区排水防涝工作。</w:t>
      </w:r>
      <w:r>
        <w:rPr>
          <w:rFonts w:hint="eastAsia" w:ascii="Times New Roman" w:hAnsi="Times New Roman" w:eastAsia="仿宋_GB2312" w:cs="仿宋_GB2312"/>
          <w:color w:val="auto"/>
          <w:sz w:val="32"/>
          <w:szCs w:val="32"/>
          <w:highlight w:val="none"/>
        </w:rPr>
        <w:t>深入</w:t>
      </w:r>
      <w:r>
        <w:rPr>
          <w:rFonts w:hint="eastAsia" w:ascii="Times New Roman" w:hAnsi="Times New Roman" w:eastAsia="仿宋_GB2312" w:cs="仿宋_GB2312"/>
          <w:color w:val="auto"/>
          <w:sz w:val="32"/>
          <w:szCs w:val="32"/>
          <w:highlight w:val="none"/>
          <w:lang w:eastAsia="zh-CN"/>
        </w:rPr>
        <w:t>借鉴</w:t>
      </w:r>
      <w:r>
        <w:rPr>
          <w:rFonts w:hint="eastAsia" w:ascii="Times New Roman" w:hAnsi="Times New Roman" w:eastAsia="仿宋_GB2312" w:cs="仿宋_GB2312"/>
          <w:color w:val="auto"/>
          <w:sz w:val="32"/>
          <w:szCs w:val="32"/>
          <w:highlight w:val="none"/>
        </w:rPr>
        <w:t>河南郑州</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7·20</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特大暴雨灾害事件</w:t>
      </w:r>
      <w:r>
        <w:rPr>
          <w:rFonts w:hint="eastAsia" w:ascii="Times New Roman" w:hAnsi="Times New Roman" w:eastAsia="仿宋_GB2312" w:cs="仿宋_GB2312"/>
          <w:color w:val="auto"/>
          <w:sz w:val="32"/>
          <w:szCs w:val="32"/>
          <w:highlight w:val="none"/>
          <w:lang w:eastAsia="zh-CN"/>
        </w:rPr>
        <w:t>教训</w:t>
      </w:r>
      <w:r>
        <w:rPr>
          <w:rFonts w:hint="eastAsia" w:ascii="Times New Roman" w:hAnsi="Times New Roman" w:eastAsia="仿宋_GB2312" w:cs="仿宋_GB2312"/>
          <w:color w:val="auto"/>
          <w:sz w:val="32"/>
          <w:szCs w:val="32"/>
          <w:highlight w:val="none"/>
        </w:rPr>
        <w:t>，抓细抓实各项防涝措施</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加快城区排水工程建设，狠抓天心区南湖路隧道水系、新开铺风险点的整改，力争完成岳麓区茶子山路、地铁六号线桐梓坡路口、雨花区先锋路口渍水点整改任务。加强房屋建筑和市政基础设施风险普查成果的运用，提升应对自然灾害风险能力。进一步完善城区危房账册，加强C、D级危房监测管理，督促责任部门全面加强整改。推进既有建筑外立面整治。进一步做好新建房屋的白蚁预防工作，扎实开展白蚁检查与灭治服务。</w:t>
      </w:r>
    </w:p>
    <w:p>
      <w:pPr>
        <w:spacing w:line="240" w:lineRule="auto"/>
        <w:ind w:firstLine="643" w:firstLineChars="200"/>
        <w:jc w:val="both"/>
        <w:rPr>
          <w:rFonts w:ascii="Times New Roman" w:hAnsi="Times New Roman" w:eastAsia="仿宋_GB2312"/>
          <w:color w:val="auto"/>
          <w:sz w:val="32"/>
          <w:szCs w:val="32"/>
          <w:highlight w:val="none"/>
        </w:rPr>
      </w:pP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val="en-US" w:eastAsia="zh-CN"/>
        </w:rPr>
        <w:t>6</w:t>
      </w: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val="en-US" w:eastAsia="zh-CN"/>
        </w:rPr>
        <w:t>不断增强系统治理能力。</w:t>
      </w:r>
      <w:r>
        <w:rPr>
          <w:rFonts w:hint="eastAsia" w:ascii="Times New Roman" w:hAnsi="Times New Roman" w:eastAsia="仿宋_GB2312" w:cs="仿宋_GB2312"/>
          <w:color w:val="auto"/>
          <w:sz w:val="32"/>
          <w:szCs w:val="32"/>
          <w:highlight w:val="none"/>
          <w:lang w:val="en-US" w:eastAsia="zh-CN"/>
        </w:rPr>
        <w:t>开展工程建设项目审批制度改革3.0版升级工作。推进局属企业建安公司改革转型，探索现代企业治理模式，构建新型产权关系。借鉴先进城市成功经验，落实供排水管理、绿色建筑、海绵城市、装配式建筑等新技术新标准，尽快形成适应长沙实际情况，与品质城市建设相匹配的建设标准体系，从根本上保障建设项目的品质。在加快智慧建设上提效率。统筹推进“新城建”建设，实施智能化市政基础设施建设和改造。启动智慧住建一体化平台、城市生命线管理平台、城市信息模型（CIM）基础平台等平台建设。持续推进建设工程智慧监管、排水与污水智慧处理、住房租赁监管服务、城建档案业务管理等信息化系统建设，加强城建档案数据成果共享利用，加快智慧社区管理平台前期研究。</w:t>
      </w:r>
    </w:p>
    <w:p>
      <w:pPr>
        <w:pStyle w:val="12"/>
        <w:keepNext w:val="0"/>
        <w:keepLines w:val="0"/>
        <w:pageBreakBefore w:val="0"/>
        <w:widowControl w:val="0"/>
        <w:numPr>
          <w:ilvl w:val="0"/>
          <w:numId w:val="0"/>
        </w:numPr>
        <w:kinsoku/>
        <w:wordWrap/>
        <w:overflowPunct w:val="0"/>
        <w:topLinePunct w:val="0"/>
        <w:autoSpaceDE/>
        <w:autoSpaceDN/>
        <w:bidi w:val="0"/>
        <w:adjustRightInd/>
        <w:snapToGrid/>
        <w:spacing w:after="0" w:line="240" w:lineRule="auto"/>
        <w:ind w:firstLine="643" w:firstLineChars="200"/>
        <w:jc w:val="both"/>
        <w:textAlignment w:val="auto"/>
        <w:outlineLvl w:val="9"/>
        <w:rPr>
          <w:rFonts w:ascii="Times New Roman" w:hAnsi="Times New Roman" w:eastAsia="仿宋_GB2312"/>
          <w:color w:val="auto"/>
          <w:sz w:val="32"/>
          <w:szCs w:val="32"/>
          <w:highlight w:val="none"/>
        </w:rPr>
      </w:pP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val="en-US" w:eastAsia="zh-CN"/>
        </w:rPr>
        <w:t>7</w:t>
      </w:r>
      <w:r>
        <w:rPr>
          <w:rFonts w:hint="eastAsia" w:ascii="Times New Roman" w:hAnsi="Times New Roman" w:eastAsia="仿宋_GB2312" w:cs="仿宋_GB2312"/>
          <w:b/>
          <w:bCs/>
          <w:color w:val="auto"/>
          <w:sz w:val="32"/>
          <w:szCs w:val="32"/>
          <w:highlight w:val="none"/>
          <w:lang w:eastAsia="zh-CN"/>
        </w:rPr>
        <w:t>）</w:t>
      </w:r>
      <w:r>
        <w:rPr>
          <w:rFonts w:hint="eastAsia" w:ascii="华文宋体" w:hAnsi="华文宋体" w:eastAsia="仿宋_GB2312" w:cs="华文中宋"/>
          <w:b/>
          <w:bCs/>
          <w:color w:val="auto"/>
          <w:spacing w:val="6"/>
          <w:kern w:val="2"/>
          <w:sz w:val="32"/>
          <w:szCs w:val="32"/>
          <w:highlight w:val="none"/>
          <w:u w:val="none"/>
          <w:lang w:val="en-US" w:eastAsia="zh-CN" w:bidi="ar"/>
        </w:rPr>
        <w:t>推动村镇建设提质增效。</w:t>
      </w:r>
      <w:r>
        <w:rPr>
          <w:rFonts w:hint="eastAsia" w:ascii="华文宋体" w:hAnsi="华文宋体" w:eastAsia="仿宋_GB2312" w:cs="华文中宋"/>
          <w:color w:val="auto"/>
          <w:spacing w:val="6"/>
          <w:kern w:val="2"/>
          <w:sz w:val="32"/>
          <w:szCs w:val="32"/>
          <w:highlight w:val="none"/>
          <w:u w:val="none"/>
          <w:lang w:val="en-US" w:eastAsia="zh-CN" w:bidi="ar"/>
        </w:rPr>
        <w:t>以新理念推进村镇建设。以农房和村庄建设现代化为着力点，加快建设美丽宜居</w:t>
      </w:r>
      <w:r>
        <w:rPr>
          <w:rFonts w:hint="default" w:ascii="Times New Roman" w:hAnsi="Times New Roman" w:eastAsia="仿宋_GB2312" w:cs="Times New Roman"/>
          <w:color w:val="auto"/>
          <w:spacing w:val="6"/>
          <w:kern w:val="2"/>
          <w:sz w:val="32"/>
          <w:szCs w:val="32"/>
          <w:highlight w:val="none"/>
          <w:u w:val="none"/>
          <w:lang w:val="en-US" w:eastAsia="zh-CN" w:bidi="ar"/>
        </w:rPr>
        <w:t>村镇。继续巩固具有影响力和知名度的特色小城镇19个，遴选培育第二批市级特色小村庄。以高标准治理乡镇污水。推进乡镇污水处理厂提标提档，高效建设和运维污水处理设施。完善乡镇污水配套管网60公里以上，提高乡镇污水收集率，提升12座乡镇污水处理厂进水COD浓度至60毫克/升。推进设施设备信息化、智能化建设，完成35座乡镇污水处理厂在线监测和视频监控设备安装。以严排查消除农房隐患。将农村低收入群体动态新增危房纳入年度改造计划，持续</w:t>
      </w:r>
      <w:r>
        <w:rPr>
          <w:rFonts w:hint="eastAsia" w:ascii="华文宋体" w:hAnsi="华文宋体" w:eastAsia="仿宋_GB2312" w:cs="华文中宋"/>
          <w:color w:val="auto"/>
          <w:spacing w:val="6"/>
          <w:kern w:val="2"/>
          <w:sz w:val="32"/>
          <w:szCs w:val="32"/>
          <w:highlight w:val="none"/>
          <w:u w:val="none"/>
          <w:lang w:val="en-US" w:eastAsia="zh-CN" w:bidi="ar"/>
        </w:rPr>
        <w:t>推动农村危房动态清零。深入开展农房安全问题排查整治，压实属地责任，及时消除安全隐患。出台农村住房质量安全监督管理、竣工验收管理等办法，科学指导农房建管工作。</w:t>
      </w:r>
    </w:p>
    <w:p>
      <w:pPr>
        <w:spacing w:line="240" w:lineRule="auto"/>
        <w:ind w:firstLine="643" w:firstLineChars="200"/>
        <w:jc w:val="both"/>
        <w:rPr>
          <w:rFonts w:hint="eastAsia" w:ascii="Times New Roman" w:hAnsi="Times New Roman" w:eastAsia="仿宋_GB2312" w:cs="仿宋_GB2312"/>
          <w:b/>
          <w:bCs/>
          <w:color w:val="auto"/>
          <w:sz w:val="32"/>
          <w:szCs w:val="32"/>
          <w:highlight w:val="none"/>
        </w:rPr>
      </w:pP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val="en-US" w:eastAsia="zh-CN"/>
        </w:rPr>
        <w:t>8</w:t>
      </w: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rPr>
        <w:t>全面加强党的建设。</w:t>
      </w:r>
      <w:r>
        <w:rPr>
          <w:rFonts w:hint="eastAsia" w:ascii="仿宋_GB2312" w:hAnsi="仿宋_GB2312" w:eastAsia="仿宋_GB2312" w:cs="仿宋_GB2312"/>
          <w:b w:val="0"/>
          <w:bCs w:val="0"/>
          <w:color w:val="auto"/>
          <w:spacing w:val="-3"/>
          <w:kern w:val="2"/>
          <w:sz w:val="32"/>
          <w:szCs w:val="32"/>
          <w:highlight w:val="none"/>
          <w:lang w:val="en-US" w:eastAsia="zh-CN" w:bidi="ar-SA"/>
        </w:rPr>
        <w:t>始终把政治建设摆在首位，坚持以高质量党建推动高质量发展，</w:t>
      </w:r>
      <w:r>
        <w:rPr>
          <w:rFonts w:hint="eastAsia" w:ascii="华文宋体" w:hAnsi="华文宋体" w:eastAsia="仿宋_GB2312" w:cs="华文中宋"/>
          <w:color w:val="auto"/>
          <w:spacing w:val="-3"/>
          <w:sz w:val="32"/>
          <w:szCs w:val="32"/>
          <w:highlight w:val="none"/>
          <w:lang w:val="en-US" w:eastAsia="zh-CN"/>
        </w:rPr>
        <w:t>紧紧围绕迎接、宣传、贯彻党的二十大这条主线谋划推进住建宣传思想工作，为党的二十大召开营造浓厚氛围，坚持把推进干部轮岗交流与防范重点岗位风险、激发干部担当作为相结合，树牢“以人民为中心”的发展思想，深入推进“清廉长沙”建设，以建设清廉机关为载体，全面改善党风政风、规范权力运行、推进廉洁自律，以强有力的组织保障扛牢管党治党政治责任。</w:t>
      </w:r>
    </w:p>
    <w:p>
      <w:pPr>
        <w:spacing w:line="240" w:lineRule="auto"/>
        <w:ind w:firstLine="643" w:firstLineChars="200"/>
        <w:jc w:val="left"/>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（二）部门整体支出规模、使用方向和主要内容、涉及范围等</w:t>
      </w:r>
    </w:p>
    <w:p>
      <w:pPr>
        <w:keepNext w:val="0"/>
        <w:keepLines w:val="0"/>
        <w:pageBreakBefore w:val="0"/>
        <w:widowControl/>
        <w:kinsoku/>
        <w:wordWrap/>
        <w:overflowPunct/>
        <w:topLinePunct w:val="0"/>
        <w:autoSpaceDE/>
        <w:autoSpaceDN/>
        <w:bidi w:val="0"/>
        <w:adjustRightInd/>
        <w:snapToGrid/>
        <w:spacing w:line="240" w:lineRule="auto"/>
        <w:ind w:left="617" w:leftChars="294" w:firstLine="0" w:firstLineChars="0"/>
        <w:textAlignment w:val="auto"/>
        <w:rPr>
          <w:rFonts w:hint="eastAsia" w:ascii="Times New Roman" w:hAnsi="Times New Roman" w:eastAsia="仿宋_GB2312" w:cs="Times New Roman"/>
          <w:b/>
          <w:bCs/>
          <w:color w:val="auto"/>
          <w:sz w:val="32"/>
          <w:szCs w:val="32"/>
          <w:highlight w:val="none"/>
          <w:shd w:val="clear" w:color="auto" w:fill="FFFFFF"/>
          <w:lang w:val="en-US" w:eastAsia="zh-CN"/>
        </w:rPr>
      </w:pPr>
      <w:r>
        <w:rPr>
          <w:rFonts w:hint="eastAsia" w:ascii="Times New Roman" w:hAnsi="Times New Roman" w:eastAsia="仿宋_GB2312" w:cs="Times New Roman"/>
          <w:b/>
          <w:bCs/>
          <w:color w:val="auto"/>
          <w:sz w:val="32"/>
          <w:szCs w:val="32"/>
          <w:highlight w:val="none"/>
          <w:shd w:val="clear" w:color="auto" w:fill="FFFFFF"/>
          <w:lang w:val="en-US" w:eastAsia="zh-CN"/>
        </w:rPr>
        <w:t>1.部门整体支出规模</w:t>
      </w:r>
    </w:p>
    <w:p>
      <w:pPr>
        <w:spacing w:line="240" w:lineRule="auto"/>
        <w:ind w:firstLine="640" w:firstLineChars="200"/>
        <w:rPr>
          <w:rFonts w:hint="eastAsia" w:ascii="Times New Roman" w:hAnsi="Times New Roman" w:eastAsia="仿宋_GB2312" w:cs="仿宋_GB2312"/>
          <w:color w:val="auto"/>
          <w:sz w:val="32"/>
          <w:szCs w:val="32"/>
          <w:highlight w:val="none"/>
        </w:rPr>
      </w:pPr>
      <w:r>
        <w:rPr>
          <w:rFonts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度</w:t>
      </w:r>
      <w:r>
        <w:rPr>
          <w:rFonts w:hint="eastAsia" w:ascii="Times New Roman" w:hAnsi="Times New Roman" w:eastAsia="仿宋_GB2312" w:cs="仿宋_GB2312"/>
          <w:color w:val="auto"/>
          <w:sz w:val="32"/>
          <w:szCs w:val="32"/>
          <w:highlight w:val="none"/>
          <w:lang w:eastAsia="zh-CN"/>
        </w:rPr>
        <w:t>本局</w:t>
      </w:r>
      <w:r>
        <w:rPr>
          <w:rFonts w:hint="eastAsia" w:ascii="Times New Roman" w:hAnsi="Times New Roman" w:eastAsia="仿宋_GB2312" w:cs="仿宋_GB2312"/>
          <w:color w:val="auto"/>
          <w:sz w:val="32"/>
          <w:szCs w:val="32"/>
          <w:highlight w:val="none"/>
          <w:lang w:val="en-US" w:eastAsia="zh-CN"/>
        </w:rPr>
        <w:t>部门整体支出规模249,263.79</w:t>
      </w:r>
      <w:r>
        <w:rPr>
          <w:rFonts w:hint="eastAsia" w:ascii="Times New Roman" w:hAnsi="Times New Roman" w:eastAsia="仿宋_GB2312" w:cs="仿宋_GB2312"/>
          <w:color w:val="auto"/>
          <w:sz w:val="32"/>
          <w:szCs w:val="32"/>
          <w:highlight w:val="none"/>
        </w:rPr>
        <w:t>万元，其中</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仿宋_GB2312"/>
          <w:color w:val="auto"/>
          <w:sz w:val="32"/>
          <w:szCs w:val="32"/>
          <w:highlight w:val="none"/>
        </w:rPr>
        <w:t>基本支出6</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rPr>
        <w:t>311</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rPr>
        <w:t>8</w:t>
      </w:r>
      <w:r>
        <w:rPr>
          <w:rFonts w:hint="eastAsia" w:ascii="Times New Roman" w:hAnsi="Times New Roman" w:eastAsia="仿宋_GB2312"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rPr>
        <w:t>万元，</w:t>
      </w:r>
      <w:r>
        <w:rPr>
          <w:rFonts w:hint="eastAsia" w:ascii="Times New Roman" w:hAnsi="Times New Roman" w:eastAsia="仿宋_GB2312" w:cs="仿宋_GB2312"/>
          <w:color w:val="auto"/>
          <w:sz w:val="32"/>
          <w:szCs w:val="32"/>
          <w:highlight w:val="none"/>
          <w:lang w:val="en-US" w:eastAsia="zh-CN"/>
        </w:rPr>
        <w:t>占总支出的2.53%</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项目支出24</w:t>
      </w:r>
      <w:r>
        <w:rPr>
          <w:rFonts w:hint="eastAsia" w:ascii="Times New Roman" w:hAnsi="Times New Roman" w:eastAsia="仿宋_GB2312" w:cs="仿宋_GB2312"/>
          <w:color w:val="auto"/>
          <w:sz w:val="32"/>
          <w:szCs w:val="32"/>
          <w:highlight w:val="none"/>
          <w:lang w:val="en-US" w:eastAsia="zh-CN"/>
        </w:rPr>
        <w:t>2,951</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5万元</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占总支出的97.47%</w:t>
      </w:r>
      <w:r>
        <w:rPr>
          <w:rFonts w:hint="eastAsia" w:ascii="Times New Roman" w:hAnsi="Times New Roman" w:eastAsia="仿宋_GB2312" w:cs="仿宋_GB2312"/>
          <w:color w:val="auto"/>
          <w:sz w:val="32"/>
          <w:szCs w:val="32"/>
          <w:highlight w:val="none"/>
        </w:rPr>
        <w:t>。年末结转和结余资金</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万元。</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Times New Roman" w:hAnsi="Times New Roman" w:eastAsia="仿宋_GB2312" w:cs="Times New Roman"/>
          <w:b/>
          <w:bCs/>
          <w:color w:val="auto"/>
          <w:sz w:val="32"/>
          <w:szCs w:val="32"/>
          <w:highlight w:val="none"/>
          <w:shd w:val="clear" w:color="auto" w:fill="FFFFFF"/>
          <w:lang w:val="en-US" w:eastAsia="zh-CN"/>
        </w:rPr>
      </w:pPr>
      <w:r>
        <w:rPr>
          <w:rFonts w:hint="eastAsia" w:ascii="Times New Roman" w:hAnsi="Times New Roman" w:eastAsia="仿宋_GB2312" w:cs="Times New Roman"/>
          <w:b/>
          <w:bCs/>
          <w:color w:val="auto"/>
          <w:sz w:val="32"/>
          <w:szCs w:val="32"/>
          <w:highlight w:val="none"/>
          <w:shd w:val="clear" w:color="auto" w:fill="FFFFFF"/>
          <w:lang w:val="en-US" w:eastAsia="zh-CN"/>
        </w:rPr>
        <w:t>2.使用方向和主要内容、涉及范围</w:t>
      </w:r>
    </w:p>
    <w:p>
      <w:pPr>
        <w:spacing w:line="240" w:lineRule="auto"/>
        <w:ind w:firstLine="640" w:firstLineChars="200"/>
        <w:jc w:val="both"/>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highlight w:val="none"/>
          <w:shd w:val="clear" w:color="auto" w:fill="FFFFFF"/>
          <w:lang w:val="en-US" w:eastAsia="zh-CN"/>
        </w:rPr>
        <w:t>部门整体支出包括基本支出和项目支出。一是用于单位</w:t>
      </w:r>
      <w:r>
        <w:rPr>
          <w:rFonts w:ascii="Times New Roman" w:hAnsi="Times New Roman" w:eastAsia="仿宋_GB2312" w:cs="Times New Roman"/>
          <w:color w:val="auto"/>
          <w:sz w:val="32"/>
          <w:szCs w:val="32"/>
          <w:highlight w:val="none"/>
          <w:shd w:val="clear" w:color="auto" w:fill="FFFFFF"/>
        </w:rPr>
        <w:t>机构正常运转、完成日常工作任务而发生的各项支出</w:t>
      </w:r>
      <w:r>
        <w:rPr>
          <w:rFonts w:hint="eastAsia" w:ascii="Times New Roman" w:hAnsi="Times New Roman" w:eastAsia="仿宋_GB2312" w:cs="Times New Roman"/>
          <w:color w:val="auto"/>
          <w:sz w:val="32"/>
          <w:szCs w:val="32"/>
          <w:highlight w:val="none"/>
          <w:shd w:val="clear" w:color="auto" w:fill="FFFFFF"/>
          <w:lang w:eastAsia="zh-CN"/>
        </w:rPr>
        <w:t>，</w:t>
      </w:r>
      <w:r>
        <w:rPr>
          <w:rFonts w:hint="eastAsia" w:ascii="Times New Roman" w:hAnsi="Times New Roman" w:eastAsia="仿宋_GB2312" w:cs="仿宋_GB2312"/>
          <w:color w:val="auto"/>
          <w:sz w:val="32"/>
          <w:szCs w:val="32"/>
          <w:highlight w:val="none"/>
          <w:lang w:val="en-US" w:eastAsia="zh-CN"/>
        </w:rPr>
        <w:t>包括用于基本工资、津贴补贴等人员经费以及</w:t>
      </w:r>
      <w:r>
        <w:rPr>
          <w:rFonts w:hint="default" w:ascii="Times New Roman" w:hAnsi="Times New Roman" w:eastAsia="仿宋" w:cs="Times New Roman"/>
          <w:color w:val="auto"/>
          <w:kern w:val="0"/>
          <w:sz w:val="32"/>
          <w:szCs w:val="32"/>
          <w:highlight w:val="none"/>
          <w:lang w:val="en-US" w:eastAsia="zh-CN" w:bidi="ar"/>
        </w:rPr>
        <w:t>办公费、印刷费、水电费、办公设备购置等日常公用经费。</w:t>
      </w:r>
      <w:r>
        <w:rPr>
          <w:rFonts w:ascii="Times New Roman" w:hAnsi="Times New Roman" w:eastAsia="仿宋_GB2312" w:cs="Times New Roman"/>
          <w:color w:val="auto"/>
          <w:sz w:val="32"/>
          <w:szCs w:val="32"/>
          <w:highlight w:val="none"/>
          <w:shd w:val="clear" w:color="auto" w:fill="FFFFFF"/>
        </w:rPr>
        <w:t>二是用于单位为完成特定行政工作任务或事业发展目标而发生的支出</w:t>
      </w:r>
      <w:r>
        <w:rPr>
          <w:rFonts w:hint="eastAsia" w:ascii="Times New Roman" w:hAnsi="Times New Roman" w:eastAsia="仿宋_GB2312" w:cs="Times New Roman"/>
          <w:color w:val="auto"/>
          <w:sz w:val="32"/>
          <w:szCs w:val="32"/>
          <w:highlight w:val="none"/>
          <w:shd w:val="clear" w:color="auto" w:fill="FFFFFF"/>
          <w:lang w:eastAsia="zh-CN"/>
        </w:rPr>
        <w:t>，</w:t>
      </w:r>
      <w:r>
        <w:rPr>
          <w:rFonts w:hint="eastAsia" w:ascii="Times New Roman" w:hAnsi="Times New Roman" w:eastAsia="仿宋_GB2312" w:cs="仿宋_GB2312"/>
          <w:color w:val="auto"/>
          <w:sz w:val="32"/>
          <w:szCs w:val="32"/>
          <w:highlight w:val="none"/>
        </w:rPr>
        <w:t>包括有关事业发展专项、专项业务费等专项开支</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如污水处理运行经费、建设工程施工图审查服务费、长沙市地下综合管廊试点建设PPP项目（第一批）、建设领域行业监管检查工作经费、住房和城乡建设专项经费、2022年长沙市自建房指挥部工作经费</w:t>
      </w:r>
      <w:r>
        <w:rPr>
          <w:rFonts w:hint="eastAsia" w:ascii="Times New Roman" w:hAnsi="Times New Roman" w:eastAsia="仿宋_GB2312" w:cs="仿宋_GB2312"/>
          <w:color w:val="auto"/>
          <w:sz w:val="32"/>
          <w:szCs w:val="32"/>
          <w:highlight w:val="none"/>
        </w:rPr>
        <w:t>。</w:t>
      </w:r>
    </w:p>
    <w:p>
      <w:pPr>
        <w:spacing w:line="240" w:lineRule="auto"/>
        <w:ind w:firstLine="640" w:firstLineChars="200"/>
        <w:jc w:val="left"/>
        <w:rPr>
          <w:rFonts w:ascii="黑体" w:hAnsi="黑体" w:eastAsia="黑体"/>
          <w:color w:val="auto"/>
          <w:sz w:val="32"/>
          <w:szCs w:val="32"/>
          <w:highlight w:val="none"/>
        </w:rPr>
      </w:pPr>
      <w:r>
        <w:rPr>
          <w:rFonts w:hint="eastAsia" w:ascii="黑体" w:hAnsi="黑体" w:eastAsia="黑体" w:cs="黑体"/>
          <w:color w:val="auto"/>
          <w:sz w:val="32"/>
          <w:szCs w:val="32"/>
          <w:highlight w:val="none"/>
        </w:rPr>
        <w:t>二、一般公共预算支出情况</w:t>
      </w:r>
    </w:p>
    <w:p>
      <w:pPr>
        <w:spacing w:line="240" w:lineRule="auto"/>
        <w:ind w:firstLine="640" w:firstLineChars="200"/>
        <w:jc w:val="both"/>
        <w:rPr>
          <w:rFonts w:hint="default" w:ascii="楷体" w:hAnsi="楷体" w:eastAsia="楷体" w:cs="楷体"/>
          <w:b/>
          <w:bCs/>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shd w:val="clear" w:color="auto" w:fill="FFFFFF"/>
          <w:lang w:val="en-US" w:eastAsia="zh-CN"/>
        </w:rPr>
        <w:t>市住建局</w:t>
      </w:r>
      <w:r>
        <w:rPr>
          <w:rFonts w:ascii="Times New Roman" w:hAnsi="Times New Roman" w:eastAsia="仿宋_GB2312" w:cs="Times New Roman"/>
          <w:color w:val="auto"/>
          <w:sz w:val="32"/>
          <w:szCs w:val="32"/>
          <w:highlight w:val="none"/>
          <w:shd w:val="clear" w:color="auto" w:fill="FFFFFF"/>
        </w:rPr>
        <w:t>202</w:t>
      </w:r>
      <w:r>
        <w:rPr>
          <w:rFonts w:hint="default" w:ascii="Times New Roman" w:hAnsi="Times New Roman" w:eastAsia="仿宋_GB2312" w:cs="Times New Roman"/>
          <w:color w:val="auto"/>
          <w:sz w:val="32"/>
          <w:szCs w:val="32"/>
          <w:highlight w:val="none"/>
          <w:shd w:val="clear" w:color="auto" w:fill="FFFFFF"/>
        </w:rPr>
        <w:t>2</w:t>
      </w:r>
      <w:r>
        <w:rPr>
          <w:rFonts w:ascii="Times New Roman" w:hAnsi="Times New Roman" w:eastAsia="仿宋_GB2312" w:cs="Times New Roman"/>
          <w:color w:val="auto"/>
          <w:sz w:val="32"/>
          <w:szCs w:val="32"/>
          <w:highlight w:val="none"/>
          <w:shd w:val="clear" w:color="auto" w:fill="FFFFFF"/>
        </w:rPr>
        <w:t>年一般公共预算财政拨款支出</w:t>
      </w:r>
      <w:r>
        <w:rPr>
          <w:rFonts w:hint="eastAsia" w:ascii="Times New Roman" w:hAnsi="Times New Roman" w:eastAsia="仿宋_GB2312" w:cs="Times New Roman"/>
          <w:color w:val="auto"/>
          <w:sz w:val="32"/>
          <w:szCs w:val="32"/>
          <w:highlight w:val="none"/>
          <w:shd w:val="clear" w:color="auto" w:fill="FFFFFF"/>
          <w:lang w:val="en-US" w:eastAsia="zh-CN"/>
        </w:rPr>
        <w:t>160</w:t>
      </w:r>
      <w:r>
        <w:rPr>
          <w:rFonts w:hint="eastAsia"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lang w:val="en-US" w:eastAsia="zh-CN"/>
        </w:rPr>
        <w:t>190</w:t>
      </w:r>
      <w:r>
        <w:rPr>
          <w:rFonts w:hint="eastAsia"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lang w:val="en-US" w:eastAsia="zh-CN"/>
        </w:rPr>
        <w:t>99</w:t>
      </w:r>
      <w:r>
        <w:rPr>
          <w:rFonts w:ascii="Times New Roman" w:hAnsi="Times New Roman" w:eastAsia="仿宋_GB2312" w:cs="Times New Roman"/>
          <w:color w:val="auto"/>
          <w:sz w:val="32"/>
          <w:szCs w:val="32"/>
          <w:highlight w:val="none"/>
          <w:shd w:val="clear" w:color="auto" w:fill="FFFFFF"/>
        </w:rPr>
        <w:t>万元，其中：基本支出</w:t>
      </w:r>
      <w:r>
        <w:rPr>
          <w:rFonts w:hint="eastAsia" w:ascii="Times New Roman" w:hAnsi="Times New Roman" w:eastAsia="仿宋_GB2312" w:cs="Times New Roman"/>
          <w:color w:val="auto"/>
          <w:sz w:val="32"/>
          <w:szCs w:val="32"/>
          <w:highlight w:val="none"/>
          <w:shd w:val="clear" w:color="auto" w:fill="FFFFFF"/>
        </w:rPr>
        <w:t>6,311.84</w:t>
      </w:r>
      <w:r>
        <w:rPr>
          <w:rFonts w:ascii="Times New Roman" w:hAnsi="Times New Roman" w:eastAsia="仿宋_GB2312" w:cs="Times New Roman"/>
          <w:color w:val="auto"/>
          <w:sz w:val="32"/>
          <w:szCs w:val="32"/>
          <w:highlight w:val="none"/>
          <w:shd w:val="clear" w:color="auto" w:fill="FFFFFF"/>
        </w:rPr>
        <w:t>万元（</w:t>
      </w:r>
      <w:r>
        <w:rPr>
          <w:rFonts w:hint="eastAsia" w:ascii="Times New Roman" w:hAnsi="Times New Roman" w:eastAsia="仿宋_GB2312" w:cs="Times New Roman"/>
          <w:color w:val="auto"/>
          <w:sz w:val="32"/>
          <w:szCs w:val="32"/>
          <w:highlight w:val="none"/>
          <w:shd w:val="clear" w:color="auto" w:fill="FFFFFF"/>
          <w:lang w:val="en-US" w:eastAsia="zh-CN"/>
        </w:rPr>
        <w:t>包括</w:t>
      </w:r>
      <w:r>
        <w:rPr>
          <w:rFonts w:ascii="Times New Roman" w:hAnsi="Times New Roman" w:eastAsia="仿宋_GB2312" w:cs="Times New Roman"/>
          <w:color w:val="auto"/>
          <w:sz w:val="32"/>
          <w:szCs w:val="32"/>
          <w:highlight w:val="none"/>
          <w:shd w:val="clear" w:color="auto" w:fill="FFFFFF"/>
        </w:rPr>
        <w:t>人</w:t>
      </w:r>
      <w:r>
        <w:rPr>
          <w:rFonts w:hint="eastAsia" w:ascii="Times New Roman" w:hAnsi="Times New Roman" w:eastAsia="仿宋_GB2312" w:cs="Times New Roman"/>
          <w:color w:val="auto"/>
          <w:sz w:val="32"/>
          <w:szCs w:val="32"/>
          <w:highlight w:val="none"/>
          <w:shd w:val="clear" w:color="auto" w:fill="FFFFFF"/>
          <w:lang w:val="en-US" w:eastAsia="zh-Hans"/>
        </w:rPr>
        <w:t>员经费5,867.71万元</w:t>
      </w:r>
      <w:r>
        <w:rPr>
          <w:rFonts w:hint="eastAsia" w:ascii="Times New Roman" w:hAnsi="Times New Roman" w:eastAsia="仿宋_GB2312" w:cs="Times New Roman"/>
          <w:color w:val="auto"/>
          <w:sz w:val="32"/>
          <w:szCs w:val="32"/>
          <w:highlight w:val="none"/>
          <w:shd w:val="clear" w:color="auto" w:fill="FFFFFF"/>
          <w:lang w:val="en-US" w:eastAsia="zh-CN"/>
        </w:rPr>
        <w:t>、</w:t>
      </w:r>
      <w:r>
        <w:rPr>
          <w:rFonts w:hint="eastAsia" w:ascii="Times New Roman" w:hAnsi="Times New Roman" w:eastAsia="仿宋_GB2312" w:cs="Times New Roman"/>
          <w:color w:val="auto"/>
          <w:sz w:val="32"/>
          <w:szCs w:val="32"/>
          <w:highlight w:val="none"/>
          <w:shd w:val="clear" w:color="auto" w:fill="FFFFFF"/>
          <w:lang w:val="en-US" w:eastAsia="zh-Hans"/>
        </w:rPr>
        <w:t>公用经费</w:t>
      </w:r>
      <w:r>
        <w:rPr>
          <w:rFonts w:hint="default" w:ascii="Times New Roman" w:hAnsi="Times New Roman" w:eastAsia="仿宋_GB2312" w:cs="Times New Roman"/>
          <w:color w:val="auto"/>
          <w:sz w:val="32"/>
          <w:szCs w:val="32"/>
          <w:highlight w:val="none"/>
          <w:shd w:val="clear" w:color="auto" w:fill="FFFFFF"/>
          <w:lang w:val="en-US" w:eastAsia="zh-Hans"/>
        </w:rPr>
        <w:t>444.13</w:t>
      </w:r>
      <w:r>
        <w:rPr>
          <w:rFonts w:hint="eastAsia" w:ascii="Times New Roman" w:hAnsi="Times New Roman" w:eastAsia="仿宋_GB2312" w:cs="Times New Roman"/>
          <w:color w:val="auto"/>
          <w:sz w:val="32"/>
          <w:szCs w:val="32"/>
          <w:highlight w:val="none"/>
          <w:shd w:val="clear" w:color="auto" w:fill="FFFFFF"/>
          <w:lang w:val="en-US" w:eastAsia="zh-Hans"/>
        </w:rPr>
        <w:t>万元）</w:t>
      </w:r>
      <w:r>
        <w:rPr>
          <w:rFonts w:hint="eastAsia" w:ascii="Times New Roman" w:hAnsi="Times New Roman" w:eastAsia="仿宋_GB2312" w:cs="Times New Roman"/>
          <w:color w:val="auto"/>
          <w:sz w:val="32"/>
          <w:szCs w:val="32"/>
          <w:highlight w:val="none"/>
          <w:shd w:val="clear" w:color="auto" w:fill="FFFFFF"/>
          <w:lang w:val="en-US" w:eastAsia="zh-CN"/>
        </w:rPr>
        <w:t>；项目支出153,879.15万元（包括</w:t>
      </w:r>
      <w:r>
        <w:rPr>
          <w:rFonts w:hint="eastAsia" w:ascii="Times New Roman" w:hAnsi="Times New Roman" w:eastAsia="仿宋_GB2312" w:cs="Times New Roman"/>
          <w:color w:val="auto"/>
          <w:sz w:val="32"/>
          <w:szCs w:val="32"/>
          <w:highlight w:val="none"/>
          <w:shd w:val="clear" w:color="auto" w:fill="FFFFFF"/>
          <w:lang w:val="en-US" w:eastAsia="zh-Hans"/>
        </w:rPr>
        <w:t>部门项目支出</w:t>
      </w:r>
      <w:r>
        <w:rPr>
          <w:rFonts w:hint="eastAsia" w:ascii="Times New Roman" w:hAnsi="Times New Roman" w:eastAsia="仿宋_GB2312" w:cs="Times New Roman"/>
          <w:color w:val="auto"/>
          <w:sz w:val="32"/>
          <w:szCs w:val="32"/>
          <w:highlight w:val="none"/>
          <w:shd w:val="clear" w:color="auto" w:fill="FFFFFF"/>
          <w:lang w:val="en-US" w:eastAsia="zh-CN"/>
        </w:rPr>
        <w:t>3,046.26</w:t>
      </w:r>
      <w:r>
        <w:rPr>
          <w:rFonts w:hint="eastAsia" w:ascii="Times New Roman" w:hAnsi="Times New Roman" w:eastAsia="仿宋_GB2312" w:cs="Times New Roman"/>
          <w:color w:val="auto"/>
          <w:sz w:val="32"/>
          <w:szCs w:val="32"/>
          <w:highlight w:val="none"/>
          <w:shd w:val="clear" w:color="auto" w:fill="FFFFFF"/>
          <w:lang w:val="en-US" w:eastAsia="zh-Hans"/>
        </w:rPr>
        <w:t>万元</w:t>
      </w:r>
      <w:r>
        <w:rPr>
          <w:rFonts w:hint="eastAsia" w:ascii="Times New Roman" w:hAnsi="Times New Roman" w:eastAsia="仿宋_GB2312" w:cs="Times New Roman"/>
          <w:color w:val="auto"/>
          <w:sz w:val="32"/>
          <w:szCs w:val="32"/>
          <w:highlight w:val="none"/>
          <w:shd w:val="clear" w:color="auto" w:fill="FFFFFF"/>
          <w:lang w:val="en-US" w:eastAsia="zh-CN"/>
        </w:rPr>
        <w:t>、</w:t>
      </w:r>
      <w:r>
        <w:rPr>
          <w:rFonts w:hint="eastAsia" w:ascii="Times New Roman" w:hAnsi="Times New Roman" w:eastAsia="仿宋_GB2312" w:cs="Times New Roman"/>
          <w:color w:val="auto"/>
          <w:sz w:val="32"/>
          <w:szCs w:val="32"/>
          <w:highlight w:val="none"/>
          <w:shd w:val="clear" w:color="auto" w:fill="FFFFFF"/>
          <w:lang w:val="en-US" w:eastAsia="zh-Hans"/>
        </w:rPr>
        <w:t>公共项目支出</w:t>
      </w:r>
      <w:r>
        <w:rPr>
          <w:rFonts w:hint="eastAsia" w:ascii="Times New Roman" w:hAnsi="Times New Roman" w:eastAsia="仿宋_GB2312" w:cs="Times New Roman"/>
          <w:color w:val="auto"/>
          <w:sz w:val="32"/>
          <w:szCs w:val="32"/>
          <w:highlight w:val="none"/>
          <w:shd w:val="clear" w:color="auto" w:fill="FFFFFF"/>
          <w:lang w:val="en-US" w:eastAsia="zh-CN"/>
        </w:rPr>
        <w:t>150</w:t>
      </w:r>
      <w:r>
        <w:rPr>
          <w:rFonts w:hint="eastAsia"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lang w:val="en-US" w:eastAsia="zh-CN"/>
        </w:rPr>
        <w:t>832.89万元）</w:t>
      </w:r>
      <w:r>
        <w:rPr>
          <w:rFonts w:hint="eastAsia" w:ascii="Times New Roman" w:hAnsi="Times New Roman" w:eastAsia="仿宋_GB2312" w:cs="Times New Roman"/>
          <w:color w:val="auto"/>
          <w:sz w:val="32"/>
          <w:szCs w:val="32"/>
          <w:highlight w:val="none"/>
          <w:shd w:val="clear" w:color="auto" w:fill="FFFFFF"/>
          <w:lang w:val="en-US" w:eastAsia="zh-Hans"/>
        </w:rPr>
        <w:t>。</w:t>
      </w:r>
    </w:p>
    <w:p>
      <w:pPr>
        <w:spacing w:line="240" w:lineRule="auto"/>
        <w:ind w:firstLine="643" w:firstLineChars="200"/>
        <w:jc w:val="left"/>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（一）基本支出</w:t>
      </w:r>
    </w:p>
    <w:p>
      <w:pPr>
        <w:spacing w:line="240" w:lineRule="auto"/>
        <w:ind w:firstLine="643" w:firstLineChars="200"/>
        <w:jc w:val="left"/>
        <w:rPr>
          <w:rFonts w:hint="default" w:ascii="Times New Roman" w:hAnsi="Times New Roman" w:eastAsia="仿宋_GB2312" w:cs="仿宋_GB2312"/>
          <w:b/>
          <w:bCs/>
          <w:color w:val="auto"/>
          <w:sz w:val="32"/>
          <w:szCs w:val="32"/>
          <w:highlight w:val="none"/>
          <w:lang w:val="en-US" w:eastAsia="zh-CN"/>
        </w:rPr>
      </w:pPr>
      <w:r>
        <w:rPr>
          <w:rFonts w:hint="eastAsia" w:ascii="Times New Roman" w:hAnsi="Times New Roman" w:eastAsia="仿宋_GB2312" w:cs="仿宋_GB2312"/>
          <w:b/>
          <w:bCs/>
          <w:color w:val="auto"/>
          <w:sz w:val="32"/>
          <w:szCs w:val="32"/>
          <w:highlight w:val="none"/>
          <w:lang w:val="en-US" w:eastAsia="zh-CN"/>
        </w:rPr>
        <w:t>1.基本支出主要用途、范围及资金管理情况</w:t>
      </w:r>
    </w:p>
    <w:p>
      <w:pPr>
        <w:spacing w:line="240" w:lineRule="auto"/>
        <w:ind w:firstLine="640" w:firstLineChars="200"/>
        <w:jc w:val="left"/>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基本支出是指为保障单位机构运转、完成日常工作任务而发生的各项支出，包括职工基本工资、津补贴、社会保障缴费、离退休费等人员经费以及办公费、水电费、办公设备购置费等日常公用经费。</w:t>
      </w:r>
      <w:r>
        <w:rPr>
          <w:rFonts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本局</w:t>
      </w:r>
      <w:r>
        <w:rPr>
          <w:rFonts w:hint="eastAsia" w:ascii="Times New Roman" w:hAnsi="Times New Roman" w:eastAsia="仿宋_GB2312" w:cs="仿宋_GB2312"/>
          <w:color w:val="auto"/>
          <w:sz w:val="32"/>
          <w:szCs w:val="32"/>
          <w:highlight w:val="none"/>
        </w:rPr>
        <w:t>机关</w:t>
      </w:r>
      <w:r>
        <w:rPr>
          <w:rFonts w:ascii="Times New Roman" w:hAnsi="Times New Roman" w:eastAsia="仿宋_GB2312" w:cs="Times New Roman"/>
          <w:color w:val="auto"/>
          <w:sz w:val="32"/>
          <w:szCs w:val="32"/>
          <w:highlight w:val="none"/>
          <w:shd w:val="clear" w:color="auto" w:fill="FFFFFF"/>
        </w:rPr>
        <w:t>一般公共预算财政拨款</w:t>
      </w:r>
      <w:r>
        <w:rPr>
          <w:rFonts w:hint="eastAsia" w:ascii="Times New Roman" w:hAnsi="Times New Roman" w:eastAsia="仿宋_GB2312" w:cs="仿宋_GB2312"/>
          <w:color w:val="auto"/>
          <w:sz w:val="32"/>
          <w:szCs w:val="32"/>
          <w:highlight w:val="none"/>
        </w:rPr>
        <w:t>基本支出</w:t>
      </w:r>
      <w:r>
        <w:rPr>
          <w:rFonts w:hint="eastAsia" w:ascii="Times New Roman" w:hAnsi="Times New Roman" w:eastAsia="仿宋_GB2312" w:cs="Times New Roman"/>
          <w:color w:val="auto"/>
          <w:sz w:val="32"/>
          <w:szCs w:val="32"/>
          <w:highlight w:val="none"/>
        </w:rPr>
        <w:t>6</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rPr>
        <w:t>311</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rPr>
        <w:t>8</w:t>
      </w: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仿宋_GB2312"/>
          <w:color w:val="auto"/>
          <w:sz w:val="32"/>
          <w:szCs w:val="32"/>
          <w:highlight w:val="none"/>
        </w:rPr>
        <w:t>万元，其中：人员经费支出</w:t>
      </w:r>
      <w:r>
        <w:rPr>
          <w:rFonts w:hint="eastAsia" w:ascii="Times New Roman" w:hAnsi="Times New Roman" w:eastAsia="仿宋_GB2312" w:cs="Times New Roman"/>
          <w:color w:val="auto"/>
          <w:sz w:val="32"/>
          <w:szCs w:val="32"/>
          <w:highlight w:val="none"/>
        </w:rPr>
        <w:t>5</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rPr>
        <w:t>867</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rPr>
        <w:t>7</w:t>
      </w: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万元，日常公用经费支出</w:t>
      </w:r>
      <w:r>
        <w:rPr>
          <w:rFonts w:hint="eastAsia" w:ascii="Times New Roman" w:hAnsi="Times New Roman" w:eastAsia="仿宋_GB2312" w:cs="Times New Roman"/>
          <w:color w:val="auto"/>
          <w:sz w:val="32"/>
          <w:szCs w:val="32"/>
          <w:highlight w:val="none"/>
        </w:rPr>
        <w:t>444</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万元。具体情况</w:t>
      </w:r>
      <w:r>
        <w:rPr>
          <w:rFonts w:hint="eastAsia" w:ascii="Times New Roman" w:hAnsi="Times New Roman" w:eastAsia="仿宋_GB2312" w:cs="仿宋_GB2312"/>
          <w:color w:val="auto"/>
          <w:sz w:val="32"/>
          <w:szCs w:val="32"/>
          <w:highlight w:val="none"/>
          <w:lang w:val="en-US" w:eastAsia="zh-CN"/>
        </w:rPr>
        <w:t>如下</w:t>
      </w:r>
      <w:r>
        <w:rPr>
          <w:rFonts w:hint="eastAsia" w:ascii="Times New Roman" w:hAnsi="Times New Roman" w:eastAsia="仿宋_GB2312" w:cs="仿宋_GB2312"/>
          <w:color w:val="auto"/>
          <w:sz w:val="32"/>
          <w:szCs w:val="32"/>
          <w:highlight w:val="none"/>
        </w:rPr>
        <w:t>：</w:t>
      </w:r>
    </w:p>
    <w:p>
      <w:pPr>
        <w:pStyle w:val="12"/>
        <w:spacing w:before="157" w:beforeLines="50" w:after="0"/>
        <w:jc w:val="right"/>
        <w:rPr>
          <w:rFonts w:hint="default"/>
          <w:color w:val="auto"/>
          <w:highlight w:val="none"/>
          <w:lang w:val="en-US" w:eastAsia="zh-CN"/>
        </w:rPr>
      </w:pPr>
      <w:r>
        <w:rPr>
          <w:rFonts w:hint="eastAsia"/>
          <w:color w:val="auto"/>
          <w:highlight w:val="none"/>
          <w:lang w:val="en-US" w:eastAsia="zh-CN"/>
        </w:rPr>
        <w:t>单位：万元</w:t>
      </w:r>
    </w:p>
    <w:tbl>
      <w:tblPr>
        <w:tblStyle w:val="1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8"/>
        <w:gridCol w:w="2799"/>
        <w:gridCol w:w="1761"/>
        <w:gridCol w:w="1761"/>
        <w:gridCol w:w="13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blHeader/>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序号</w:t>
            </w:r>
          </w:p>
        </w:tc>
        <w:tc>
          <w:tcPr>
            <w:tcW w:w="1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项目</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2022年预算</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2022年决算</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highlight w:val="none"/>
                <w:u w:val="none"/>
              </w:rPr>
            </w:pPr>
            <w:r>
              <w:rPr>
                <w:rFonts w:hint="eastAsia" w:ascii="Times New Roman" w:hAnsi="Times New Roman" w:eastAsia="宋体" w:cs="Times New Roman"/>
                <w:b/>
                <w:bCs/>
                <w:i w:val="0"/>
                <w:iCs w:val="0"/>
                <w:color w:val="auto"/>
                <w:kern w:val="0"/>
                <w:sz w:val="20"/>
                <w:szCs w:val="20"/>
                <w:highlight w:val="none"/>
                <w:u w:val="none"/>
                <w:lang w:val="en-US" w:eastAsia="zh-CN" w:bidi="ar"/>
              </w:rPr>
              <w:t>一</w:t>
            </w:r>
          </w:p>
        </w:tc>
        <w:tc>
          <w:tcPr>
            <w:tcW w:w="1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人员经费</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4</w:t>
            </w:r>
            <w:r>
              <w:rPr>
                <w:rFonts w:hint="eastAsia" w:ascii="Times New Roman" w:hAnsi="Times New Roman" w:eastAsia="宋体" w:cs="Times New Roman"/>
                <w:b/>
                <w:bCs/>
                <w:i w:val="0"/>
                <w:iCs w:val="0"/>
                <w:color w:val="auto"/>
                <w:kern w:val="0"/>
                <w:sz w:val="20"/>
                <w:szCs w:val="20"/>
                <w:highlight w:val="none"/>
                <w:u w:val="none"/>
                <w:lang w:val="en-US" w:eastAsia="zh-CN" w:bidi="ar"/>
              </w:rPr>
              <w:t>,</w:t>
            </w:r>
            <w:r>
              <w:rPr>
                <w:rFonts w:hint="default" w:ascii="Times New Roman" w:hAnsi="Times New Roman" w:eastAsia="宋体" w:cs="Times New Roman"/>
                <w:b/>
                <w:bCs/>
                <w:i w:val="0"/>
                <w:iCs w:val="0"/>
                <w:color w:val="auto"/>
                <w:kern w:val="0"/>
                <w:sz w:val="20"/>
                <w:szCs w:val="20"/>
                <w:highlight w:val="none"/>
                <w:u w:val="none"/>
                <w:lang w:val="en-US" w:eastAsia="zh-CN" w:bidi="ar"/>
              </w:rPr>
              <w:t>844.06</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5</w:t>
            </w:r>
            <w:r>
              <w:rPr>
                <w:rFonts w:hint="eastAsia" w:ascii="Times New Roman" w:hAnsi="Times New Roman" w:eastAsia="宋体" w:cs="Times New Roman"/>
                <w:b/>
                <w:bCs/>
                <w:i w:val="0"/>
                <w:iCs w:val="0"/>
                <w:color w:val="auto"/>
                <w:kern w:val="0"/>
                <w:sz w:val="20"/>
                <w:szCs w:val="20"/>
                <w:highlight w:val="none"/>
                <w:u w:val="none"/>
                <w:lang w:val="en-US" w:eastAsia="zh-CN" w:bidi="ar"/>
              </w:rPr>
              <w:t>,</w:t>
            </w:r>
            <w:r>
              <w:rPr>
                <w:rFonts w:hint="default" w:ascii="Times New Roman" w:hAnsi="Times New Roman" w:eastAsia="宋体" w:cs="Times New Roman"/>
                <w:b/>
                <w:bCs/>
                <w:i w:val="0"/>
                <w:iCs w:val="0"/>
                <w:color w:val="auto"/>
                <w:kern w:val="0"/>
                <w:sz w:val="20"/>
                <w:szCs w:val="20"/>
                <w:highlight w:val="none"/>
                <w:u w:val="none"/>
                <w:lang w:val="en-US" w:eastAsia="zh-CN" w:bidi="ar"/>
              </w:rPr>
              <w:t>867.71</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121.13%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1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工资奖金津补贴</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w:t>
            </w:r>
            <w:r>
              <w:rPr>
                <w:rFonts w:hint="eastAsia" w:ascii="Times New Roman" w:hAnsi="Times New Roman" w:eastAsia="宋体" w:cs="Times New Roman"/>
                <w:i w:val="0"/>
                <w:iCs w:val="0"/>
                <w:color w:val="auto"/>
                <w:kern w:val="0"/>
                <w:sz w:val="20"/>
                <w:szCs w:val="20"/>
                <w:highlight w:val="none"/>
                <w:u w:val="none"/>
                <w:lang w:val="en-US" w:eastAsia="zh-CN" w:bidi="ar"/>
              </w:rPr>
              <w:t>,</w:t>
            </w:r>
            <w:r>
              <w:rPr>
                <w:rFonts w:hint="default" w:ascii="Times New Roman" w:hAnsi="Times New Roman" w:eastAsia="宋体" w:cs="Times New Roman"/>
                <w:i w:val="0"/>
                <w:iCs w:val="0"/>
                <w:color w:val="auto"/>
                <w:kern w:val="0"/>
                <w:sz w:val="20"/>
                <w:szCs w:val="20"/>
                <w:highlight w:val="none"/>
                <w:u w:val="none"/>
                <w:lang w:val="en-US" w:eastAsia="zh-CN" w:bidi="ar"/>
              </w:rPr>
              <w:t>002.39</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w:t>
            </w:r>
            <w:r>
              <w:rPr>
                <w:rFonts w:hint="eastAsia" w:ascii="Times New Roman" w:hAnsi="Times New Roman" w:eastAsia="宋体" w:cs="Times New Roman"/>
                <w:i w:val="0"/>
                <w:iCs w:val="0"/>
                <w:color w:val="auto"/>
                <w:kern w:val="0"/>
                <w:sz w:val="20"/>
                <w:szCs w:val="20"/>
                <w:highlight w:val="none"/>
                <w:u w:val="none"/>
                <w:lang w:val="en-US" w:eastAsia="zh-CN" w:bidi="ar"/>
              </w:rPr>
              <w:t>,</w:t>
            </w:r>
            <w:r>
              <w:rPr>
                <w:rFonts w:hint="default" w:ascii="Times New Roman" w:hAnsi="Times New Roman" w:eastAsia="宋体" w:cs="Times New Roman"/>
                <w:i w:val="0"/>
                <w:iCs w:val="0"/>
                <w:color w:val="auto"/>
                <w:kern w:val="0"/>
                <w:sz w:val="20"/>
                <w:szCs w:val="20"/>
                <w:highlight w:val="none"/>
                <w:u w:val="none"/>
                <w:lang w:val="en-US" w:eastAsia="zh-CN" w:bidi="ar"/>
              </w:rPr>
              <w:t>591.72</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eastAsia="宋体" w:cs="Times New Roman"/>
                <w:b w:val="0"/>
                <w:bCs w:val="0"/>
                <w:i w:val="0"/>
                <w:iCs w:val="0"/>
                <w:color w:val="auto"/>
                <w:kern w:val="0"/>
                <w:sz w:val="20"/>
                <w:szCs w:val="20"/>
                <w:highlight w:val="none"/>
                <w:u w:val="none"/>
                <w:lang w:val="en-US" w:eastAsia="zh-CN" w:bidi="ar"/>
              </w:rPr>
              <w:t>129.43%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w:t>
            </w:r>
          </w:p>
        </w:tc>
        <w:tc>
          <w:tcPr>
            <w:tcW w:w="1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社会保障缴费</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469.20</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625.93</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eastAsia="宋体" w:cs="Times New Roman"/>
                <w:b w:val="0"/>
                <w:bCs w:val="0"/>
                <w:i w:val="0"/>
                <w:iCs w:val="0"/>
                <w:color w:val="auto"/>
                <w:kern w:val="0"/>
                <w:sz w:val="20"/>
                <w:szCs w:val="20"/>
                <w:highlight w:val="none"/>
                <w:u w:val="none"/>
                <w:lang w:val="en-US" w:eastAsia="zh-CN" w:bidi="ar"/>
              </w:rPr>
              <w:t>133.40%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w:t>
            </w:r>
          </w:p>
        </w:tc>
        <w:tc>
          <w:tcPr>
            <w:tcW w:w="1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住房公积金</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429.00</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345.07</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eastAsia="宋体" w:cs="Times New Roman"/>
                <w:b w:val="0"/>
                <w:bCs w:val="0"/>
                <w:i w:val="0"/>
                <w:iCs w:val="0"/>
                <w:color w:val="auto"/>
                <w:kern w:val="0"/>
                <w:sz w:val="20"/>
                <w:szCs w:val="20"/>
                <w:highlight w:val="none"/>
                <w:u w:val="none"/>
                <w:lang w:val="en-US" w:eastAsia="zh-CN" w:bidi="ar"/>
              </w:rPr>
              <w:t>80.44%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w:t>
            </w:r>
          </w:p>
        </w:tc>
        <w:tc>
          <w:tcPr>
            <w:tcW w:w="1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其他工资福利支出</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905.57</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547.40</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eastAsia="宋体" w:cs="Times New Roman"/>
                <w:b w:val="0"/>
                <w:bCs w:val="0"/>
                <w:i w:val="0"/>
                <w:iCs w:val="0"/>
                <w:color w:val="auto"/>
                <w:kern w:val="0"/>
                <w:sz w:val="20"/>
                <w:szCs w:val="20"/>
                <w:highlight w:val="none"/>
                <w:u w:val="none"/>
                <w:lang w:val="en-US" w:eastAsia="zh-CN" w:bidi="ar"/>
              </w:rPr>
              <w:t>60.45%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Times New Roman" w:hAnsi="Times New Roman" w:eastAsia="宋体" w:cs="Times New Roman"/>
                <w:i w:val="0"/>
                <w:iCs w:val="0"/>
                <w:color w:val="auto"/>
                <w:kern w:val="0"/>
                <w:sz w:val="20"/>
                <w:szCs w:val="20"/>
                <w:highlight w:val="none"/>
                <w:u w:val="none"/>
                <w:lang w:val="en-US" w:eastAsia="zh-CN" w:bidi="ar"/>
              </w:rPr>
              <w:t>5</w:t>
            </w:r>
          </w:p>
        </w:tc>
        <w:tc>
          <w:tcPr>
            <w:tcW w:w="1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对个人和家庭的补助</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r>
              <w:rPr>
                <w:rFonts w:hint="eastAsia" w:ascii="Times New Roman" w:hAnsi="Times New Roman" w:eastAsia="宋体" w:cs="Times New Roman"/>
                <w:i w:val="0"/>
                <w:iCs w:val="0"/>
                <w:color w:val="auto"/>
                <w:kern w:val="0"/>
                <w:sz w:val="20"/>
                <w:szCs w:val="20"/>
                <w:highlight w:val="none"/>
                <w:u w:val="none"/>
                <w:lang w:val="en-US" w:eastAsia="zh-CN" w:bidi="ar"/>
              </w:rPr>
              <w:t>,</w:t>
            </w:r>
            <w:r>
              <w:rPr>
                <w:rFonts w:hint="default" w:ascii="Times New Roman" w:hAnsi="Times New Roman" w:eastAsia="宋体" w:cs="Times New Roman"/>
                <w:i w:val="0"/>
                <w:iCs w:val="0"/>
                <w:color w:val="auto"/>
                <w:kern w:val="0"/>
                <w:sz w:val="20"/>
                <w:szCs w:val="20"/>
                <w:highlight w:val="none"/>
                <w:u w:val="none"/>
                <w:lang w:val="en-US" w:eastAsia="zh-CN" w:bidi="ar"/>
              </w:rPr>
              <w:t>037.90</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r>
              <w:rPr>
                <w:rFonts w:hint="eastAsia" w:ascii="Times New Roman" w:hAnsi="Times New Roman" w:eastAsia="宋体" w:cs="Times New Roman"/>
                <w:i w:val="0"/>
                <w:iCs w:val="0"/>
                <w:color w:val="auto"/>
                <w:kern w:val="0"/>
                <w:sz w:val="20"/>
                <w:szCs w:val="20"/>
                <w:highlight w:val="none"/>
                <w:u w:val="none"/>
                <w:lang w:val="en-US" w:eastAsia="zh-CN" w:bidi="ar"/>
              </w:rPr>
              <w:t>,</w:t>
            </w:r>
            <w:r>
              <w:rPr>
                <w:rFonts w:hint="default" w:ascii="Times New Roman" w:hAnsi="Times New Roman" w:eastAsia="宋体" w:cs="Times New Roman"/>
                <w:i w:val="0"/>
                <w:iCs w:val="0"/>
                <w:color w:val="auto"/>
                <w:kern w:val="0"/>
                <w:sz w:val="20"/>
                <w:szCs w:val="20"/>
                <w:highlight w:val="none"/>
                <w:u w:val="none"/>
                <w:lang w:val="en-US" w:eastAsia="zh-CN" w:bidi="ar"/>
              </w:rPr>
              <w:t>757.59</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eastAsia="宋体" w:cs="Times New Roman"/>
                <w:b w:val="0"/>
                <w:bCs w:val="0"/>
                <w:i w:val="0"/>
                <w:iCs w:val="0"/>
                <w:color w:val="auto"/>
                <w:kern w:val="0"/>
                <w:sz w:val="20"/>
                <w:szCs w:val="20"/>
                <w:highlight w:val="none"/>
                <w:u w:val="none"/>
                <w:lang w:val="en-US" w:eastAsia="zh-CN" w:bidi="ar"/>
              </w:rPr>
              <w:t>169.34%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highlight w:val="none"/>
                <w:u w:val="none"/>
              </w:rPr>
            </w:pPr>
            <w:r>
              <w:rPr>
                <w:rFonts w:hint="eastAsia" w:ascii="Times New Roman" w:hAnsi="Times New Roman" w:eastAsia="宋体" w:cs="Times New Roman"/>
                <w:b/>
                <w:bCs/>
                <w:i w:val="0"/>
                <w:iCs w:val="0"/>
                <w:color w:val="auto"/>
                <w:kern w:val="0"/>
                <w:sz w:val="20"/>
                <w:szCs w:val="20"/>
                <w:highlight w:val="none"/>
                <w:u w:val="none"/>
                <w:lang w:val="en-US" w:eastAsia="zh-CN" w:bidi="ar"/>
              </w:rPr>
              <w:t>二</w:t>
            </w:r>
          </w:p>
        </w:tc>
        <w:tc>
          <w:tcPr>
            <w:tcW w:w="1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公用经费</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456.65</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444.13</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97.26%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1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办公费</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163.33</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1.93</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eastAsia="宋体" w:cs="Times New Roman"/>
                <w:b w:val="0"/>
                <w:bCs w:val="0"/>
                <w:i w:val="0"/>
                <w:iCs w:val="0"/>
                <w:color w:val="auto"/>
                <w:kern w:val="0"/>
                <w:sz w:val="20"/>
                <w:szCs w:val="20"/>
                <w:highlight w:val="none"/>
                <w:u w:val="none"/>
                <w:lang w:val="en-US" w:eastAsia="zh-CN" w:bidi="ar"/>
              </w:rPr>
              <w:t>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w:t>
            </w:r>
          </w:p>
        </w:tc>
        <w:tc>
          <w:tcPr>
            <w:tcW w:w="1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咨询费</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15.70</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b w:val="0"/>
                <w:bCs w:val="0"/>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w:t>
            </w:r>
          </w:p>
        </w:tc>
        <w:tc>
          <w:tcPr>
            <w:tcW w:w="1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水费、电费、邮电费</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7.00</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b w:val="0"/>
                <w:bCs w:val="0"/>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w:t>
            </w:r>
          </w:p>
        </w:tc>
        <w:tc>
          <w:tcPr>
            <w:tcW w:w="1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差旅费</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0.14</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b w:val="0"/>
                <w:bCs w:val="0"/>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6</w:t>
            </w:r>
          </w:p>
        </w:tc>
        <w:tc>
          <w:tcPr>
            <w:tcW w:w="1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维修（护）费</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3.00</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b w:val="0"/>
                <w:bCs w:val="0"/>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7</w:t>
            </w:r>
          </w:p>
        </w:tc>
        <w:tc>
          <w:tcPr>
            <w:tcW w:w="1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因公出国（境）费用</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11.50</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b w:val="0"/>
                <w:bCs w:val="0"/>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8</w:t>
            </w:r>
          </w:p>
        </w:tc>
        <w:tc>
          <w:tcPr>
            <w:tcW w:w="1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会议费</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10.00</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6.95</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eastAsia="宋体" w:cs="Times New Roman"/>
                <w:b w:val="0"/>
                <w:bCs w:val="0"/>
                <w:i w:val="0"/>
                <w:iCs w:val="0"/>
                <w:color w:val="auto"/>
                <w:kern w:val="0"/>
                <w:sz w:val="20"/>
                <w:szCs w:val="20"/>
                <w:highlight w:val="none"/>
                <w:u w:val="none"/>
                <w:lang w:val="en-US" w:eastAsia="zh-CN" w:bidi="ar"/>
              </w:rPr>
              <w:t>69.50%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9</w:t>
            </w:r>
          </w:p>
        </w:tc>
        <w:tc>
          <w:tcPr>
            <w:tcW w:w="1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公务接待费</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5.00</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1.95</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eastAsia="宋体" w:cs="Times New Roman"/>
                <w:b w:val="0"/>
                <w:bCs w:val="0"/>
                <w:i w:val="0"/>
                <w:iCs w:val="0"/>
                <w:color w:val="auto"/>
                <w:kern w:val="0"/>
                <w:sz w:val="20"/>
                <w:szCs w:val="20"/>
                <w:highlight w:val="none"/>
                <w:u w:val="none"/>
                <w:lang w:val="en-US" w:eastAsia="zh-CN" w:bidi="ar"/>
              </w:rPr>
              <w:t>39.00%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w:t>
            </w:r>
          </w:p>
        </w:tc>
        <w:tc>
          <w:tcPr>
            <w:tcW w:w="1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工会经费</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18.18</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b w:val="0"/>
                <w:bCs w:val="0"/>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11</w:t>
            </w:r>
          </w:p>
        </w:tc>
        <w:tc>
          <w:tcPr>
            <w:tcW w:w="1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福利费</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2.84</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b w:val="0"/>
                <w:bCs w:val="0"/>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14</w:t>
            </w:r>
          </w:p>
        </w:tc>
        <w:tc>
          <w:tcPr>
            <w:tcW w:w="1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其他交通费用</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122.06</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b w:val="0"/>
                <w:bCs w:val="0"/>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17</w:t>
            </w:r>
          </w:p>
        </w:tc>
        <w:tc>
          <w:tcPr>
            <w:tcW w:w="1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其他商品和服务支出</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263.82</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267.38</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eastAsia="宋体" w:cs="Times New Roman"/>
                <w:b w:val="0"/>
                <w:bCs w:val="0"/>
                <w:i w:val="0"/>
                <w:iCs w:val="0"/>
                <w:color w:val="auto"/>
                <w:kern w:val="0"/>
                <w:sz w:val="20"/>
                <w:szCs w:val="20"/>
                <w:highlight w:val="none"/>
                <w:u w:val="none"/>
                <w:lang w:val="en-US" w:eastAsia="zh-CN" w:bidi="ar"/>
              </w:rPr>
              <w:t>101.35%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highlight w:val="none"/>
                <w:u w:val="none"/>
              </w:rPr>
            </w:pPr>
          </w:p>
        </w:tc>
        <w:tc>
          <w:tcPr>
            <w:tcW w:w="1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合计</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5</w:t>
            </w:r>
            <w:r>
              <w:rPr>
                <w:rFonts w:hint="eastAsia" w:ascii="Times New Roman" w:hAnsi="Times New Roman" w:eastAsia="宋体" w:cs="Times New Roman"/>
                <w:b/>
                <w:bCs/>
                <w:i w:val="0"/>
                <w:iCs w:val="0"/>
                <w:color w:val="auto"/>
                <w:kern w:val="0"/>
                <w:sz w:val="20"/>
                <w:szCs w:val="20"/>
                <w:highlight w:val="none"/>
                <w:u w:val="none"/>
                <w:lang w:val="en-US" w:eastAsia="zh-CN" w:bidi="ar"/>
              </w:rPr>
              <w:t>,</w:t>
            </w:r>
            <w:r>
              <w:rPr>
                <w:rFonts w:hint="default" w:ascii="Times New Roman" w:hAnsi="Times New Roman" w:eastAsia="宋体" w:cs="Times New Roman"/>
                <w:b/>
                <w:bCs/>
                <w:i w:val="0"/>
                <w:iCs w:val="0"/>
                <w:color w:val="auto"/>
                <w:kern w:val="0"/>
                <w:sz w:val="20"/>
                <w:szCs w:val="20"/>
                <w:highlight w:val="none"/>
                <w:u w:val="none"/>
                <w:lang w:val="en-US" w:eastAsia="zh-CN" w:bidi="ar"/>
              </w:rPr>
              <w:t>300.71</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6</w:t>
            </w:r>
            <w:r>
              <w:rPr>
                <w:rFonts w:hint="eastAsia" w:ascii="Times New Roman" w:hAnsi="Times New Roman" w:eastAsia="宋体" w:cs="Times New Roman"/>
                <w:b/>
                <w:bCs/>
                <w:i w:val="0"/>
                <w:iCs w:val="0"/>
                <w:color w:val="auto"/>
                <w:kern w:val="0"/>
                <w:sz w:val="20"/>
                <w:szCs w:val="20"/>
                <w:highlight w:val="none"/>
                <w:u w:val="none"/>
                <w:lang w:val="en-US" w:eastAsia="zh-CN" w:bidi="ar"/>
              </w:rPr>
              <w:t>,</w:t>
            </w:r>
            <w:r>
              <w:rPr>
                <w:rFonts w:hint="default" w:ascii="Times New Roman" w:hAnsi="Times New Roman" w:eastAsia="宋体" w:cs="Times New Roman"/>
                <w:b/>
                <w:bCs/>
                <w:i w:val="0"/>
                <w:iCs w:val="0"/>
                <w:color w:val="auto"/>
                <w:kern w:val="0"/>
                <w:sz w:val="20"/>
                <w:szCs w:val="20"/>
                <w:highlight w:val="none"/>
                <w:u w:val="none"/>
                <w:lang w:val="en-US" w:eastAsia="zh-CN" w:bidi="ar"/>
              </w:rPr>
              <w:t>311.84</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119.08%</w:t>
            </w:r>
          </w:p>
        </w:tc>
      </w:tr>
    </w:tbl>
    <w:p>
      <w:pPr>
        <w:spacing w:before="157" w:beforeLines="50" w:line="240" w:lineRule="auto"/>
        <w:ind w:firstLine="643" w:firstLineChars="200"/>
        <w:jc w:val="left"/>
        <w:rPr>
          <w:rFonts w:hint="default"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2.“三公”经费的使用及管理情况</w:t>
      </w:r>
    </w:p>
    <w:p>
      <w:pPr>
        <w:spacing w:line="240" w:lineRule="auto"/>
        <w:ind w:firstLine="640" w:firstLineChars="200"/>
        <w:jc w:val="both"/>
        <w:rPr>
          <w:rFonts w:hint="eastAsia" w:ascii="Times New Roman" w:hAnsi="Times New Roman" w:eastAsia="仿宋_GB2312" w:cs="仿宋_GB2312"/>
          <w:color w:val="auto"/>
          <w:sz w:val="32"/>
          <w:szCs w:val="32"/>
          <w:highlight w:val="none"/>
        </w:rPr>
      </w:pPr>
      <w:r>
        <w:rPr>
          <w:rFonts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本局</w:t>
      </w:r>
      <w:r>
        <w:rPr>
          <w:rFonts w:hint="eastAsia" w:ascii="Times New Roman" w:hAnsi="Times New Roman" w:eastAsia="仿宋_GB2312" w:cs="仿宋_GB2312"/>
          <w:color w:val="auto"/>
          <w:sz w:val="32"/>
          <w:szCs w:val="32"/>
          <w:highlight w:val="none"/>
        </w:rPr>
        <w:t>将</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仿宋_GB2312"/>
          <w:color w:val="auto"/>
          <w:sz w:val="32"/>
          <w:szCs w:val="32"/>
          <w:highlight w:val="none"/>
        </w:rPr>
        <w:t>经费严格纳入预算管理，按财务管理制度和审核程序严格审批报销，严控</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仿宋_GB2312"/>
          <w:color w:val="auto"/>
          <w:sz w:val="32"/>
          <w:szCs w:val="32"/>
          <w:highlight w:val="none"/>
        </w:rPr>
        <w:t>经费支出规模。</w:t>
      </w:r>
      <w:r>
        <w:rPr>
          <w:rFonts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仿宋_GB2312"/>
          <w:color w:val="auto"/>
          <w:sz w:val="32"/>
          <w:szCs w:val="32"/>
          <w:highlight w:val="none"/>
        </w:rPr>
        <w:t>经费预算</w:t>
      </w:r>
      <w:r>
        <w:rPr>
          <w:rFonts w:ascii="Times New Roman" w:hAnsi="Times New Roman" w:eastAsia="仿宋_GB2312" w:cs="Times New Roman"/>
          <w:color w:val="auto"/>
          <w:sz w:val="32"/>
          <w:szCs w:val="32"/>
          <w:highlight w:val="none"/>
        </w:rPr>
        <w:t>5</w:t>
      </w: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50</w:t>
      </w:r>
      <w:r>
        <w:rPr>
          <w:rFonts w:hint="eastAsia" w:ascii="Times New Roman" w:hAnsi="Times New Roman" w:eastAsia="仿宋_GB2312" w:cs="仿宋_GB2312"/>
          <w:color w:val="auto"/>
          <w:sz w:val="32"/>
          <w:szCs w:val="32"/>
          <w:highlight w:val="none"/>
        </w:rPr>
        <w:t>万元，实际支出</w:t>
      </w:r>
      <w:r>
        <w:rPr>
          <w:rFonts w:hint="eastAsia" w:ascii="Times New Roman" w:hAnsi="Times New Roman" w:eastAsia="仿宋_GB2312" w:cs="Times New Roman"/>
          <w:color w:val="auto"/>
          <w:sz w:val="32"/>
          <w:szCs w:val="32"/>
          <w:highlight w:val="none"/>
          <w:lang w:val="en-US" w:eastAsia="zh-CN"/>
        </w:rPr>
        <w:t>16</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44</w:t>
      </w:r>
      <w:r>
        <w:rPr>
          <w:rFonts w:hint="eastAsia" w:ascii="Times New Roman" w:hAnsi="Times New Roman" w:eastAsia="仿宋_GB2312" w:cs="仿宋_GB2312"/>
          <w:color w:val="auto"/>
          <w:sz w:val="32"/>
          <w:szCs w:val="32"/>
          <w:highlight w:val="none"/>
        </w:rPr>
        <w:t>万元，</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仿宋_GB2312"/>
          <w:color w:val="auto"/>
          <w:sz w:val="32"/>
          <w:szCs w:val="32"/>
          <w:highlight w:val="none"/>
        </w:rPr>
        <w:t>经费控制率</w:t>
      </w:r>
      <w:r>
        <w:rPr>
          <w:rFonts w:hint="eastAsia" w:ascii="Times New Roman" w:hAnsi="Times New Roman" w:eastAsia="仿宋_GB2312" w:cs="仿宋_GB2312"/>
          <w:color w:val="auto"/>
          <w:sz w:val="32"/>
          <w:szCs w:val="32"/>
          <w:highlight w:val="none"/>
          <w:lang w:eastAsia="zh-CN"/>
        </w:rPr>
        <w:t>为</w:t>
      </w:r>
      <w:r>
        <w:rPr>
          <w:rFonts w:hint="eastAsia" w:ascii="Times New Roman" w:hAnsi="Times New Roman" w:eastAsia="仿宋_GB2312" w:cs="Times New Roman"/>
          <w:color w:val="auto"/>
          <w:sz w:val="32"/>
          <w:szCs w:val="32"/>
          <w:highlight w:val="none"/>
          <w:lang w:val="en-US" w:eastAsia="zh-CN"/>
        </w:rPr>
        <w:t>30</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17</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仿宋_GB2312"/>
          <w:color w:val="auto"/>
          <w:sz w:val="32"/>
          <w:szCs w:val="32"/>
          <w:highlight w:val="none"/>
        </w:rPr>
        <w:t>。具体情况</w:t>
      </w:r>
      <w:r>
        <w:rPr>
          <w:rFonts w:hint="eastAsia" w:ascii="Times New Roman" w:hAnsi="Times New Roman" w:eastAsia="仿宋_GB2312" w:cs="仿宋_GB2312"/>
          <w:color w:val="auto"/>
          <w:sz w:val="32"/>
          <w:szCs w:val="32"/>
          <w:highlight w:val="none"/>
          <w:lang w:val="en-US" w:eastAsia="zh-CN"/>
        </w:rPr>
        <w:t>如下</w:t>
      </w:r>
      <w:r>
        <w:rPr>
          <w:rFonts w:hint="eastAsia" w:ascii="Times New Roman" w:hAnsi="Times New Roman" w:eastAsia="仿宋_GB2312" w:cs="仿宋_GB2312"/>
          <w:color w:val="auto"/>
          <w:sz w:val="32"/>
          <w:szCs w:val="32"/>
          <w:highlight w:val="none"/>
        </w:rPr>
        <w:t>：</w:t>
      </w:r>
    </w:p>
    <w:p>
      <w:pPr>
        <w:pStyle w:val="12"/>
        <w:spacing w:before="157" w:beforeLines="50" w:after="0"/>
        <w:jc w:val="right"/>
        <w:rPr>
          <w:rFonts w:hint="default" w:eastAsia="宋体"/>
          <w:color w:val="auto"/>
          <w:highlight w:val="none"/>
          <w:lang w:val="en-US" w:eastAsia="zh-CN"/>
        </w:rPr>
      </w:pPr>
      <w:r>
        <w:rPr>
          <w:rFonts w:hint="eastAsia"/>
          <w:color w:val="auto"/>
          <w:highlight w:val="none"/>
          <w:lang w:val="en-US" w:eastAsia="zh-CN"/>
        </w:rPr>
        <w:t>单位：万元</w:t>
      </w:r>
    </w:p>
    <w:tbl>
      <w:tblPr>
        <w:tblStyle w:val="1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7"/>
        <w:gridCol w:w="2616"/>
        <w:gridCol w:w="674"/>
        <w:gridCol w:w="666"/>
        <w:gridCol w:w="666"/>
        <w:gridCol w:w="733"/>
        <w:gridCol w:w="1000"/>
        <w:gridCol w:w="734"/>
        <w:gridCol w:w="10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blHeader/>
        </w:trPr>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序号</w:t>
            </w:r>
          </w:p>
        </w:tc>
        <w:tc>
          <w:tcPr>
            <w:tcW w:w="153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项目</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2021年决算</w:t>
            </w: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2022年预算</w:t>
            </w: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2022年决算</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2022年决算较年初预算增+（减-）</w:t>
            </w:r>
          </w:p>
        </w:tc>
        <w:tc>
          <w:tcPr>
            <w:tcW w:w="10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2022年决算较上年决算增+（减-）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blHeader/>
        </w:trPr>
        <w:tc>
          <w:tcPr>
            <w:tcW w:w="244"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20"/>
                <w:szCs w:val="20"/>
                <w:highlight w:val="none"/>
                <w:u w:val="none"/>
              </w:rPr>
            </w:pPr>
          </w:p>
        </w:tc>
        <w:tc>
          <w:tcPr>
            <w:tcW w:w="1535" w:type="pct"/>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highlight w:val="none"/>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highlight w:val="none"/>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highlight w:val="none"/>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highlight w:val="none"/>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金额</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比例</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金额</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15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公务接待费</w:t>
            </w:r>
          </w:p>
        </w:tc>
        <w:tc>
          <w:tcPr>
            <w:tcW w:w="396"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4.66</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5.00</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1.95</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-3.05</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-61.</w:t>
            </w:r>
            <w:r>
              <w:rPr>
                <w:rFonts w:hint="eastAsia" w:ascii="Times New Roman" w:hAnsi="Times New Roman" w:cs="Times New Roman"/>
                <w:i w:val="0"/>
                <w:iCs w:val="0"/>
                <w:color w:val="auto"/>
                <w:kern w:val="0"/>
                <w:sz w:val="20"/>
                <w:szCs w:val="20"/>
                <w:highlight w:val="none"/>
                <w:u w:val="none"/>
                <w:lang w:val="en-US" w:eastAsia="zh-CN" w:bidi="ar"/>
              </w:rPr>
              <w:t>00</w:t>
            </w:r>
            <w:r>
              <w:rPr>
                <w:rFonts w:hint="default" w:ascii="Times New Roman" w:hAnsi="Times New Roman" w:eastAsia="宋体" w:cs="Times New Roman"/>
                <w:i w:val="0"/>
                <w:iCs w:val="0"/>
                <w:color w:val="auto"/>
                <w:kern w:val="0"/>
                <w:sz w:val="20"/>
                <w:szCs w:val="20"/>
                <w:highlight w:val="none"/>
                <w:u w:val="none"/>
                <w:lang w:val="en-US" w:eastAsia="zh-CN" w:bidi="ar"/>
              </w:rPr>
              <w:t>%</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-2.71</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-58.15%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44"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w:t>
            </w:r>
          </w:p>
        </w:tc>
        <w:tc>
          <w:tcPr>
            <w:tcW w:w="1535"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公务用车购置及运行维护费</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35.87</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38.00</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14.49</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-23.51</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-61.87%</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-21.38</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w:t>
            </w:r>
          </w:p>
        </w:tc>
        <w:tc>
          <w:tcPr>
            <w:tcW w:w="1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因公出国（境）费</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11.50</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-11.50</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-100</w:t>
            </w:r>
            <w:r>
              <w:rPr>
                <w:rFonts w:hint="eastAsia" w:ascii="Times New Roman" w:hAnsi="Times New Roman" w:cs="Times New Roman"/>
                <w:i w:val="0"/>
                <w:iCs w:val="0"/>
                <w:color w:val="auto"/>
                <w:kern w:val="0"/>
                <w:sz w:val="20"/>
                <w:szCs w:val="20"/>
                <w:highlight w:val="none"/>
                <w:u w:val="none"/>
                <w:lang w:val="en-US" w:eastAsia="zh-CN" w:bidi="ar"/>
              </w:rPr>
              <w:t>.00</w:t>
            </w:r>
            <w:r>
              <w:rPr>
                <w:rFonts w:hint="default" w:ascii="Times New Roman" w:hAnsi="Times New Roman" w:eastAsia="宋体" w:cs="Times New Roman"/>
                <w:i w:val="0"/>
                <w:iCs w:val="0"/>
                <w:color w:val="auto"/>
                <w:kern w:val="0"/>
                <w:sz w:val="20"/>
                <w:szCs w:val="20"/>
                <w:highlight w:val="none"/>
                <w:u w:val="none"/>
                <w:lang w:val="en-US" w:eastAsia="zh-CN" w:bidi="ar"/>
              </w:rPr>
              <w:t>%</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20"/>
                <w:szCs w:val="20"/>
                <w:highlight w:val="none"/>
                <w:u w:val="none"/>
              </w:rPr>
            </w:pPr>
          </w:p>
        </w:tc>
        <w:tc>
          <w:tcPr>
            <w:tcW w:w="1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合计</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40.53</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54.50</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16.44</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-38.06</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-69.83%</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-24.09</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-59.44%</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公务接待费：</w:t>
      </w:r>
      <w:r>
        <w:rPr>
          <w:rFonts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本局</w:t>
      </w:r>
      <w:r>
        <w:rPr>
          <w:rFonts w:hint="eastAsia" w:ascii="Times New Roman" w:hAnsi="Times New Roman" w:eastAsia="仿宋_GB2312" w:cs="仿宋_GB2312"/>
          <w:color w:val="auto"/>
          <w:sz w:val="32"/>
          <w:szCs w:val="32"/>
          <w:highlight w:val="none"/>
        </w:rPr>
        <w:t>公务接待费预算为</w:t>
      </w:r>
      <w:r>
        <w:rPr>
          <w:rFonts w:ascii="Times New Roman" w:hAnsi="Times New Roman" w:eastAsia="仿宋_GB2312" w:cs="Times New Roman"/>
          <w:color w:val="auto"/>
          <w:sz w:val="32"/>
          <w:szCs w:val="32"/>
          <w:highlight w:val="none"/>
        </w:rPr>
        <w:t>5</w:t>
      </w:r>
      <w:r>
        <w:rPr>
          <w:rFonts w:hint="eastAsia" w:ascii="Times New Roman" w:hAnsi="Times New Roman" w:eastAsia="仿宋_GB2312" w:cs="仿宋_GB2312"/>
          <w:color w:val="auto"/>
          <w:sz w:val="32"/>
          <w:szCs w:val="32"/>
          <w:highlight w:val="none"/>
        </w:rPr>
        <w:t>万元，实际支出</w:t>
      </w:r>
      <w:r>
        <w:rPr>
          <w:rFonts w:hint="eastAsia" w:ascii="Times New Roman" w:hAnsi="Times New Roman" w:eastAsia="仿宋_GB2312" w:cs="Times New Roman"/>
          <w:color w:val="auto"/>
          <w:sz w:val="32"/>
          <w:szCs w:val="32"/>
          <w:highlight w:val="none"/>
          <w:lang w:val="en-US" w:eastAsia="zh-CN"/>
        </w:rPr>
        <w:t>1.95</w:t>
      </w:r>
      <w:r>
        <w:rPr>
          <w:rFonts w:hint="eastAsia" w:ascii="Times New Roman" w:hAnsi="Times New Roman" w:eastAsia="仿宋_GB2312" w:cs="仿宋_GB2312"/>
          <w:color w:val="auto"/>
          <w:sz w:val="32"/>
          <w:szCs w:val="32"/>
          <w:highlight w:val="none"/>
        </w:rPr>
        <w:t>万元。</w:t>
      </w:r>
      <w:r>
        <w:rPr>
          <w:rFonts w:hint="eastAsia" w:ascii="Times New Roman" w:hAnsi="Times New Roman" w:eastAsia="仿宋_GB2312" w:cs="仿宋_GB2312"/>
          <w:color w:val="auto"/>
          <w:sz w:val="32"/>
          <w:szCs w:val="32"/>
          <w:highlight w:val="none"/>
          <w:lang w:eastAsia="zh-CN"/>
        </w:rPr>
        <w:t>本局</w:t>
      </w:r>
      <w:r>
        <w:rPr>
          <w:rFonts w:hint="eastAsia" w:ascii="Times New Roman" w:hAnsi="Times New Roman" w:eastAsia="仿宋_GB2312" w:cs="仿宋_GB2312"/>
          <w:color w:val="auto"/>
          <w:sz w:val="32"/>
          <w:szCs w:val="32"/>
          <w:highlight w:val="none"/>
        </w:rPr>
        <w:t>在公务接待中做到</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仿宋_GB2312"/>
          <w:color w:val="auto"/>
          <w:sz w:val="32"/>
          <w:szCs w:val="32"/>
          <w:highlight w:val="none"/>
        </w:rPr>
        <w:t>四严格</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仿宋_GB2312"/>
          <w:color w:val="auto"/>
          <w:sz w:val="32"/>
          <w:szCs w:val="32"/>
          <w:highlight w:val="none"/>
        </w:rPr>
        <w:t>，即严格预算管理，规定接待经费严格控制在预算额度内使用；严格审批程序，规定公务接待的审批权限；严格接待标准，用餐按照长沙市财政局《关于明确市直党政机关公务活动用餐有关事项的通知》（长财行〔</w:t>
      </w:r>
      <w:r>
        <w:rPr>
          <w:rFonts w:ascii="Times New Roman" w:hAnsi="Times New Roman" w:eastAsia="仿宋_GB2312" w:cs="Times New Roman"/>
          <w:color w:val="auto"/>
          <w:sz w:val="32"/>
          <w:szCs w:val="32"/>
          <w:highlight w:val="none"/>
        </w:rPr>
        <w:t>2018</w:t>
      </w:r>
      <w:r>
        <w:rPr>
          <w:rFonts w:hint="eastAsia" w:ascii="Times New Roman" w:hAnsi="Times New Roman" w:eastAsia="仿宋_GB2312" w:cs="仿宋_GB2312"/>
          <w:color w:val="auto"/>
          <w:sz w:val="32"/>
          <w:szCs w:val="32"/>
          <w:highlight w:val="none"/>
        </w:rPr>
        <w:t>〕</w:t>
      </w:r>
      <w:r>
        <w:rPr>
          <w:rFonts w:ascii="Times New Roman" w:hAnsi="Times New Roman" w:eastAsia="仿宋_GB2312" w:cs="Times New Roman"/>
          <w:color w:val="auto"/>
          <w:sz w:val="32"/>
          <w:szCs w:val="32"/>
          <w:highlight w:val="none"/>
        </w:rPr>
        <w:t>12</w:t>
      </w:r>
      <w:r>
        <w:rPr>
          <w:rFonts w:hint="eastAsia" w:ascii="Times New Roman" w:hAnsi="Times New Roman" w:eastAsia="仿宋_GB2312" w:cs="仿宋_GB2312"/>
          <w:color w:val="auto"/>
          <w:sz w:val="32"/>
          <w:szCs w:val="32"/>
          <w:highlight w:val="none"/>
        </w:rPr>
        <w:t>号）文件精神执行；严格报账流程，要求公务接待费用由局办公室统一归口报销，严格执行先审批、后接待的程序。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ascii="Times New Roman" w:hAnsi="Times New Roman" w:eastAsia="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公务用车购置及运行维护费：</w:t>
      </w:r>
      <w:r>
        <w:rPr>
          <w:rFonts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本局</w:t>
      </w:r>
      <w:r>
        <w:rPr>
          <w:rFonts w:hint="eastAsia" w:ascii="Times New Roman" w:hAnsi="Times New Roman" w:eastAsia="仿宋_GB2312" w:cs="仿宋_GB2312"/>
          <w:color w:val="auto"/>
          <w:sz w:val="32"/>
          <w:szCs w:val="32"/>
          <w:highlight w:val="none"/>
        </w:rPr>
        <w:t>公务用车购置及运行维护费预算为</w:t>
      </w:r>
      <w:r>
        <w:rPr>
          <w:rFonts w:ascii="Times New Roman" w:hAnsi="Times New Roman" w:eastAsia="仿宋_GB2312" w:cs="Times New Roman"/>
          <w:color w:val="auto"/>
          <w:sz w:val="32"/>
          <w:szCs w:val="32"/>
          <w:highlight w:val="none"/>
        </w:rPr>
        <w:t>38</w:t>
      </w:r>
      <w:r>
        <w:rPr>
          <w:rFonts w:hint="eastAsia" w:ascii="Times New Roman" w:hAnsi="Times New Roman" w:eastAsia="仿宋_GB2312" w:cs="仿宋_GB2312"/>
          <w:color w:val="auto"/>
          <w:sz w:val="32"/>
          <w:szCs w:val="32"/>
          <w:highlight w:val="none"/>
        </w:rPr>
        <w:t>万元，实际支出</w:t>
      </w: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49</w:t>
      </w:r>
      <w:r>
        <w:rPr>
          <w:rFonts w:hint="eastAsia" w:ascii="Times New Roman" w:hAnsi="Times New Roman" w:eastAsia="仿宋_GB2312" w:cs="仿宋_GB2312"/>
          <w:color w:val="auto"/>
          <w:sz w:val="32"/>
          <w:szCs w:val="32"/>
          <w:highlight w:val="none"/>
        </w:rPr>
        <w:t>万元。</w:t>
      </w:r>
      <w:r>
        <w:rPr>
          <w:rFonts w:hint="eastAsia" w:ascii="Times New Roman" w:hAnsi="Times New Roman" w:eastAsia="仿宋_GB2312" w:cs="仿宋_GB2312"/>
          <w:color w:val="auto"/>
          <w:sz w:val="32"/>
          <w:szCs w:val="32"/>
          <w:highlight w:val="none"/>
          <w:lang w:eastAsia="zh-CN"/>
        </w:rPr>
        <w:t>本局</w:t>
      </w:r>
      <w:r>
        <w:rPr>
          <w:rFonts w:hint="eastAsia" w:ascii="Times New Roman" w:hAnsi="Times New Roman" w:eastAsia="仿宋_GB2312" w:cs="仿宋_GB2312"/>
          <w:color w:val="auto"/>
          <w:sz w:val="32"/>
          <w:szCs w:val="32"/>
          <w:highlight w:val="none"/>
        </w:rPr>
        <w:t>对公务车辆管理实行</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仿宋_GB2312"/>
          <w:color w:val="auto"/>
          <w:sz w:val="32"/>
          <w:szCs w:val="32"/>
          <w:highlight w:val="none"/>
        </w:rPr>
        <w:t>四定</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仿宋_GB2312"/>
          <w:color w:val="auto"/>
          <w:sz w:val="32"/>
          <w:szCs w:val="32"/>
          <w:highlight w:val="none"/>
        </w:rPr>
        <w:t>，即定点维修、定点加油、定点保险和定点集中停放制度。严禁公车私用，每周都有专人对公车入库情况进行巡查登记，确保了车辆的安全使用。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ascii="Times New Roman" w:hAnsi="Times New Roman" w:eastAsia="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因公出国（境）费：</w:t>
      </w:r>
      <w:r>
        <w:rPr>
          <w:rFonts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本局</w:t>
      </w:r>
      <w:r>
        <w:rPr>
          <w:rFonts w:hint="eastAsia" w:ascii="Times New Roman" w:hAnsi="Times New Roman" w:eastAsia="仿宋_GB2312" w:cs="仿宋_GB2312"/>
          <w:color w:val="auto"/>
          <w:sz w:val="32"/>
          <w:szCs w:val="32"/>
          <w:highlight w:val="none"/>
        </w:rPr>
        <w:t>因公出国（境）费预算为</w:t>
      </w:r>
      <w:r>
        <w:rPr>
          <w:rFonts w:hint="eastAsia" w:ascii="Times New Roman" w:hAnsi="Times New Roman" w:eastAsia="仿宋_GB2312" w:cs="Times New Roman"/>
          <w:color w:val="auto"/>
          <w:sz w:val="32"/>
          <w:szCs w:val="32"/>
          <w:highlight w:val="none"/>
          <w:lang w:val="en-US" w:eastAsia="zh-CN"/>
        </w:rPr>
        <w:t>11.50</w:t>
      </w:r>
      <w:r>
        <w:rPr>
          <w:rFonts w:hint="eastAsia" w:ascii="Times New Roman" w:hAnsi="Times New Roman" w:eastAsia="仿宋_GB2312" w:cs="仿宋_GB2312"/>
          <w:color w:val="auto"/>
          <w:sz w:val="32"/>
          <w:szCs w:val="32"/>
          <w:highlight w:val="none"/>
        </w:rPr>
        <w:t>万元，实际支出</w:t>
      </w:r>
      <w:r>
        <w:rPr>
          <w:rFonts w:ascii="Times New Roman" w:hAnsi="Times New Roman" w:eastAsia="仿宋_GB2312" w:cs="Times New Roman"/>
          <w:color w:val="auto"/>
          <w:sz w:val="32"/>
          <w:szCs w:val="32"/>
          <w:highlight w:val="none"/>
        </w:rPr>
        <w:t>0</w:t>
      </w:r>
      <w:r>
        <w:rPr>
          <w:rFonts w:hint="eastAsia" w:ascii="Times New Roman" w:hAnsi="Times New Roman" w:eastAsia="仿宋_GB2312" w:cs="仿宋_GB2312"/>
          <w:color w:val="auto"/>
          <w:sz w:val="32"/>
          <w:szCs w:val="32"/>
          <w:highlight w:val="none"/>
        </w:rPr>
        <w:t>万元。</w:t>
      </w:r>
      <w:r>
        <w:rPr>
          <w:rFonts w:hint="eastAsia" w:ascii="Times New Roman" w:hAnsi="Times New Roman" w:eastAsia="仿宋_GB2312" w:cs="仿宋_GB2312"/>
          <w:color w:val="auto"/>
          <w:sz w:val="32"/>
          <w:szCs w:val="32"/>
          <w:highlight w:val="none"/>
          <w:lang w:eastAsia="zh-CN"/>
        </w:rPr>
        <w:t>本局</w:t>
      </w:r>
      <w:r>
        <w:rPr>
          <w:rFonts w:hint="eastAsia" w:ascii="Times New Roman" w:hAnsi="Times New Roman" w:eastAsia="仿宋_GB2312" w:cs="仿宋_GB2312"/>
          <w:color w:val="auto"/>
          <w:sz w:val="32"/>
          <w:szCs w:val="32"/>
          <w:highlight w:val="none"/>
        </w:rPr>
        <w:t>认真落实中央的要求，严格执行因公出国（境）审批政策，严格控制因公出国团组数和因公出国人员人数。</w:t>
      </w:r>
    </w:p>
    <w:p>
      <w:pPr>
        <w:spacing w:line="240" w:lineRule="auto"/>
        <w:ind w:firstLine="643" w:firstLineChars="200"/>
        <w:jc w:val="both"/>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（二）项目支出</w:t>
      </w:r>
    </w:p>
    <w:p>
      <w:pPr>
        <w:spacing w:line="240" w:lineRule="auto"/>
        <w:ind w:firstLine="640" w:firstLineChars="200"/>
        <w:jc w:val="both"/>
        <w:rPr>
          <w:rFonts w:ascii="Times New Roman" w:hAnsi="Times New Roman" w:eastAsia="仿宋_GB2312"/>
          <w:color w:val="auto"/>
          <w:sz w:val="32"/>
          <w:szCs w:val="32"/>
          <w:highlight w:val="none"/>
        </w:rPr>
      </w:pPr>
      <w:r>
        <w:rPr>
          <w:rFonts w:hint="eastAsia" w:ascii="Times New Roman" w:hAnsi="Times New Roman" w:eastAsia="仿宋_GB2312" w:cs="仿宋_GB2312"/>
          <w:color w:val="auto"/>
          <w:sz w:val="32"/>
          <w:szCs w:val="32"/>
          <w:highlight w:val="none"/>
        </w:rPr>
        <w:t>项目支出是指除基本支出以外的所有项目情况，包括</w:t>
      </w:r>
      <w:r>
        <w:rPr>
          <w:rFonts w:hint="eastAsia" w:ascii="Times New Roman" w:hAnsi="Times New Roman" w:eastAsia="仿宋_GB2312" w:cs="仿宋_GB2312"/>
          <w:color w:val="auto"/>
          <w:sz w:val="32"/>
          <w:szCs w:val="32"/>
          <w:highlight w:val="none"/>
          <w:lang w:val="en-US" w:eastAsia="zh-CN"/>
        </w:rPr>
        <w:t>部门项目资金（</w:t>
      </w:r>
      <w:r>
        <w:rPr>
          <w:rFonts w:hint="eastAsia" w:ascii="Times New Roman" w:hAnsi="Times New Roman" w:eastAsia="仿宋_GB2312" w:cs="仿宋_GB2312"/>
          <w:color w:val="auto"/>
          <w:sz w:val="32"/>
          <w:szCs w:val="32"/>
          <w:highlight w:val="none"/>
        </w:rPr>
        <w:t>业务工作</w:t>
      </w:r>
      <w:r>
        <w:rPr>
          <w:rFonts w:hint="eastAsia" w:ascii="Times New Roman" w:hAnsi="Times New Roman" w:eastAsia="仿宋_GB2312" w:cs="仿宋_GB2312"/>
          <w:color w:val="auto"/>
          <w:sz w:val="32"/>
          <w:szCs w:val="32"/>
          <w:highlight w:val="none"/>
          <w:lang w:val="en-US" w:eastAsia="zh-CN"/>
        </w:rPr>
        <w:t>经费</w:t>
      </w:r>
      <w:r>
        <w:rPr>
          <w:rFonts w:hint="eastAsia" w:ascii="Times New Roman" w:hAnsi="Times New Roman" w:eastAsia="仿宋_GB2312" w:cs="仿宋_GB2312"/>
          <w:color w:val="auto"/>
          <w:sz w:val="32"/>
          <w:szCs w:val="32"/>
          <w:highlight w:val="none"/>
        </w:rPr>
        <w:t>、运行维护</w:t>
      </w:r>
      <w:r>
        <w:rPr>
          <w:rFonts w:hint="eastAsia" w:ascii="Times New Roman" w:hAnsi="Times New Roman" w:eastAsia="仿宋_GB2312" w:cs="仿宋_GB2312"/>
          <w:color w:val="auto"/>
          <w:sz w:val="32"/>
          <w:szCs w:val="32"/>
          <w:highlight w:val="none"/>
          <w:lang w:val="en-US" w:eastAsia="zh-CN"/>
        </w:rPr>
        <w:t>经费）</w:t>
      </w:r>
      <w:r>
        <w:rPr>
          <w:rFonts w:hint="eastAsia" w:ascii="Times New Roman" w:hAnsi="Times New Roman" w:eastAsia="仿宋_GB2312" w:cs="仿宋_GB2312"/>
          <w:color w:val="auto"/>
          <w:sz w:val="32"/>
          <w:szCs w:val="32"/>
          <w:highlight w:val="none"/>
          <w:lang w:eastAsia="zh-CN"/>
        </w:rPr>
        <w:t>、公共专项资金</w:t>
      </w:r>
      <w:r>
        <w:rPr>
          <w:rFonts w:hint="eastAsia" w:ascii="Times New Roman" w:hAnsi="Times New Roman" w:eastAsia="仿宋_GB2312" w:cs="仿宋_GB2312"/>
          <w:color w:val="auto"/>
          <w:sz w:val="32"/>
          <w:szCs w:val="32"/>
          <w:highlight w:val="none"/>
        </w:rPr>
        <w:t>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ascii="Times New Roman" w:hAnsi="Times New Roman" w:eastAsia="仿宋_GB2312"/>
          <w:b/>
          <w:bCs/>
          <w:color w:val="auto"/>
          <w:sz w:val="32"/>
          <w:szCs w:val="32"/>
          <w:highlight w:val="none"/>
        </w:rPr>
      </w:pPr>
      <w:r>
        <w:rPr>
          <w:rFonts w:hint="eastAsia" w:ascii="Times New Roman" w:hAnsi="Times New Roman" w:eastAsia="仿宋_GB2312" w:cs="仿宋_GB2312"/>
          <w:b/>
          <w:bCs/>
          <w:color w:val="auto"/>
          <w:sz w:val="32"/>
          <w:szCs w:val="32"/>
          <w:highlight w:val="none"/>
          <w:lang w:val="en-US" w:eastAsia="zh-CN"/>
        </w:rPr>
        <w:t>1.</w:t>
      </w:r>
      <w:r>
        <w:rPr>
          <w:rFonts w:hint="eastAsia" w:ascii="Times New Roman" w:hAnsi="Times New Roman" w:eastAsia="仿宋_GB2312" w:cs="仿宋_GB2312"/>
          <w:b/>
          <w:bCs/>
          <w:color w:val="auto"/>
          <w:sz w:val="32"/>
          <w:szCs w:val="32"/>
          <w:highlight w:val="none"/>
        </w:rPr>
        <w:t>项目资金安排落实、总投入等情况分析</w:t>
      </w:r>
    </w:p>
    <w:p>
      <w:pPr>
        <w:spacing w:line="240" w:lineRule="auto"/>
        <w:ind w:firstLine="640" w:firstLineChars="200"/>
        <w:jc w:val="both"/>
        <w:rPr>
          <w:rFonts w:hint="default" w:ascii="Times New Roman" w:hAnsi="Times New Roman" w:eastAsia="仿宋_GB2312"/>
          <w:color w:val="auto"/>
          <w:sz w:val="32"/>
          <w:szCs w:val="32"/>
          <w:highlight w:val="none"/>
          <w:lang w:val="en-US"/>
        </w:rPr>
      </w:pPr>
      <w:r>
        <w:rPr>
          <w:rFonts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年项目</w:t>
      </w:r>
      <w:r>
        <w:rPr>
          <w:rFonts w:hint="eastAsia" w:ascii="Times New Roman" w:hAnsi="Times New Roman" w:eastAsia="仿宋_GB2312" w:cs="仿宋_GB2312"/>
          <w:color w:val="auto"/>
          <w:sz w:val="32"/>
          <w:szCs w:val="32"/>
          <w:highlight w:val="none"/>
          <w:lang w:val="en-US" w:eastAsia="zh-CN"/>
        </w:rPr>
        <w:t>资金</w:t>
      </w:r>
      <w:r>
        <w:rPr>
          <w:rFonts w:hint="eastAsia" w:ascii="Times New Roman" w:hAnsi="Times New Roman" w:eastAsia="仿宋_GB2312" w:cs="仿宋_GB2312"/>
          <w:color w:val="auto"/>
          <w:sz w:val="32"/>
          <w:szCs w:val="32"/>
          <w:highlight w:val="none"/>
        </w:rPr>
        <w:t>年初预算</w:t>
      </w:r>
      <w:r>
        <w:rPr>
          <w:rFonts w:hint="eastAsia" w:ascii="Times New Roman" w:hAnsi="Times New Roman" w:eastAsia="仿宋_GB2312" w:cs="仿宋_GB2312"/>
          <w:color w:val="auto"/>
          <w:sz w:val="32"/>
          <w:szCs w:val="32"/>
          <w:highlight w:val="none"/>
          <w:lang w:val="en-US" w:eastAsia="zh-CN"/>
        </w:rPr>
        <w:t>安排172,050.44万元，其中部门项目</w:t>
      </w:r>
      <w:r>
        <w:rPr>
          <w:rFonts w:ascii="Times New Roman" w:hAnsi="Times New Roman" w:eastAsia="仿宋_GB2312" w:cs="Times New Roman"/>
          <w:color w:val="auto"/>
          <w:sz w:val="32"/>
          <w:szCs w:val="32"/>
          <w:highlight w:val="none"/>
        </w:rPr>
        <w:t>83</w:t>
      </w:r>
      <w:r>
        <w:rPr>
          <w:rFonts w:hint="eastAsia" w:ascii="Times New Roman" w:hAnsi="Times New Roman" w:eastAsia="仿宋_GB2312" w:cs="Times New Roman"/>
          <w:color w:val="auto"/>
          <w:sz w:val="32"/>
          <w:szCs w:val="32"/>
          <w:highlight w:val="none"/>
          <w:lang w:val="en-US" w:eastAsia="zh-CN"/>
        </w:rPr>
        <w:t>3.44</w:t>
      </w:r>
      <w:r>
        <w:rPr>
          <w:rFonts w:hint="eastAsia" w:ascii="Times New Roman" w:hAnsi="Times New Roman" w:eastAsia="仿宋_GB2312" w:cs="仿宋_GB2312"/>
          <w:color w:val="auto"/>
          <w:sz w:val="32"/>
          <w:szCs w:val="32"/>
          <w:highlight w:val="none"/>
        </w:rPr>
        <w:t>万元</w:t>
      </w:r>
      <w:r>
        <w:rPr>
          <w:rFonts w:hint="eastAsia" w:ascii="Times New Roman" w:hAnsi="Times New Roman" w:eastAsia="仿宋_GB2312" w:cs="Times New Roman"/>
          <w:color w:val="auto"/>
          <w:sz w:val="32"/>
          <w:szCs w:val="32"/>
          <w:highlight w:val="none"/>
          <w:lang w:val="en-US" w:eastAsia="zh-CN"/>
        </w:rPr>
        <w:t>、公共项目171,217万元。</w:t>
      </w:r>
      <w:r>
        <w:rPr>
          <w:rFonts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全年预算数155,922.80万元，其中</w:t>
      </w:r>
      <w:r>
        <w:rPr>
          <w:rFonts w:hint="eastAsia" w:ascii="Times New Roman" w:hAnsi="Times New Roman" w:eastAsia="仿宋_GB2312" w:cs="仿宋_GB2312"/>
          <w:color w:val="auto"/>
          <w:sz w:val="32"/>
          <w:szCs w:val="32"/>
          <w:highlight w:val="none"/>
          <w:lang w:val="en-US" w:eastAsia="zh-CN"/>
        </w:rPr>
        <w:t>部门项目</w:t>
      </w:r>
      <w:r>
        <w:rPr>
          <w:rFonts w:hint="default" w:ascii="Times New Roman" w:hAnsi="Times New Roman" w:eastAsia="仿宋_GB2312" w:cs="Times New Roman"/>
          <w:color w:val="auto"/>
          <w:sz w:val="32"/>
          <w:szCs w:val="32"/>
          <w:highlight w:val="none"/>
          <w:lang w:val="en-US" w:eastAsia="zh-CN"/>
        </w:rPr>
        <w:t>3,155.49</w:t>
      </w:r>
      <w:r>
        <w:rPr>
          <w:rFonts w:hint="eastAsia" w:ascii="Times New Roman" w:hAnsi="Times New Roman" w:eastAsia="仿宋_GB2312" w:cs="Times New Roman"/>
          <w:color w:val="auto"/>
          <w:sz w:val="32"/>
          <w:szCs w:val="32"/>
          <w:highlight w:val="none"/>
          <w:lang w:val="en-US" w:eastAsia="zh-CN"/>
        </w:rPr>
        <w:t>万元、公共项目152,767.31万元。</w:t>
      </w:r>
      <w:r>
        <w:rPr>
          <w:rFonts w:ascii="Times New Roman" w:hAnsi="Times New Roman" w:eastAsia="仿宋_GB2312" w:cs="Times New Roman"/>
          <w:color w:val="auto"/>
          <w:sz w:val="32"/>
          <w:szCs w:val="32"/>
          <w:highlight w:val="none"/>
          <w:shd w:val="clear" w:color="auto" w:fill="FFFFFF"/>
        </w:rPr>
        <w:t>本部门202</w:t>
      </w:r>
      <w:r>
        <w:rPr>
          <w:rFonts w:hint="eastAsia" w:ascii="Times New Roman" w:hAnsi="Times New Roman" w:eastAsia="仿宋_GB2312" w:cs="Times New Roman"/>
          <w:color w:val="auto"/>
          <w:sz w:val="32"/>
          <w:szCs w:val="32"/>
          <w:highlight w:val="none"/>
          <w:shd w:val="clear" w:color="auto" w:fill="FFFFFF"/>
          <w:lang w:val="en-US" w:eastAsia="zh-CN"/>
        </w:rPr>
        <w:t>2</w:t>
      </w:r>
      <w:r>
        <w:rPr>
          <w:rFonts w:ascii="Times New Roman" w:hAnsi="Times New Roman" w:eastAsia="仿宋_GB2312" w:cs="Times New Roman"/>
          <w:color w:val="auto"/>
          <w:sz w:val="32"/>
          <w:szCs w:val="32"/>
          <w:highlight w:val="none"/>
          <w:shd w:val="clear" w:color="auto" w:fill="FFFFFF"/>
        </w:rPr>
        <w:t>年</w:t>
      </w:r>
      <w:r>
        <w:rPr>
          <w:rFonts w:hint="eastAsia" w:ascii="Times New Roman" w:hAnsi="Times New Roman" w:eastAsia="仿宋_GB2312" w:cs="Times New Roman"/>
          <w:color w:val="auto"/>
          <w:sz w:val="32"/>
          <w:szCs w:val="32"/>
          <w:highlight w:val="none"/>
          <w:shd w:val="clear" w:color="auto" w:fill="FFFFFF"/>
          <w:lang w:val="en-US" w:eastAsia="zh-CN"/>
        </w:rPr>
        <w:t>安排</w:t>
      </w:r>
      <w:r>
        <w:rPr>
          <w:rFonts w:ascii="Times New Roman" w:hAnsi="Times New Roman" w:eastAsia="仿宋_GB2312" w:cs="Times New Roman"/>
          <w:color w:val="auto"/>
          <w:sz w:val="32"/>
          <w:szCs w:val="32"/>
          <w:highlight w:val="none"/>
          <w:shd w:val="clear" w:color="auto" w:fill="FFFFFF"/>
        </w:rPr>
        <w:t>一般公共预算财政拨款</w:t>
      </w:r>
      <w:r>
        <w:rPr>
          <w:rFonts w:hint="eastAsia" w:ascii="Times New Roman" w:hAnsi="Times New Roman" w:eastAsia="仿宋_GB2312" w:cs="Times New Roman"/>
          <w:color w:val="auto"/>
          <w:sz w:val="32"/>
          <w:szCs w:val="32"/>
          <w:highlight w:val="none"/>
          <w:shd w:val="clear" w:color="auto" w:fill="FFFFFF"/>
          <w:lang w:val="en-US" w:eastAsia="zh-CN"/>
        </w:rPr>
        <w:t>项目支出</w:t>
      </w:r>
      <w:r>
        <w:rPr>
          <w:rFonts w:hint="eastAsia" w:ascii="Times New Roman" w:hAnsi="Times New Roman" w:eastAsia="仿宋_GB2312" w:cs="Times New Roman"/>
          <w:color w:val="auto"/>
          <w:sz w:val="32"/>
          <w:szCs w:val="32"/>
          <w:highlight w:val="none"/>
          <w:lang w:val="en-US" w:eastAsia="zh-CN"/>
        </w:rPr>
        <w:t>153,879.15万元。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ascii="Times New Roman" w:hAnsi="Times New Roman" w:eastAsia="仿宋_GB2312"/>
          <w:b/>
          <w:bCs/>
          <w:color w:val="auto"/>
          <w:sz w:val="32"/>
          <w:szCs w:val="32"/>
          <w:highlight w:val="none"/>
        </w:rPr>
      </w:pPr>
      <w:r>
        <w:rPr>
          <w:rFonts w:hint="eastAsia" w:ascii="Times New Roman" w:hAnsi="Times New Roman" w:eastAsia="仿宋_GB2312" w:cs="仿宋_GB2312"/>
          <w:b/>
          <w:bCs/>
          <w:color w:val="auto"/>
          <w:sz w:val="32"/>
          <w:szCs w:val="32"/>
          <w:highlight w:val="none"/>
          <w:lang w:val="en-US" w:eastAsia="zh-CN"/>
        </w:rPr>
        <w:t>2.</w:t>
      </w:r>
      <w:r>
        <w:rPr>
          <w:rFonts w:hint="eastAsia" w:ascii="Times New Roman" w:hAnsi="Times New Roman" w:eastAsia="仿宋_GB2312" w:cs="仿宋_GB2312"/>
          <w:b/>
          <w:bCs/>
          <w:color w:val="auto"/>
          <w:sz w:val="32"/>
          <w:szCs w:val="32"/>
          <w:highlight w:val="none"/>
        </w:rPr>
        <w:t>项目资金实际使用情况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_GB2312" w:cs="Calibri"/>
          <w:color w:val="auto"/>
          <w:kern w:val="2"/>
          <w:sz w:val="32"/>
          <w:szCs w:val="32"/>
          <w:highlight w:val="none"/>
          <w:lang w:val="en-US" w:eastAsia="zh-CN" w:bidi="ar-SA"/>
        </w:rPr>
      </w:pPr>
      <w:r>
        <w:rPr>
          <w:rFonts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本局</w:t>
      </w:r>
      <w:r>
        <w:rPr>
          <w:rFonts w:hint="eastAsia" w:ascii="Times New Roman" w:hAnsi="Times New Roman" w:eastAsia="仿宋_GB2312" w:cs="仿宋_GB2312"/>
          <w:color w:val="auto"/>
          <w:sz w:val="32"/>
          <w:szCs w:val="32"/>
          <w:highlight w:val="none"/>
          <w:lang w:val="en-US" w:eastAsia="zh-CN"/>
        </w:rPr>
        <w:t>项目总支出153,879.15万元，其中：</w:t>
      </w:r>
      <w:r>
        <w:rPr>
          <w:rFonts w:hint="eastAsia" w:ascii="Times New Roman" w:hAnsi="Times New Roman" w:eastAsia="仿宋_GB2312"/>
          <w:color w:val="auto"/>
          <w:sz w:val="32"/>
          <w:szCs w:val="32"/>
          <w:highlight w:val="none"/>
          <w:lang w:val="en-US" w:eastAsia="zh-CN"/>
        </w:rPr>
        <w:t>部门项目支出决算3,046.26万元、公共项目支出决算150,832.89万元。年末结余资金财政已全部收回。</w:t>
      </w:r>
      <w:r>
        <w:rPr>
          <w:rFonts w:hint="eastAsia" w:ascii="Times New Roman" w:hAnsi="Times New Roman" w:eastAsia="仿宋_GB2312" w:cs="Calibri"/>
          <w:color w:val="auto"/>
          <w:kern w:val="2"/>
          <w:sz w:val="32"/>
          <w:szCs w:val="32"/>
          <w:highlight w:val="none"/>
          <w:lang w:val="en-US" w:eastAsia="zh-CN" w:bidi="ar-SA"/>
        </w:rPr>
        <w:t>项目支出具体明细如下：</w:t>
      </w:r>
    </w:p>
    <w:p>
      <w:pPr>
        <w:pStyle w:val="12"/>
        <w:keepNext w:val="0"/>
        <w:keepLines w:val="0"/>
        <w:pageBreakBefore w:val="0"/>
        <w:widowControl w:val="0"/>
        <w:kinsoku/>
        <w:wordWrap/>
        <w:overflowPunct/>
        <w:topLinePunct w:val="0"/>
        <w:autoSpaceDE/>
        <w:autoSpaceDN/>
        <w:bidi w:val="0"/>
        <w:adjustRightInd/>
        <w:snapToGrid/>
        <w:spacing w:before="157" w:beforeLines="50" w:after="0" w:line="240" w:lineRule="auto"/>
        <w:ind w:left="0" w:leftChars="0" w:firstLine="643" w:firstLineChars="200"/>
        <w:jc w:val="center"/>
        <w:textAlignment w:val="auto"/>
        <w:rPr>
          <w:rFonts w:hint="eastAsia" w:ascii="Times New Roman" w:hAnsi="Times New Roman" w:eastAsia="仿宋_GB2312" w:cs="Calibri"/>
          <w:b/>
          <w:bCs/>
          <w:color w:val="auto"/>
          <w:kern w:val="2"/>
          <w:sz w:val="32"/>
          <w:szCs w:val="32"/>
          <w:highlight w:val="none"/>
          <w:lang w:val="en-US" w:eastAsia="zh-CN" w:bidi="ar-SA"/>
        </w:rPr>
      </w:pPr>
      <w:r>
        <w:rPr>
          <w:rFonts w:hint="eastAsia" w:ascii="Times New Roman" w:hAnsi="Times New Roman" w:eastAsia="仿宋_GB2312" w:cs="Calibri"/>
          <w:b/>
          <w:bCs/>
          <w:color w:val="auto"/>
          <w:kern w:val="2"/>
          <w:sz w:val="32"/>
          <w:szCs w:val="32"/>
          <w:highlight w:val="none"/>
          <w:lang w:val="en-US" w:eastAsia="zh-CN" w:bidi="ar-SA"/>
        </w:rPr>
        <w:t>部门预算项目资金明细表</w:t>
      </w:r>
    </w:p>
    <w:p>
      <w:pPr>
        <w:pStyle w:val="12"/>
        <w:keepNext w:val="0"/>
        <w:keepLines w:val="0"/>
        <w:pageBreakBefore w:val="0"/>
        <w:widowControl w:val="0"/>
        <w:kinsoku/>
        <w:wordWrap/>
        <w:overflowPunct/>
        <w:topLinePunct w:val="0"/>
        <w:autoSpaceDE/>
        <w:autoSpaceDN/>
        <w:bidi w:val="0"/>
        <w:adjustRightInd/>
        <w:snapToGrid/>
        <w:spacing w:after="0"/>
        <w:ind w:left="0" w:leftChars="0" w:firstLine="442" w:firstLineChars="200"/>
        <w:jc w:val="right"/>
        <w:textAlignment w:val="auto"/>
        <w:rPr>
          <w:rFonts w:hint="default" w:ascii="Times New Roman" w:hAnsi="Times New Roman" w:eastAsia="仿宋_GB2312" w:cs="Calibri"/>
          <w:b/>
          <w:bCs/>
          <w:color w:val="auto"/>
          <w:kern w:val="2"/>
          <w:sz w:val="22"/>
          <w:szCs w:val="22"/>
          <w:highlight w:val="none"/>
          <w:lang w:val="en-US" w:eastAsia="zh-CN" w:bidi="ar-SA"/>
        </w:rPr>
      </w:pPr>
      <w:r>
        <w:rPr>
          <w:rFonts w:hint="eastAsia" w:ascii="Times New Roman" w:hAnsi="Times New Roman" w:eastAsia="仿宋_GB2312" w:cs="Calibri"/>
          <w:b/>
          <w:bCs/>
          <w:color w:val="auto"/>
          <w:kern w:val="2"/>
          <w:sz w:val="22"/>
          <w:szCs w:val="22"/>
          <w:highlight w:val="none"/>
          <w:lang w:val="en-US" w:eastAsia="zh-CN" w:bidi="ar-SA"/>
        </w:rPr>
        <w:t>单位：万元</w:t>
      </w:r>
    </w:p>
    <w:tbl>
      <w:tblPr>
        <w:tblStyle w:val="1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2"/>
        <w:gridCol w:w="2255"/>
        <w:gridCol w:w="1220"/>
        <w:gridCol w:w="1220"/>
        <w:gridCol w:w="1220"/>
        <w:gridCol w:w="1079"/>
        <w:gridCol w:w="9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Style w:val="25"/>
                <w:color w:val="auto"/>
                <w:sz w:val="20"/>
                <w:szCs w:val="20"/>
                <w:highlight w:val="none"/>
                <w:lang w:val="en-US" w:eastAsia="zh-CN" w:bidi="ar"/>
              </w:rPr>
              <w:t>序号</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Style w:val="25"/>
                <w:color w:val="auto"/>
                <w:sz w:val="20"/>
                <w:szCs w:val="20"/>
                <w:highlight w:val="none"/>
                <w:lang w:val="en-US" w:eastAsia="zh-CN" w:bidi="ar"/>
              </w:rPr>
              <w:t>项目名称</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Style w:val="25"/>
                <w:color w:val="auto"/>
                <w:sz w:val="20"/>
                <w:szCs w:val="20"/>
                <w:highlight w:val="none"/>
                <w:lang w:val="en-US" w:eastAsia="zh-CN" w:bidi="ar"/>
              </w:rPr>
              <w:t>年初预算数</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Style w:val="25"/>
                <w:color w:val="auto"/>
                <w:sz w:val="20"/>
                <w:szCs w:val="20"/>
                <w:highlight w:val="none"/>
                <w:lang w:val="en-US" w:eastAsia="zh-CN" w:bidi="ar"/>
              </w:rPr>
              <w:t>全年预算数</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Style w:val="25"/>
                <w:color w:val="auto"/>
                <w:sz w:val="20"/>
                <w:szCs w:val="20"/>
                <w:highlight w:val="none"/>
                <w:lang w:val="en-US" w:eastAsia="zh-CN" w:bidi="ar"/>
              </w:rPr>
              <w:t>年末决算数</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Style w:val="25"/>
                <w:color w:val="auto"/>
                <w:sz w:val="20"/>
                <w:szCs w:val="20"/>
                <w:highlight w:val="none"/>
                <w:lang w:val="en-US" w:eastAsia="zh-CN" w:bidi="ar"/>
              </w:rPr>
              <w:t>执行率</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Style w:val="25"/>
                <w:color w:val="auto"/>
                <w:sz w:val="20"/>
                <w:szCs w:val="20"/>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行政审批案卷档案整理专项经费</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60.00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60.00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26.32</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43.87%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法制建设及诉讼费</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28.00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28.00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10.06</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35.93%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20"/>
                <w:szCs w:val="20"/>
                <w:highlight w:val="none"/>
                <w:u w:val="none"/>
              </w:rPr>
            </w:pPr>
            <w:r>
              <w:rPr>
                <w:rStyle w:val="26"/>
                <w:rFonts w:eastAsia="宋体"/>
                <w:color w:val="auto"/>
                <w:sz w:val="20"/>
                <w:szCs w:val="20"/>
                <w:highlight w:val="none"/>
                <w:lang w:val="en-US" w:eastAsia="zh-CN" w:bidi="ar"/>
              </w:rPr>
              <w:t>60</w:t>
            </w:r>
            <w:r>
              <w:rPr>
                <w:rStyle w:val="27"/>
                <w:color w:val="auto"/>
                <w:sz w:val="20"/>
                <w:szCs w:val="20"/>
                <w:highlight w:val="none"/>
                <w:lang w:val="en-US" w:eastAsia="zh-CN" w:bidi="ar"/>
              </w:rPr>
              <w:t>年代精减下放人员救济费</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4.04</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4.04</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3.60</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89.11%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建设领域行业监管检查工作经费</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158.80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158.80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152.63</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96.11%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处理私房改造遗留问题工作经费</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58.90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58.90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58.90</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6</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住房和城乡建设专项经费</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170.00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170.00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147.91</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87.01%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7</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建设工程消防设计审查服务经费</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45.00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45.00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45.00</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8</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住建局系统信息化运行维护</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188.00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188.00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187.42</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99.69%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9</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宣传专项经费</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28.50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28.50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28.50</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住房保障工作经费</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47.40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47.40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43.61</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92.00%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11</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污水行业监管经费</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28.50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28.50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25.00</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87.72%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12</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派驻纪检监察组日常办公经费</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0.65</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21.67%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13</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供水行业监管经费</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13.30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13.30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8.13</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61.13%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14</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市直机关干部子女统筹医疗费</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0.40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0.40</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15</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抚恤金及丧葬费</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151.05</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151.05</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16</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企业军转干部解困资金</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16.50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16.50</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17</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20"/>
                <w:szCs w:val="20"/>
                <w:highlight w:val="none"/>
                <w:u w:val="none"/>
              </w:rPr>
            </w:pPr>
            <w:r>
              <w:rPr>
                <w:rStyle w:val="26"/>
                <w:rFonts w:eastAsia="宋体"/>
                <w:color w:val="auto"/>
                <w:sz w:val="20"/>
                <w:szCs w:val="20"/>
                <w:highlight w:val="none"/>
                <w:lang w:val="en-US" w:eastAsia="zh-CN" w:bidi="ar"/>
              </w:rPr>
              <w:t>2022</w:t>
            </w:r>
            <w:r>
              <w:rPr>
                <w:rStyle w:val="27"/>
                <w:color w:val="auto"/>
                <w:sz w:val="20"/>
                <w:szCs w:val="20"/>
                <w:highlight w:val="none"/>
                <w:lang w:val="en-US" w:eastAsia="zh-CN" w:bidi="ar"/>
              </w:rPr>
              <w:t>年特困企业离休干部统筹外经费</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12.54</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12.24</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97.61%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18</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元旦、重阳、春节等离退休干部慰问经费</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15.50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15.50</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19</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烈士纪念日活动经费</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12.80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12.80</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20</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20"/>
                <w:szCs w:val="20"/>
                <w:highlight w:val="none"/>
                <w:u w:val="none"/>
              </w:rPr>
            </w:pPr>
            <w:r>
              <w:rPr>
                <w:rStyle w:val="26"/>
                <w:rFonts w:eastAsia="宋体"/>
                <w:color w:val="auto"/>
                <w:sz w:val="20"/>
                <w:szCs w:val="20"/>
                <w:highlight w:val="none"/>
                <w:lang w:val="en-US" w:eastAsia="zh-CN" w:bidi="ar"/>
              </w:rPr>
              <w:t>2022</w:t>
            </w:r>
            <w:r>
              <w:rPr>
                <w:rStyle w:val="27"/>
                <w:color w:val="auto"/>
                <w:sz w:val="20"/>
                <w:szCs w:val="20"/>
                <w:highlight w:val="none"/>
                <w:lang w:val="en-US" w:eastAsia="zh-CN" w:bidi="ar"/>
              </w:rPr>
              <w:t>年长沙市自建房指挥部工作经费</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370.00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364.51</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98.52%</w:t>
            </w:r>
          </w:p>
        </w:tc>
        <w:tc>
          <w:tcPr>
            <w:tcW w:w="5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指标合并设置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21</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20"/>
                <w:szCs w:val="20"/>
                <w:highlight w:val="none"/>
                <w:u w:val="none"/>
              </w:rPr>
            </w:pPr>
            <w:r>
              <w:rPr>
                <w:rStyle w:val="26"/>
                <w:rFonts w:eastAsia="宋体"/>
                <w:color w:val="auto"/>
                <w:sz w:val="20"/>
                <w:szCs w:val="20"/>
                <w:highlight w:val="none"/>
                <w:lang w:val="en-US" w:eastAsia="zh-CN" w:bidi="ar"/>
              </w:rPr>
              <w:t>2022</w:t>
            </w:r>
            <w:r>
              <w:rPr>
                <w:rStyle w:val="27"/>
                <w:color w:val="auto"/>
                <w:sz w:val="20"/>
                <w:szCs w:val="20"/>
                <w:highlight w:val="none"/>
                <w:lang w:val="en-US" w:eastAsia="zh-CN" w:bidi="ar"/>
              </w:rPr>
              <w:t>年长沙市自建房安全检测鉴定经费</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16.15</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16.15</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100.00%</w:t>
            </w: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22</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自建房专项整治省级补助资金</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50.00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50.00</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100.00%</w:t>
            </w: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23</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20"/>
                <w:szCs w:val="20"/>
                <w:highlight w:val="none"/>
                <w:u w:val="none"/>
              </w:rPr>
            </w:pPr>
            <w:r>
              <w:rPr>
                <w:rStyle w:val="26"/>
                <w:rFonts w:eastAsia="宋体"/>
                <w:color w:val="auto"/>
                <w:sz w:val="20"/>
                <w:szCs w:val="20"/>
                <w:highlight w:val="none"/>
                <w:lang w:val="en-US" w:eastAsia="zh-CN" w:bidi="ar"/>
              </w:rPr>
              <w:t>"</w:t>
            </w:r>
            <w:r>
              <w:rPr>
                <w:rStyle w:val="27"/>
                <w:color w:val="auto"/>
                <w:sz w:val="20"/>
                <w:szCs w:val="20"/>
                <w:highlight w:val="none"/>
                <w:lang w:val="en-US" w:eastAsia="zh-CN" w:bidi="ar"/>
              </w:rPr>
              <w:t>百日攻坚</w:t>
            </w:r>
            <w:r>
              <w:rPr>
                <w:rStyle w:val="26"/>
                <w:rFonts w:hint="eastAsia"/>
                <w:color w:val="auto"/>
                <w:sz w:val="20"/>
                <w:szCs w:val="20"/>
                <w:highlight w:val="none"/>
                <w:lang w:val="en-US" w:eastAsia="zh-CN" w:bidi="ar"/>
              </w:rPr>
              <w:t>”</w:t>
            </w:r>
            <w:r>
              <w:rPr>
                <w:rStyle w:val="27"/>
                <w:color w:val="auto"/>
                <w:sz w:val="20"/>
                <w:szCs w:val="20"/>
                <w:highlight w:val="none"/>
                <w:lang w:val="en-US" w:eastAsia="zh-CN" w:bidi="ar"/>
              </w:rPr>
              <w:t>较大安全隐患居民自建房结构安全鉴定费用</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379.52</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379.52</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100.00%</w:t>
            </w: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24</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岳麓大道快速化改造总体方案课题研究</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50.50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50.50</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100.00%</w:t>
            </w:r>
          </w:p>
        </w:tc>
        <w:tc>
          <w:tcPr>
            <w:tcW w:w="582"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指标合并设置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25</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20"/>
                <w:szCs w:val="20"/>
                <w:highlight w:val="none"/>
                <w:u w:val="none"/>
              </w:rPr>
            </w:pPr>
            <w:r>
              <w:rPr>
                <w:rStyle w:val="26"/>
                <w:rFonts w:hint="eastAsia"/>
                <w:color w:val="auto"/>
                <w:sz w:val="20"/>
                <w:szCs w:val="20"/>
                <w:highlight w:val="none"/>
                <w:lang w:val="en-US" w:eastAsia="zh-CN" w:bidi="ar"/>
              </w:rPr>
              <w:t>“</w:t>
            </w:r>
            <w:r>
              <w:rPr>
                <w:rStyle w:val="27"/>
                <w:color w:val="auto"/>
                <w:sz w:val="20"/>
                <w:szCs w:val="20"/>
                <w:highlight w:val="none"/>
                <w:lang w:val="en-US" w:eastAsia="zh-CN" w:bidi="ar"/>
              </w:rPr>
              <w:t>十四五</w:t>
            </w:r>
            <w:r>
              <w:rPr>
                <w:rStyle w:val="26"/>
                <w:rFonts w:hint="eastAsia"/>
                <w:color w:val="auto"/>
                <w:sz w:val="20"/>
                <w:szCs w:val="20"/>
                <w:highlight w:val="none"/>
                <w:lang w:val="en-US" w:eastAsia="zh-CN" w:bidi="ar"/>
              </w:rPr>
              <w:t>”</w:t>
            </w:r>
            <w:r>
              <w:rPr>
                <w:rStyle w:val="27"/>
                <w:color w:val="auto"/>
                <w:sz w:val="20"/>
                <w:szCs w:val="20"/>
                <w:highlight w:val="none"/>
                <w:lang w:val="en-US" w:eastAsia="zh-CN" w:bidi="ar"/>
              </w:rPr>
              <w:t>骨干路网建设计划课题研究经费</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21.35</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21.35</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100.00%</w:t>
            </w:r>
          </w:p>
        </w:tc>
        <w:tc>
          <w:tcPr>
            <w:tcW w:w="582"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26</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highlight w:val="none"/>
                <w:u w:val="none"/>
              </w:rPr>
            </w:pPr>
            <w:r>
              <w:rPr>
                <w:rStyle w:val="27"/>
                <w:color w:val="auto"/>
                <w:sz w:val="20"/>
                <w:szCs w:val="20"/>
                <w:highlight w:val="none"/>
                <w:lang w:val="en-US" w:eastAsia="zh-CN" w:bidi="ar"/>
              </w:rPr>
              <w:t>地下管线综合信息管理平台（一期）</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279.60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279.60</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27</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在建工地视频监控和扬尘在线监测服务费</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330.98</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330.98</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28</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第二批信创产品专项经费</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121.09</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121.09</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29</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20"/>
                <w:szCs w:val="20"/>
                <w:highlight w:val="none"/>
                <w:u w:val="none"/>
              </w:rPr>
            </w:pPr>
            <w:r>
              <w:rPr>
                <w:rStyle w:val="26"/>
                <w:rFonts w:eastAsia="宋体"/>
                <w:color w:val="auto"/>
                <w:sz w:val="20"/>
                <w:szCs w:val="20"/>
                <w:highlight w:val="none"/>
                <w:lang w:val="en-US" w:eastAsia="zh-CN" w:bidi="ar"/>
              </w:rPr>
              <w:t>2016</w:t>
            </w:r>
            <w:r>
              <w:rPr>
                <w:rStyle w:val="27"/>
                <w:color w:val="auto"/>
                <w:sz w:val="20"/>
                <w:szCs w:val="20"/>
                <w:highlight w:val="none"/>
                <w:lang w:val="en-US" w:eastAsia="zh-CN" w:bidi="ar"/>
              </w:rPr>
              <w:t>年后新上线信息化系统运行维护经费</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69.92</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68.43</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97.87%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30</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20"/>
                <w:szCs w:val="20"/>
                <w:highlight w:val="none"/>
                <w:u w:val="none"/>
              </w:rPr>
            </w:pPr>
            <w:r>
              <w:rPr>
                <w:rStyle w:val="26"/>
                <w:rFonts w:eastAsia="宋体"/>
                <w:color w:val="auto"/>
                <w:sz w:val="20"/>
                <w:szCs w:val="20"/>
                <w:highlight w:val="none"/>
                <w:lang w:val="en-US" w:eastAsia="zh-CN" w:bidi="ar"/>
              </w:rPr>
              <w:t>2021</w:t>
            </w:r>
            <w:r>
              <w:rPr>
                <w:rStyle w:val="27"/>
                <w:color w:val="auto"/>
                <w:sz w:val="20"/>
                <w:szCs w:val="20"/>
                <w:highlight w:val="none"/>
                <w:lang w:val="en-US" w:eastAsia="zh-CN" w:bidi="ar"/>
              </w:rPr>
              <w:t>年度湖南省土建工程专业初中级职称考试考务费</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312.15</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312.15</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31</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20"/>
                <w:szCs w:val="20"/>
                <w:highlight w:val="none"/>
                <w:u w:val="none"/>
              </w:rPr>
            </w:pPr>
            <w:r>
              <w:rPr>
                <w:rStyle w:val="26"/>
                <w:rFonts w:eastAsia="宋体"/>
                <w:color w:val="auto"/>
                <w:sz w:val="20"/>
                <w:szCs w:val="20"/>
                <w:highlight w:val="none"/>
                <w:lang w:val="en-US" w:eastAsia="zh-CN" w:bidi="ar"/>
              </w:rPr>
              <w:t>2021</w:t>
            </w:r>
            <w:r>
              <w:rPr>
                <w:rStyle w:val="27"/>
                <w:color w:val="auto"/>
                <w:sz w:val="20"/>
                <w:szCs w:val="20"/>
                <w:highlight w:val="none"/>
                <w:lang w:val="en-US" w:eastAsia="zh-CN" w:bidi="ar"/>
              </w:rPr>
              <w:t>年度督查激励奖励资金</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100.00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97.80</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97.80%</w:t>
            </w:r>
          </w:p>
        </w:tc>
        <w:tc>
          <w:tcPr>
            <w:tcW w:w="5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指标合并设置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32</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20"/>
                <w:szCs w:val="20"/>
                <w:highlight w:val="none"/>
                <w:u w:val="none"/>
              </w:rPr>
            </w:pPr>
            <w:r>
              <w:rPr>
                <w:rStyle w:val="26"/>
                <w:rFonts w:eastAsia="宋体"/>
                <w:color w:val="auto"/>
                <w:sz w:val="20"/>
                <w:szCs w:val="20"/>
                <w:highlight w:val="none"/>
                <w:lang w:val="en-US" w:eastAsia="zh-CN" w:bidi="ar"/>
              </w:rPr>
              <w:t>2021</w:t>
            </w:r>
            <w:r>
              <w:rPr>
                <w:rStyle w:val="27"/>
                <w:color w:val="auto"/>
                <w:sz w:val="20"/>
                <w:szCs w:val="20"/>
                <w:highlight w:val="none"/>
                <w:lang w:val="en-US" w:eastAsia="zh-CN" w:bidi="ar"/>
              </w:rPr>
              <w:t>年度城市管理工作考核奖励经费</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5.00</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100.00%</w:t>
            </w: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33</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20"/>
                <w:szCs w:val="20"/>
                <w:highlight w:val="none"/>
                <w:u w:val="none"/>
              </w:rPr>
            </w:pPr>
            <w:r>
              <w:rPr>
                <w:rStyle w:val="26"/>
                <w:rFonts w:eastAsia="宋体"/>
                <w:color w:val="auto"/>
                <w:sz w:val="20"/>
                <w:szCs w:val="20"/>
                <w:highlight w:val="none"/>
                <w:lang w:val="en-US" w:eastAsia="zh-CN" w:bidi="ar"/>
              </w:rPr>
              <w:t>2021</w:t>
            </w:r>
            <w:r>
              <w:rPr>
                <w:rStyle w:val="27"/>
                <w:color w:val="auto"/>
                <w:sz w:val="20"/>
                <w:szCs w:val="20"/>
                <w:highlight w:val="none"/>
                <w:lang w:val="en-US" w:eastAsia="zh-CN" w:bidi="ar"/>
              </w:rPr>
              <w:t>年度安全生产和消防工作考核奖励经费</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0.96</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19.20%</w:t>
            </w: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34</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信访工作考核奖励专项</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2.00</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100.00%</w:t>
            </w: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6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合计</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833.44</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3,155.49</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3,046.26</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96.54%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i w:val="0"/>
                <w:iCs w:val="0"/>
                <w:color w:val="auto"/>
                <w:sz w:val="20"/>
                <w:szCs w:val="20"/>
                <w:highlight w:val="none"/>
                <w:u w:val="none"/>
              </w:rPr>
            </w:pPr>
          </w:p>
        </w:tc>
      </w:tr>
    </w:tbl>
    <w:p>
      <w:pPr>
        <w:pStyle w:val="12"/>
        <w:keepNext w:val="0"/>
        <w:keepLines w:val="0"/>
        <w:pageBreakBefore w:val="0"/>
        <w:widowControl w:val="0"/>
        <w:kinsoku/>
        <w:wordWrap/>
        <w:overflowPunct/>
        <w:topLinePunct w:val="0"/>
        <w:autoSpaceDE/>
        <w:autoSpaceDN/>
        <w:bidi w:val="0"/>
        <w:adjustRightInd/>
        <w:snapToGrid/>
        <w:spacing w:before="313" w:beforeLines="100" w:after="0" w:line="240" w:lineRule="auto"/>
        <w:ind w:left="0" w:leftChars="0" w:firstLine="643" w:firstLineChars="200"/>
        <w:jc w:val="center"/>
        <w:textAlignment w:val="auto"/>
        <w:rPr>
          <w:rFonts w:hint="default" w:ascii="Times New Roman" w:hAnsi="Times New Roman" w:eastAsia="仿宋_GB2312" w:cs="Calibri"/>
          <w:b/>
          <w:bCs/>
          <w:color w:val="auto"/>
          <w:kern w:val="2"/>
          <w:sz w:val="32"/>
          <w:szCs w:val="32"/>
          <w:highlight w:val="none"/>
          <w:lang w:val="en-US" w:eastAsia="zh-CN" w:bidi="ar-SA"/>
        </w:rPr>
      </w:pPr>
      <w:r>
        <w:rPr>
          <w:rFonts w:hint="default" w:ascii="Times New Roman" w:hAnsi="Times New Roman" w:eastAsia="仿宋_GB2312" w:cs="Calibri"/>
          <w:b/>
          <w:bCs/>
          <w:color w:val="auto"/>
          <w:kern w:val="2"/>
          <w:sz w:val="32"/>
          <w:szCs w:val="32"/>
          <w:highlight w:val="none"/>
          <w:lang w:val="en-US" w:eastAsia="zh-CN" w:bidi="ar-SA"/>
        </w:rPr>
        <w:t>公共项目资金明细表</w:t>
      </w:r>
    </w:p>
    <w:p>
      <w:pPr>
        <w:pStyle w:val="12"/>
        <w:keepNext w:val="0"/>
        <w:keepLines w:val="0"/>
        <w:pageBreakBefore w:val="0"/>
        <w:widowControl w:val="0"/>
        <w:kinsoku/>
        <w:wordWrap/>
        <w:overflowPunct/>
        <w:topLinePunct w:val="0"/>
        <w:autoSpaceDE/>
        <w:autoSpaceDN/>
        <w:bidi w:val="0"/>
        <w:adjustRightInd/>
        <w:snapToGrid/>
        <w:spacing w:after="0"/>
        <w:ind w:left="0" w:leftChars="0" w:firstLine="442" w:firstLineChars="200"/>
        <w:jc w:val="right"/>
        <w:textAlignment w:val="auto"/>
        <w:rPr>
          <w:rFonts w:hint="default" w:ascii="Times New Roman" w:hAnsi="Times New Roman" w:eastAsia="仿宋_GB2312" w:cs="Calibri"/>
          <w:b/>
          <w:bCs/>
          <w:color w:val="auto"/>
          <w:kern w:val="2"/>
          <w:sz w:val="32"/>
          <w:szCs w:val="32"/>
          <w:highlight w:val="none"/>
          <w:lang w:val="en-US" w:eastAsia="zh-CN" w:bidi="ar-SA"/>
        </w:rPr>
      </w:pPr>
      <w:r>
        <w:rPr>
          <w:rFonts w:hint="eastAsia" w:ascii="Times New Roman" w:hAnsi="Times New Roman" w:eastAsia="仿宋_GB2312" w:cs="Calibri"/>
          <w:b/>
          <w:bCs/>
          <w:color w:val="auto"/>
          <w:kern w:val="2"/>
          <w:sz w:val="22"/>
          <w:szCs w:val="22"/>
          <w:highlight w:val="none"/>
          <w:lang w:val="en-US" w:eastAsia="zh-CN" w:bidi="ar-SA"/>
        </w:rPr>
        <w:t>单位：万元</w:t>
      </w: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4"/>
        <w:gridCol w:w="1890"/>
        <w:gridCol w:w="1224"/>
        <w:gridCol w:w="1252"/>
        <w:gridCol w:w="1223"/>
        <w:gridCol w:w="990"/>
        <w:gridCol w:w="1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blHeader/>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序号</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项目名称</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年初预算数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全年预算数</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年末决算数</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执行率</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污水处理运行费</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90,000.00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iCs w:val="0"/>
                <w:color w:val="auto"/>
                <w:kern w:val="0"/>
                <w:sz w:val="20"/>
                <w:szCs w:val="20"/>
                <w:highlight w:val="none"/>
                <w:u w:val="none"/>
                <w:lang w:bidi="ar"/>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93,868.84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iCs w:val="0"/>
                <w:color w:val="auto"/>
                <w:kern w:val="0"/>
                <w:sz w:val="20"/>
                <w:szCs w:val="20"/>
                <w:highlight w:val="none"/>
                <w:u w:val="none"/>
                <w:lang w:bidi="ar"/>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93,868.84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Times New Roman" w:hAnsi="Times New Roman" w:cs="Times New Roman"/>
                <w:i w:val="0"/>
                <w:iCs w:val="0"/>
                <w:color w:val="auto"/>
                <w:kern w:val="0"/>
                <w:sz w:val="20"/>
                <w:szCs w:val="20"/>
                <w:highlight w:val="none"/>
                <w:u w:val="none"/>
                <w:lang w:val="en-US" w:eastAsia="zh-CN" w:bidi="ar"/>
              </w:rPr>
              <w:t>100.00</w:t>
            </w:r>
            <w:r>
              <w:rPr>
                <w:rFonts w:hint="default" w:ascii="Times New Roman" w:hAnsi="Times New Roman" w:eastAsia="宋体" w:cs="Times New Roman"/>
                <w:i w:val="0"/>
                <w:iCs w:val="0"/>
                <w:color w:val="auto"/>
                <w:kern w:val="0"/>
                <w:sz w:val="20"/>
                <w:szCs w:val="20"/>
                <w:highlight w:val="none"/>
                <w:u w:val="none"/>
                <w:lang w:val="en-US" w:eastAsia="zh-CN" w:bidi="ar"/>
              </w:rPr>
              <w:t>%</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iCs w:val="0"/>
                <w:color w:val="auto"/>
                <w:sz w:val="18"/>
                <w:szCs w:val="18"/>
                <w:highlight w:val="none"/>
                <w:u w:val="none"/>
                <w:lang w:val="en-US" w:eastAsia="zh-CN"/>
              </w:rPr>
            </w:pPr>
            <w:r>
              <w:rPr>
                <w:rFonts w:hint="eastAsia" w:ascii="Times New Roman" w:hAnsi="Times New Roman" w:cs="Times New Roman"/>
                <w:i w:val="0"/>
                <w:iCs w:val="0"/>
                <w:color w:val="auto"/>
                <w:sz w:val="18"/>
                <w:szCs w:val="18"/>
                <w:highlight w:val="none"/>
                <w:u w:val="none"/>
                <w:lang w:val="en-US" w:eastAsia="zh-CN"/>
              </w:rPr>
              <w:t>项目年度决算数179,296.74万元，其中一般公共预算支出93,868.84万元，政府性基金预算支出85,427.90万元。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20"/>
                <w:szCs w:val="20"/>
                <w:highlight w:val="none"/>
                <w:u w:val="none"/>
                <w:lang w:val="en-US"/>
              </w:rPr>
            </w:pPr>
            <w:r>
              <w:rPr>
                <w:rFonts w:hint="default" w:ascii="Times New Roman" w:hAnsi="Times New Roman" w:eastAsia="宋体" w:cs="Times New Roman"/>
                <w:i w:val="0"/>
                <w:iCs w:val="0"/>
                <w:color w:val="auto"/>
                <w:kern w:val="0"/>
                <w:sz w:val="20"/>
                <w:szCs w:val="20"/>
                <w:highlight w:val="none"/>
                <w:u w:val="none"/>
                <w:lang w:val="en-US" w:eastAsia="zh-CN" w:bidi="ar"/>
              </w:rPr>
              <w:t>五区市政（排水）维护经费</w:t>
            </w:r>
            <w:r>
              <w:rPr>
                <w:rFonts w:hint="eastAsia" w:ascii="Times New Roman" w:hAnsi="Times New Roman" w:eastAsia="宋体" w:cs="Times New Roman"/>
                <w:i w:val="0"/>
                <w:iCs w:val="0"/>
                <w:color w:val="auto"/>
                <w:kern w:val="0"/>
                <w:sz w:val="20"/>
                <w:szCs w:val="20"/>
                <w:highlight w:val="none"/>
                <w:u w:val="none"/>
                <w:lang w:val="en-US" w:eastAsia="zh-CN" w:bidi="ar"/>
              </w:rPr>
              <w:t>基数</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2,648.00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lang w:val="en-US"/>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2022年度财政未下达该笔资金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建设工程施工图审查服务费</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5,000.00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5,959.12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5,944.81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99.76%</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建筑节能与绿色建筑专项资金</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500.00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2022年度财政未下达该笔资金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村镇建设专项资金</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5,000.00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50.00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5.69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11.38%</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6</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乡镇污水处理厂建设和运行补助资金</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6,000.00 </w:t>
            </w:r>
          </w:p>
        </w:tc>
        <w:tc>
          <w:tcPr>
            <w:tcW w:w="1252"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2022年度财政未下达该笔资金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7</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建筑行业发展专项资金</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3,000.00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2,611.</w:t>
            </w:r>
            <w:r>
              <w:rPr>
                <w:rFonts w:hint="eastAsia" w:ascii="Times New Roman" w:hAnsi="Times New Roman" w:eastAsia="宋体" w:cs="Times New Roman"/>
                <w:i w:val="0"/>
                <w:iCs w:val="0"/>
                <w:color w:val="auto"/>
                <w:kern w:val="0"/>
                <w:sz w:val="20"/>
                <w:szCs w:val="20"/>
                <w:highlight w:val="none"/>
                <w:u w:val="none"/>
                <w:lang w:val="en-US" w:eastAsia="zh-CN" w:bidi="ar"/>
              </w:rPr>
              <w:t>6</w:t>
            </w:r>
            <w:r>
              <w:rPr>
                <w:rFonts w:hint="default" w:ascii="Times New Roman" w:hAnsi="Times New Roman" w:eastAsia="宋体" w:cs="Times New Roman"/>
                <w:i w:val="0"/>
                <w:iCs w:val="0"/>
                <w:color w:val="auto"/>
                <w:kern w:val="0"/>
                <w:sz w:val="20"/>
                <w:szCs w:val="20"/>
                <w:highlight w:val="none"/>
                <w:u w:val="none"/>
                <w:lang w:val="en-US" w:eastAsia="zh-CN" w:bidi="ar"/>
              </w:rPr>
              <w:t xml:space="preserve">0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2,611.</w:t>
            </w:r>
            <w:r>
              <w:rPr>
                <w:rFonts w:hint="eastAsia" w:ascii="Times New Roman" w:hAnsi="Times New Roman" w:eastAsia="宋体" w:cs="Times New Roman"/>
                <w:i w:val="0"/>
                <w:iCs w:val="0"/>
                <w:color w:val="auto"/>
                <w:kern w:val="0"/>
                <w:sz w:val="20"/>
                <w:szCs w:val="20"/>
                <w:highlight w:val="none"/>
                <w:u w:val="none"/>
                <w:lang w:val="en-US" w:eastAsia="zh-CN" w:bidi="ar"/>
              </w:rPr>
              <w:t>6</w:t>
            </w:r>
            <w:r>
              <w:rPr>
                <w:rFonts w:hint="default" w:ascii="Times New Roman" w:hAnsi="Times New Roman" w:eastAsia="宋体" w:cs="Times New Roman"/>
                <w:i w:val="0"/>
                <w:iCs w:val="0"/>
                <w:color w:val="auto"/>
                <w:kern w:val="0"/>
                <w:sz w:val="20"/>
                <w:szCs w:val="20"/>
                <w:highlight w:val="none"/>
                <w:u w:val="none"/>
                <w:lang w:val="en-US" w:eastAsia="zh-CN" w:bidi="ar"/>
              </w:rPr>
              <w:t xml:space="preserve">0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i w:val="0"/>
                <w:iCs w:val="0"/>
                <w:color w:val="auto"/>
                <w:kern w:val="0"/>
                <w:sz w:val="20"/>
                <w:szCs w:val="20"/>
                <w:highlight w:val="none"/>
                <w:u w:val="none"/>
                <w:lang w:val="en" w:eastAsia="zh-CN" w:bidi="ar"/>
              </w:rPr>
              <w:t>100.00</w:t>
            </w:r>
            <w:r>
              <w:rPr>
                <w:rFonts w:hint="default" w:ascii="Times New Roman" w:hAnsi="Times New Roman" w:eastAsia="宋体" w:cs="Times New Roman"/>
                <w:i w:val="0"/>
                <w:iCs w:val="0"/>
                <w:color w:val="auto"/>
                <w:kern w:val="0"/>
                <w:sz w:val="20"/>
                <w:szCs w:val="20"/>
                <w:highlight w:val="none"/>
                <w:u w:val="none"/>
                <w:lang w:val="en-US" w:eastAsia="zh-CN" w:bidi="ar"/>
              </w:rPr>
              <w:t>%</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8</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安居工程资金</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2,000.00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2022年度财政未下达该笔资金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9</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既有住宅安装电梯市级补助</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2,000.00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2,000.00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2,000.00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100.00%</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精美长沙专项经费</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3,000.00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868.51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745.99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85.89%</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物业管理专项工作经费</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1,550.00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25.00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25.00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100.00%</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泵站运行经费</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8,000.00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8,000.00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7,952.23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99.40%</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市排水事务中心泵站提标管网建设等项目经费</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5,000.00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3,900.95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3,293.65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84.43%</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防洪排渍经费</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700.00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700.00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680.70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97.24%</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15</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实施高精尖人才领跑工程购房补贴</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5,000.00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5,000.00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4,134.09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82.68%</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16</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实施青年人才筑梦工程购房补贴</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10,000.00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10,000.00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10,000.00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100.00%</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17</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实施</w:t>
            </w:r>
            <w:r>
              <w:rPr>
                <w:rFonts w:hint="eastAsia" w:ascii="Times New Roman" w:hAnsi="Times New Roman" w:cs="Times New Roman"/>
                <w:i w:val="0"/>
                <w:iCs w:val="0"/>
                <w:color w:val="auto"/>
                <w:kern w:val="0"/>
                <w:sz w:val="20"/>
                <w:szCs w:val="20"/>
                <w:highlight w:val="none"/>
                <w:u w:val="none"/>
                <w:lang w:val="en-US" w:eastAsia="zh-CN" w:bidi="ar"/>
              </w:rPr>
              <w:t>“</w:t>
            </w:r>
            <w:r>
              <w:rPr>
                <w:rFonts w:hint="default" w:ascii="Times New Roman" w:hAnsi="Times New Roman" w:eastAsia="宋体" w:cs="Times New Roman"/>
                <w:i w:val="0"/>
                <w:iCs w:val="0"/>
                <w:color w:val="auto"/>
                <w:kern w:val="0"/>
                <w:sz w:val="20"/>
                <w:szCs w:val="20"/>
                <w:highlight w:val="none"/>
                <w:u w:val="none"/>
                <w:lang w:val="en-US" w:eastAsia="zh-CN" w:bidi="ar"/>
              </w:rPr>
              <w:t>长沙工匠</w:t>
            </w:r>
            <w:r>
              <w:rPr>
                <w:rFonts w:hint="eastAsia" w:ascii="Times New Roman" w:hAnsi="Times New Roman" w:cs="Times New Roman"/>
                <w:i w:val="0"/>
                <w:iCs w:val="0"/>
                <w:color w:val="auto"/>
                <w:kern w:val="0"/>
                <w:sz w:val="20"/>
                <w:szCs w:val="20"/>
                <w:highlight w:val="none"/>
                <w:u w:val="none"/>
                <w:lang w:val="en-US" w:eastAsia="zh-CN" w:bidi="ar"/>
              </w:rPr>
              <w:t>”</w:t>
            </w:r>
            <w:r>
              <w:rPr>
                <w:rFonts w:hint="default" w:ascii="Times New Roman" w:hAnsi="Times New Roman" w:eastAsia="宋体" w:cs="Times New Roman"/>
                <w:i w:val="0"/>
                <w:iCs w:val="0"/>
                <w:color w:val="auto"/>
                <w:kern w:val="0"/>
                <w:sz w:val="20"/>
                <w:szCs w:val="20"/>
                <w:highlight w:val="none"/>
                <w:u w:val="none"/>
                <w:lang w:val="en-US" w:eastAsia="zh-CN" w:bidi="ar"/>
              </w:rPr>
              <w:t>铸造工程购房补贴</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300.00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300.00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87.00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29.00%</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18</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长沙市地下综合管廊试点建设PPP项目（第一批）</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11,702.00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10,483.29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10,483.29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100.00%</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19</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长沙市敢胜垸、苏托垸污水处理PPP项目（还本付息）</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9,817.00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iCs w:val="0"/>
                <w:color w:val="auto"/>
                <w:kern w:val="0"/>
                <w:sz w:val="20"/>
                <w:szCs w:val="20"/>
                <w:highlight w:val="none"/>
                <w:u w:val="none"/>
                <w:lang w:bidi="ar"/>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9,000.00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iCs w:val="0"/>
                <w:color w:val="auto"/>
                <w:kern w:val="0"/>
                <w:sz w:val="20"/>
                <w:szCs w:val="20"/>
                <w:highlight w:val="none"/>
                <w:u w:val="none"/>
                <w:lang w:bidi="ar"/>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9,000.00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100.00%</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iCs w:val="0"/>
                <w:color w:val="auto"/>
                <w:sz w:val="20"/>
                <w:szCs w:val="20"/>
                <w:highlight w:val="none"/>
                <w:u w:val="none"/>
              </w:rPr>
            </w:pPr>
            <w:r>
              <w:rPr>
                <w:rFonts w:hint="eastAsia" w:ascii="Times New Roman" w:hAnsi="Times New Roman" w:cs="Times New Roman"/>
                <w:i w:val="0"/>
                <w:iCs w:val="0"/>
                <w:color w:val="auto"/>
                <w:sz w:val="18"/>
                <w:szCs w:val="18"/>
                <w:highlight w:val="none"/>
                <w:u w:val="none"/>
                <w:lang w:val="en-US" w:eastAsia="zh-CN"/>
              </w:rPr>
              <w:t>项目年度决算数12,644.90万元，其中一般公共预算支出9,000万元，政府性基金预算支出3,644.90万元。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合计</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 xml:space="preserve">171,217.00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lang w:val="en-US"/>
              </w:rPr>
            </w:pPr>
            <w:r>
              <w:rPr>
                <w:rFonts w:hint="eastAsia" w:ascii="Times New Roman" w:hAnsi="Times New Roman" w:eastAsia="宋体" w:cs="Times New Roman"/>
                <w:b/>
                <w:bCs/>
                <w:i w:val="0"/>
                <w:iCs w:val="0"/>
                <w:color w:val="auto"/>
                <w:kern w:val="0"/>
                <w:sz w:val="20"/>
                <w:szCs w:val="20"/>
                <w:highlight w:val="none"/>
                <w:u w:val="none"/>
                <w:lang w:val="en-US" w:eastAsia="zh-CN" w:bidi="ar"/>
              </w:rPr>
              <w:t>152</w:t>
            </w:r>
            <w:r>
              <w:rPr>
                <w:rFonts w:hint="eastAsia" w:ascii="Times New Roman" w:hAnsi="Times New Roman" w:cs="Times New Roman"/>
                <w:b/>
                <w:bCs/>
                <w:i w:val="0"/>
                <w:iCs w:val="0"/>
                <w:color w:val="auto"/>
                <w:kern w:val="0"/>
                <w:sz w:val="20"/>
                <w:szCs w:val="20"/>
                <w:highlight w:val="none"/>
                <w:u w:val="none"/>
                <w:lang w:val="en-US" w:eastAsia="zh-CN" w:bidi="ar"/>
              </w:rPr>
              <w:t>,</w:t>
            </w:r>
            <w:r>
              <w:rPr>
                <w:rFonts w:hint="eastAsia" w:ascii="Times New Roman" w:hAnsi="Times New Roman" w:eastAsia="宋体" w:cs="Times New Roman"/>
                <w:b/>
                <w:bCs/>
                <w:i w:val="0"/>
                <w:iCs w:val="0"/>
                <w:color w:val="auto"/>
                <w:kern w:val="0"/>
                <w:sz w:val="20"/>
                <w:szCs w:val="20"/>
                <w:highlight w:val="none"/>
                <w:u w:val="none"/>
                <w:lang w:val="en-US" w:eastAsia="zh-CN" w:bidi="ar"/>
              </w:rPr>
              <w:t>767.31</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Times New Roman" w:hAnsi="Times New Roman" w:eastAsia="宋体" w:cs="Times New Roman"/>
                <w:b/>
                <w:bCs/>
                <w:i w:val="0"/>
                <w:iCs w:val="0"/>
                <w:color w:val="auto"/>
                <w:kern w:val="0"/>
                <w:sz w:val="20"/>
                <w:szCs w:val="20"/>
                <w:highlight w:val="none"/>
                <w:u w:val="none"/>
                <w:lang w:val="en-US" w:eastAsia="zh-CN" w:bidi="ar"/>
              </w:rPr>
            </w:pPr>
            <w:r>
              <w:rPr>
                <w:rFonts w:hint="eastAsia" w:ascii="Times New Roman" w:hAnsi="Times New Roman" w:eastAsia="宋体" w:cs="Times New Roman"/>
                <w:b/>
                <w:bCs/>
                <w:i w:val="0"/>
                <w:iCs w:val="0"/>
                <w:color w:val="auto"/>
                <w:kern w:val="0"/>
                <w:sz w:val="20"/>
                <w:szCs w:val="20"/>
                <w:highlight w:val="none"/>
                <w:u w:val="none"/>
                <w:lang w:val="en-US" w:eastAsia="zh-CN" w:bidi="ar"/>
              </w:rPr>
              <w:fldChar w:fldCharType="begin"/>
            </w:r>
            <w:r>
              <w:rPr>
                <w:rFonts w:hint="eastAsia" w:ascii="Times New Roman" w:hAnsi="Times New Roman" w:eastAsia="宋体" w:cs="Times New Roman"/>
                <w:b/>
                <w:bCs/>
                <w:i w:val="0"/>
                <w:iCs w:val="0"/>
                <w:color w:val="auto"/>
                <w:kern w:val="0"/>
                <w:sz w:val="20"/>
                <w:szCs w:val="20"/>
                <w:highlight w:val="none"/>
                <w:u w:val="none"/>
                <w:lang w:val="en-US" w:eastAsia="zh-CN" w:bidi="ar"/>
              </w:rPr>
              <w:instrText xml:space="preserve"> = sum(E2:E20) \* MERGEFORMAT </w:instrText>
            </w:r>
            <w:r>
              <w:rPr>
                <w:rFonts w:hint="eastAsia" w:ascii="Times New Roman" w:hAnsi="Times New Roman" w:eastAsia="宋体" w:cs="Times New Roman"/>
                <w:b/>
                <w:bCs/>
                <w:i w:val="0"/>
                <w:iCs w:val="0"/>
                <w:color w:val="auto"/>
                <w:kern w:val="0"/>
                <w:sz w:val="20"/>
                <w:szCs w:val="20"/>
                <w:highlight w:val="none"/>
                <w:u w:val="none"/>
                <w:lang w:val="en-US" w:eastAsia="zh-CN" w:bidi="ar"/>
              </w:rPr>
              <w:fldChar w:fldCharType="separate"/>
            </w:r>
            <w:r>
              <w:rPr>
                <w:rFonts w:hint="eastAsia" w:ascii="Times New Roman" w:hAnsi="Times New Roman" w:eastAsia="宋体" w:cs="Times New Roman"/>
                <w:b/>
                <w:bCs/>
                <w:i w:val="0"/>
                <w:iCs w:val="0"/>
                <w:color w:val="auto"/>
                <w:kern w:val="0"/>
                <w:sz w:val="20"/>
                <w:szCs w:val="20"/>
                <w:highlight w:val="none"/>
                <w:u w:val="none"/>
                <w:lang w:val="en-US" w:eastAsia="zh-CN" w:bidi="ar"/>
              </w:rPr>
              <w:t>150</w:t>
            </w:r>
            <w:r>
              <w:rPr>
                <w:rFonts w:hint="eastAsia" w:ascii="Times New Roman" w:hAnsi="Times New Roman" w:cs="Times New Roman"/>
                <w:b/>
                <w:bCs/>
                <w:i w:val="0"/>
                <w:iCs w:val="0"/>
                <w:color w:val="auto"/>
                <w:kern w:val="0"/>
                <w:sz w:val="20"/>
                <w:szCs w:val="20"/>
                <w:highlight w:val="none"/>
                <w:u w:val="none"/>
                <w:lang w:val="en-US" w:eastAsia="zh-CN" w:bidi="ar"/>
              </w:rPr>
              <w:t>,</w:t>
            </w:r>
            <w:r>
              <w:rPr>
                <w:rFonts w:hint="eastAsia" w:ascii="Times New Roman" w:hAnsi="Times New Roman" w:eastAsia="宋体" w:cs="Times New Roman"/>
                <w:b/>
                <w:bCs/>
                <w:i w:val="0"/>
                <w:iCs w:val="0"/>
                <w:color w:val="auto"/>
                <w:kern w:val="0"/>
                <w:sz w:val="20"/>
                <w:szCs w:val="20"/>
                <w:highlight w:val="none"/>
                <w:u w:val="none"/>
                <w:lang w:val="en-US" w:eastAsia="zh-CN" w:bidi="ar"/>
              </w:rPr>
              <w:t>832.89</w:t>
            </w:r>
            <w:r>
              <w:rPr>
                <w:rFonts w:hint="eastAsia" w:ascii="Times New Roman" w:hAnsi="Times New Roman" w:eastAsia="宋体" w:cs="Times New Roman"/>
                <w:b/>
                <w:bCs/>
                <w:i w:val="0"/>
                <w:iCs w:val="0"/>
                <w:color w:val="auto"/>
                <w:kern w:val="0"/>
                <w:sz w:val="20"/>
                <w:szCs w:val="20"/>
                <w:highlight w:val="none"/>
                <w:u w:val="none"/>
                <w:lang w:val="en-US" w:eastAsia="zh-CN" w:bidi="ar"/>
              </w:rPr>
              <w:fldChar w:fldCharType="end"/>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lang w:val="en-US"/>
              </w:rPr>
            </w:pPr>
            <w:r>
              <w:rPr>
                <w:rFonts w:hint="eastAsia" w:ascii="Times New Roman" w:hAnsi="Times New Roman" w:cs="Times New Roman"/>
                <w:b/>
                <w:bCs/>
                <w:i w:val="0"/>
                <w:iCs w:val="0"/>
                <w:color w:val="auto"/>
                <w:kern w:val="0"/>
                <w:sz w:val="20"/>
                <w:szCs w:val="20"/>
                <w:highlight w:val="none"/>
                <w:u w:val="none"/>
                <w:lang w:val="en-US" w:eastAsia="zh-CN" w:bidi="ar"/>
              </w:rPr>
              <w:t>98.73%</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b/>
                <w:bCs/>
                <w:i w:val="0"/>
                <w:iCs w:val="0"/>
                <w:color w:val="auto"/>
                <w:sz w:val="22"/>
                <w:szCs w:val="22"/>
                <w:highlight w:val="none"/>
                <w:u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firstLine="643" w:firstLineChars="200"/>
        <w:jc w:val="left"/>
        <w:textAlignment w:val="auto"/>
        <w:rPr>
          <w:rFonts w:ascii="Times New Roman" w:hAnsi="Times New Roman" w:eastAsia="仿宋_GB2312"/>
          <w:b/>
          <w:bCs/>
          <w:color w:val="auto"/>
          <w:sz w:val="32"/>
          <w:szCs w:val="32"/>
          <w:highlight w:val="none"/>
        </w:rPr>
      </w:pPr>
      <w:r>
        <w:rPr>
          <w:rFonts w:hint="eastAsia" w:ascii="Times New Roman" w:hAnsi="Times New Roman" w:eastAsia="仿宋_GB2312" w:cs="仿宋_GB2312"/>
          <w:b/>
          <w:bCs/>
          <w:color w:val="auto"/>
          <w:sz w:val="32"/>
          <w:szCs w:val="32"/>
          <w:highlight w:val="none"/>
          <w:lang w:val="en-US" w:eastAsia="zh-CN"/>
        </w:rPr>
        <w:t>3.</w:t>
      </w:r>
      <w:r>
        <w:rPr>
          <w:rFonts w:hint="eastAsia" w:ascii="Times New Roman" w:hAnsi="Times New Roman" w:eastAsia="仿宋_GB2312" w:cs="仿宋_GB2312"/>
          <w:b/>
          <w:bCs/>
          <w:color w:val="auto"/>
          <w:sz w:val="32"/>
          <w:szCs w:val="32"/>
          <w:highlight w:val="none"/>
        </w:rPr>
        <w:t>项目资金管理情况</w:t>
      </w:r>
    </w:p>
    <w:p>
      <w:pPr>
        <w:spacing w:line="240" w:lineRule="auto"/>
        <w:ind w:firstLine="640" w:firstLineChars="200"/>
        <w:rPr>
          <w:rFonts w:hint="default" w:ascii="Times New Roman" w:hAnsi="Times New Roman" w:eastAsia="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为加强和规范财政专项资金管理，提高财政专项资金使用效益，有效发挥财政专项资金的导向和激励作用，</w:t>
      </w:r>
      <w:r>
        <w:rPr>
          <w:rFonts w:hint="eastAsia" w:ascii="Times New Roman" w:hAnsi="Times New Roman" w:eastAsia="仿宋_GB2312" w:cs="仿宋_GB2312"/>
          <w:color w:val="auto"/>
          <w:sz w:val="32"/>
          <w:szCs w:val="32"/>
          <w:highlight w:val="none"/>
          <w:lang w:eastAsia="zh-CN"/>
        </w:rPr>
        <w:t>本局</w:t>
      </w:r>
      <w:r>
        <w:rPr>
          <w:rFonts w:hint="eastAsia" w:ascii="Times New Roman" w:hAnsi="Times New Roman" w:eastAsia="仿宋_GB2312" w:cs="仿宋_GB2312"/>
          <w:color w:val="auto"/>
          <w:sz w:val="32"/>
          <w:szCs w:val="32"/>
          <w:highlight w:val="none"/>
        </w:rPr>
        <w:t>结合单位实际，印发了《长沙市住房和城乡建设局财务管理制度</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长沙市住房和城乡建设局财政专项资金管理办法</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长沙市住房和城乡建设局机关自行采购管理办法</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长沙市住房和城乡建设局局属事业单位财务审计规范建设指南》</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关于进一步规范财经管理严肃财经纪律的通知</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关于调整市住建局财经工作领导小组和议事规则的通知</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以及各专项资金管理办法等相关规定，对项目资金进行管理。根据各专项的特点，市住建局相关业务处室、计审处会同市财政局按规范、公开、透明的原则制定了具体的管理办法或实施细则，明确专项资金的绩效目标、使用范围和对象、管理职责、分配办法、申报条件及审批程序、存续期限和监督评价、责任追究等内容。</w:t>
      </w:r>
      <w:r>
        <w:rPr>
          <w:rFonts w:hint="eastAsia" w:ascii="Times New Roman" w:hAnsi="Times New Roman" w:eastAsia="仿宋_GB2312" w:cs="仿宋_GB2312"/>
          <w:color w:val="auto"/>
          <w:sz w:val="32"/>
          <w:szCs w:val="32"/>
          <w:highlight w:val="none"/>
          <w:lang w:val="en-US" w:eastAsia="zh-CN"/>
        </w:rPr>
        <w:t>在项目实施过程中，各项管理制度基本执行到位。</w:t>
      </w:r>
    </w:p>
    <w:p>
      <w:pPr>
        <w:spacing w:line="240" w:lineRule="auto"/>
        <w:ind w:firstLine="640" w:firstLineChars="200"/>
        <w:jc w:val="left"/>
        <w:rPr>
          <w:rFonts w:ascii="黑体" w:hAnsi="黑体" w:eastAsia="黑体"/>
          <w:color w:val="auto"/>
          <w:sz w:val="32"/>
          <w:szCs w:val="32"/>
          <w:highlight w:val="none"/>
        </w:rPr>
      </w:pPr>
      <w:r>
        <w:rPr>
          <w:rFonts w:hint="eastAsia" w:ascii="黑体" w:hAnsi="黑体" w:eastAsia="黑体" w:cs="黑体"/>
          <w:color w:val="auto"/>
          <w:sz w:val="32"/>
          <w:szCs w:val="32"/>
          <w:highlight w:val="none"/>
        </w:rPr>
        <w:t>三、项目组织实施情况</w:t>
      </w:r>
    </w:p>
    <w:p>
      <w:pPr>
        <w:pStyle w:val="18"/>
        <w:ind w:firstLine="643" w:firstLineChars="200"/>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lang w:val="en-US" w:eastAsia="zh-CN"/>
        </w:rPr>
        <w:t>一）项目组织情况分析</w:t>
      </w:r>
    </w:p>
    <w:p>
      <w:pPr>
        <w:pStyle w:val="18"/>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本局</w:t>
      </w:r>
      <w:r>
        <w:rPr>
          <w:rFonts w:hint="eastAsia" w:ascii="Times New Roman" w:hAnsi="Times New Roman" w:eastAsia="仿宋_GB2312" w:cs="仿宋_GB2312"/>
          <w:color w:val="auto"/>
          <w:sz w:val="32"/>
          <w:szCs w:val="32"/>
          <w:highlight w:val="none"/>
        </w:rPr>
        <w:t>项目组织严密、实施有序。每个专项均根据年度工作要点和上级部门相关要求，由各处室按照职能分工制定工作方案，明确任务内容，专人负责实施，合理安排时间。对于符合政府采购条件的项目，</w:t>
      </w:r>
      <w:r>
        <w:rPr>
          <w:rFonts w:hint="eastAsia" w:ascii="Times New Roman" w:hAnsi="Times New Roman" w:eastAsia="仿宋_GB2312" w:cs="仿宋_GB2312"/>
          <w:color w:val="auto"/>
          <w:sz w:val="32"/>
          <w:szCs w:val="32"/>
          <w:highlight w:val="none"/>
          <w:lang w:eastAsia="zh-CN"/>
        </w:rPr>
        <w:t>本局</w:t>
      </w:r>
      <w:r>
        <w:rPr>
          <w:rFonts w:hint="eastAsia" w:ascii="Times New Roman" w:hAnsi="Times New Roman" w:eastAsia="仿宋_GB2312" w:cs="仿宋_GB2312"/>
          <w:color w:val="auto"/>
          <w:sz w:val="32"/>
          <w:szCs w:val="32"/>
          <w:highlight w:val="none"/>
        </w:rPr>
        <w:t>依实际情况采取公开招标等方式确定项目实施方，并与之签订合同，特殊情况需要对项目进行调整的，采取集体讨论决策方式，通过后对项目进行调整。项目实施过程中，定期对项目实施情况进行跟踪检查，发现问题的，及时进行沟通，要求项目实施方进行整改，项目竣工后，各处室安排专人负责进行项目验收工作，确保项目实施质量。</w:t>
      </w:r>
    </w:p>
    <w:p>
      <w:pPr>
        <w:pStyle w:val="18"/>
        <w:ind w:firstLine="643" w:firstLineChars="200"/>
        <w:rPr>
          <w:rFonts w:hint="eastAsia" w:ascii="Times New Roman" w:hAnsi="Times New Roman" w:eastAsia="仿宋_GB2312" w:cs="仿宋_GB2312"/>
          <w:b/>
          <w:bCs/>
          <w:color w:val="auto"/>
          <w:sz w:val="32"/>
          <w:szCs w:val="32"/>
          <w:highlight w:val="none"/>
          <w:lang w:val="en-US" w:eastAsia="zh-CN"/>
        </w:rPr>
      </w:pPr>
      <w:r>
        <w:rPr>
          <w:rFonts w:hint="eastAsia" w:ascii="Times New Roman" w:hAnsi="Times New Roman" w:eastAsia="仿宋_GB2312" w:cs="仿宋_GB2312"/>
          <w:b/>
          <w:bCs/>
          <w:color w:val="auto"/>
          <w:sz w:val="32"/>
          <w:szCs w:val="32"/>
          <w:highlight w:val="none"/>
          <w:lang w:val="en-US" w:eastAsia="zh-CN"/>
        </w:rPr>
        <w:t>1.部门项目</w:t>
      </w:r>
    </w:p>
    <w:p>
      <w:pPr>
        <w:pStyle w:val="18"/>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行政审批案卷档案整理专项经费。本局行政审批和政务服务处严格遵守《中华人民共和国档案管理法》并采取通过政府购买服务方式，委托专业档案整理机构对将以前年度的纸质档案进行电子化扫描，2021年6月以后实际产生的纸质案卷整理归档、电子化扫描，建设档案查询、借阅功能，根据实际产生的纸质卷，完成电子卷；从而达到行政审批案卷规范化整理归档、高效查询利用的目标。</w:t>
      </w:r>
    </w:p>
    <w:p>
      <w:pPr>
        <w:pStyle w:val="18"/>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（2）法制建设及诉讼费。本局法制处严格遵守《长沙市住房和城乡建设局财务管理制度》《长沙市</w:t>
      </w:r>
      <w:bookmarkStart w:id="5" w:name="_GoBack"/>
      <w:bookmarkEnd w:id="5"/>
      <w:r>
        <w:rPr>
          <w:rFonts w:hint="eastAsia" w:ascii="Times New Roman" w:hAnsi="Times New Roman" w:eastAsia="仿宋_GB2312" w:cs="仿宋_GB2312"/>
          <w:color w:val="auto"/>
          <w:sz w:val="32"/>
          <w:szCs w:val="32"/>
          <w:highlight w:val="none"/>
          <w:lang w:val="en-US" w:eastAsia="zh-CN"/>
        </w:rPr>
        <w:t>住房和城乡建设局自行采购管理办法》等制度，通过聘请法律顾问，统筹局机关法律诉讼事项，解决相关法律问题并且加强执法宣传，提高机关普法意识；2022年已及时、依法办结行政复议案件10件、行政诉讼案件87件。配合人民法院依法受理和审理行政案件，建立行政诉讼工作机制，积极推进行政负责人出庭应诉工作。做好普法宣传，落实“谁执法谁普法”责任制，提高全局依法行政意识。</w:t>
      </w:r>
    </w:p>
    <w:p>
      <w:pPr>
        <w:pStyle w:val="18"/>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3）60年代精减下放人员救济费。本局离退处严格按照《关于进一步做好六十年代精减退职老职工生活救济工作的通知》（湘民救发〔2007〕1号）文件要求，每半年组织发放一次60年代下放人员救济费及抚恤金，2022年已全部发放到位。</w:t>
      </w:r>
    </w:p>
    <w:p>
      <w:pPr>
        <w:pStyle w:val="18"/>
        <w:numPr>
          <w:ilvl w:val="0"/>
          <w:numId w:val="0"/>
        </w:numPr>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4）建设领域行业监管检查工作经费。本局相关处室严格遵守《长沙市市直机关培训费管理办法》《长沙市住房和城乡建设局财务管理制度》等管理制度，保障本局财务内控、审计、绩效评价等监督检查及相关综合性工作顺利开展；局系统全年业务及党建培训如期进行；施工图审查质量监督检查及住建行业监管及物业小区引领工作有序开展。</w:t>
      </w:r>
    </w:p>
    <w:p>
      <w:pPr>
        <w:pStyle w:val="18"/>
        <w:numPr>
          <w:ilvl w:val="0"/>
          <w:numId w:val="0"/>
        </w:numPr>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（5）</w:t>
      </w:r>
      <w:r>
        <w:rPr>
          <w:rFonts w:hint="default" w:ascii="Times New Roman" w:hAnsi="Times New Roman" w:eastAsia="仿宋_GB2312" w:cs="仿宋_GB2312"/>
          <w:color w:val="auto"/>
          <w:sz w:val="32"/>
          <w:szCs w:val="32"/>
          <w:highlight w:val="none"/>
          <w:lang w:val="en-US" w:eastAsia="zh-CN"/>
        </w:rPr>
        <w:t>处理私房改造遗留问题工作经费</w:t>
      </w:r>
      <w:r>
        <w:rPr>
          <w:rFonts w:hint="eastAsia" w:ascii="Times New Roman" w:hAnsi="Times New Roman" w:eastAsia="仿宋_GB2312" w:cs="仿宋_GB2312"/>
          <w:color w:val="auto"/>
          <w:sz w:val="32"/>
          <w:szCs w:val="32"/>
          <w:highlight w:val="none"/>
          <w:lang w:val="en-US" w:eastAsia="zh-CN"/>
        </w:rPr>
        <w:t>。本局压实责任，强化机制，一户一户地认真梳理，研究举措，抓好落实，从而保障了2022年度私改遗办日常工作运转正常并妥善做好信访维稳工作，处理出租私房社会主义改造遗留问题工作，做好外出办案调查、纠纷协调处理、稳控化解上访问题及安置房屋管理维修等工作。</w:t>
      </w:r>
    </w:p>
    <w:p>
      <w:pPr>
        <w:pStyle w:val="18"/>
        <w:numPr>
          <w:ilvl w:val="0"/>
          <w:numId w:val="0"/>
        </w:numPr>
        <w:ind w:firstLine="640" w:firstLineChars="200"/>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（6）</w:t>
      </w:r>
      <w:r>
        <w:rPr>
          <w:rFonts w:hint="default" w:ascii="Times New Roman" w:hAnsi="Times New Roman" w:eastAsia="仿宋_GB2312" w:cs="仿宋_GB2312"/>
          <w:color w:val="auto"/>
          <w:sz w:val="32"/>
          <w:szCs w:val="32"/>
          <w:highlight w:val="none"/>
          <w:lang w:val="en-US" w:eastAsia="zh-CN"/>
        </w:rPr>
        <w:t>住房和城乡建设专项经费</w:t>
      </w:r>
      <w:r>
        <w:rPr>
          <w:rFonts w:hint="eastAsia" w:ascii="Times New Roman" w:hAnsi="Times New Roman" w:eastAsia="仿宋_GB2312" w:cs="仿宋_GB2312"/>
          <w:color w:val="auto"/>
          <w:sz w:val="32"/>
          <w:szCs w:val="32"/>
          <w:highlight w:val="none"/>
          <w:lang w:val="en-US" w:eastAsia="zh-CN"/>
        </w:rPr>
        <w:t>。本局房地产市场监管处、建筑节能与科技处、办公室、行政审批处、机关党委等部门严格遵守《长沙市建设科技项目管理办法》《机关公务车管理办法》等规定，完成了房地产市场监测及预警预报、长效机制评估，开展了若干重点课题研究，保障了综治维稳、信访安保等维稳工作。2022年度开展并完成了14家建筑业企业资质评审工作，保障日常运转的办公设备的购置支出，保障了日常运行中公务车调度使用到位及本局管理的各行业、各部门需要开展的一些综合性工作的开展。</w:t>
      </w:r>
    </w:p>
    <w:p>
      <w:pPr>
        <w:pStyle w:val="18"/>
        <w:numPr>
          <w:ilvl w:val="0"/>
          <w:numId w:val="0"/>
        </w:numPr>
        <w:ind w:firstLine="640" w:firstLineChars="200"/>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（7）</w:t>
      </w:r>
      <w:r>
        <w:rPr>
          <w:rFonts w:hint="default" w:ascii="Times New Roman" w:hAnsi="Times New Roman" w:eastAsia="仿宋_GB2312" w:cs="仿宋_GB2312"/>
          <w:color w:val="auto"/>
          <w:sz w:val="32"/>
          <w:szCs w:val="32"/>
          <w:highlight w:val="none"/>
          <w:lang w:val="en-US" w:eastAsia="zh-CN"/>
        </w:rPr>
        <w:t>建设工程消防设计审查服务经费</w:t>
      </w:r>
      <w:r>
        <w:rPr>
          <w:rFonts w:hint="eastAsia" w:ascii="Times New Roman" w:hAnsi="Times New Roman" w:eastAsia="仿宋_GB2312" w:cs="仿宋_GB2312"/>
          <w:color w:val="auto"/>
          <w:sz w:val="32"/>
          <w:szCs w:val="32"/>
          <w:highlight w:val="none"/>
          <w:lang w:val="en-US" w:eastAsia="zh-CN"/>
        </w:rPr>
        <w:t>。本局设计处对消防设计工作进行审查，提出意见，从而提高消防设计质量；并根据安排完成2022年度内消防审查、消防验收、备案和抽查等消防审查审批事项。</w:t>
      </w:r>
    </w:p>
    <w:p>
      <w:pPr>
        <w:pStyle w:val="18"/>
        <w:numPr>
          <w:ilvl w:val="0"/>
          <w:numId w:val="0"/>
        </w:numPr>
        <w:ind w:firstLine="640" w:firstLineChars="200"/>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（8）</w:t>
      </w:r>
      <w:r>
        <w:rPr>
          <w:rFonts w:hint="default" w:ascii="Times New Roman" w:hAnsi="Times New Roman" w:eastAsia="仿宋_GB2312" w:cs="仿宋_GB2312"/>
          <w:color w:val="auto"/>
          <w:sz w:val="32"/>
          <w:szCs w:val="32"/>
          <w:highlight w:val="none"/>
          <w:lang w:val="en-US" w:eastAsia="zh-CN"/>
        </w:rPr>
        <w:t>住建局系统信息化运行维护</w:t>
      </w:r>
      <w:r>
        <w:rPr>
          <w:rFonts w:hint="eastAsia" w:ascii="Times New Roman" w:hAnsi="Times New Roman" w:eastAsia="仿宋_GB2312" w:cs="仿宋_GB2312"/>
          <w:color w:val="auto"/>
          <w:sz w:val="32"/>
          <w:szCs w:val="32"/>
          <w:highlight w:val="none"/>
          <w:lang w:val="en-US" w:eastAsia="zh-CN"/>
        </w:rPr>
        <w:t>。本局信息处依据相关信息化管理制度，并通过政府采购、自行采购及购买服务的方式签订服务合同，从而保障2022年局机关及局系统信息化设备、网络、业务系统等正常运行。</w:t>
      </w:r>
    </w:p>
    <w:p>
      <w:pPr>
        <w:pStyle w:val="18"/>
        <w:numPr>
          <w:ilvl w:val="0"/>
          <w:numId w:val="0"/>
        </w:numPr>
        <w:ind w:firstLine="640" w:firstLineChars="200"/>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（9）</w:t>
      </w:r>
      <w:r>
        <w:rPr>
          <w:rFonts w:hint="default" w:ascii="Times New Roman" w:hAnsi="Times New Roman" w:eastAsia="仿宋_GB2312" w:cs="仿宋_GB2312"/>
          <w:color w:val="auto"/>
          <w:sz w:val="32"/>
          <w:szCs w:val="32"/>
          <w:highlight w:val="none"/>
          <w:lang w:val="en-US" w:eastAsia="zh-CN"/>
        </w:rPr>
        <w:t>宣传专项经费</w:t>
      </w:r>
      <w:r>
        <w:rPr>
          <w:rFonts w:hint="eastAsia" w:ascii="Times New Roman" w:hAnsi="Times New Roman" w:eastAsia="仿宋_GB2312" w:cs="仿宋_GB2312"/>
          <w:color w:val="auto"/>
          <w:sz w:val="32"/>
          <w:szCs w:val="32"/>
          <w:highlight w:val="none"/>
          <w:lang w:val="en-US" w:eastAsia="zh-CN"/>
        </w:rPr>
        <w:t>。本局宣教处严格以刊播次数为准进行管理，并与长沙晚报和长沙新闻频道达成宣传报道合作协议，进行宣传报道，从而达到强化政务公开、提升政府形象的目标，保障2022年住建部门宣传工作开展。</w:t>
      </w:r>
    </w:p>
    <w:p>
      <w:pPr>
        <w:pStyle w:val="18"/>
        <w:numPr>
          <w:ilvl w:val="0"/>
          <w:numId w:val="0"/>
        </w:numPr>
        <w:ind w:firstLine="640" w:firstLineChars="200"/>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（10）</w:t>
      </w:r>
      <w:r>
        <w:rPr>
          <w:rFonts w:hint="default" w:ascii="Times New Roman" w:hAnsi="Times New Roman" w:eastAsia="仿宋_GB2312" w:cs="仿宋_GB2312"/>
          <w:color w:val="auto"/>
          <w:sz w:val="32"/>
          <w:szCs w:val="32"/>
          <w:highlight w:val="none"/>
          <w:lang w:val="en-US" w:eastAsia="zh-CN"/>
        </w:rPr>
        <w:t>住房保障工作经费</w:t>
      </w:r>
      <w:r>
        <w:rPr>
          <w:rFonts w:hint="eastAsia" w:ascii="Times New Roman" w:hAnsi="Times New Roman" w:eastAsia="仿宋_GB2312" w:cs="仿宋_GB2312"/>
          <w:color w:val="auto"/>
          <w:sz w:val="32"/>
          <w:szCs w:val="32"/>
          <w:highlight w:val="none"/>
          <w:lang w:val="en-US" w:eastAsia="zh-CN"/>
        </w:rPr>
        <w:t>。本局住房保障规划项目处、指导处严格按照年度工作计划及工作铺排进行，保证了与住房保障工作相关的档案整理、扫描管理、会议、培训、监督检查、调研宣传、资料印刷、设备购置等工作的顺利开展。</w:t>
      </w:r>
    </w:p>
    <w:p>
      <w:pPr>
        <w:pStyle w:val="18"/>
        <w:numPr>
          <w:ilvl w:val="0"/>
          <w:numId w:val="0"/>
        </w:numPr>
        <w:ind w:firstLine="640" w:firstLineChars="200"/>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（11）</w:t>
      </w:r>
      <w:r>
        <w:rPr>
          <w:rFonts w:hint="default" w:ascii="Times New Roman" w:hAnsi="Times New Roman" w:eastAsia="仿宋_GB2312" w:cs="仿宋_GB2312"/>
          <w:color w:val="auto"/>
          <w:sz w:val="32"/>
          <w:szCs w:val="32"/>
          <w:highlight w:val="none"/>
          <w:lang w:val="en-US" w:eastAsia="zh-CN"/>
        </w:rPr>
        <w:t>污水行业监管经费</w:t>
      </w:r>
      <w:r>
        <w:rPr>
          <w:rFonts w:hint="eastAsia" w:ascii="Times New Roman" w:hAnsi="Times New Roman" w:eastAsia="仿宋_GB2312" w:cs="仿宋_GB2312"/>
          <w:color w:val="auto"/>
          <w:sz w:val="32"/>
          <w:szCs w:val="32"/>
          <w:highlight w:val="none"/>
          <w:lang w:val="en-US" w:eastAsia="zh-CN"/>
        </w:rPr>
        <w:t>。本局排水处严格遵守《城镇污水处理工作考核暂行办法》《城镇污水处理厂污染物排放标准》《特许经营合同》等制度及相关规定，对污水处理厂的正常运行进行管理，加强技术指导，定期委托省质量技术监督局对各污水处理厂的尾水流量进行校核，每月定期对污水处理厂出水流量计、每年对污泥分散项目地磅进行校核，校核结果均在允许偏差内。</w:t>
      </w:r>
    </w:p>
    <w:p>
      <w:pPr>
        <w:pStyle w:val="18"/>
        <w:numPr>
          <w:ilvl w:val="0"/>
          <w:numId w:val="0"/>
        </w:numPr>
        <w:ind w:firstLine="640" w:firstLineChars="200"/>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（12）</w:t>
      </w:r>
      <w:r>
        <w:rPr>
          <w:rFonts w:hint="default" w:ascii="Times New Roman" w:hAnsi="Times New Roman" w:eastAsia="仿宋_GB2312" w:cs="仿宋_GB2312"/>
          <w:color w:val="auto"/>
          <w:sz w:val="32"/>
          <w:szCs w:val="32"/>
          <w:highlight w:val="none"/>
          <w:lang w:val="en-US" w:eastAsia="zh-CN"/>
        </w:rPr>
        <w:t>派驻纪检监察组日常办公经费</w:t>
      </w:r>
      <w:r>
        <w:rPr>
          <w:rFonts w:hint="eastAsia" w:ascii="Times New Roman" w:hAnsi="Times New Roman" w:eastAsia="仿宋_GB2312" w:cs="仿宋_GB2312"/>
          <w:color w:val="auto"/>
          <w:sz w:val="32"/>
          <w:szCs w:val="32"/>
          <w:highlight w:val="none"/>
          <w:lang w:val="en-US" w:eastAsia="zh-CN"/>
        </w:rPr>
        <w:t>。本局依据相关规定使用，保障了派驻纪检组工作的正常开展。</w:t>
      </w:r>
    </w:p>
    <w:p>
      <w:pPr>
        <w:pStyle w:val="18"/>
        <w:numPr>
          <w:ilvl w:val="0"/>
          <w:numId w:val="0"/>
        </w:numPr>
        <w:ind w:firstLine="640" w:firstLineChars="200"/>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（13）</w:t>
      </w:r>
      <w:r>
        <w:rPr>
          <w:rFonts w:hint="default" w:ascii="Times New Roman" w:hAnsi="Times New Roman" w:eastAsia="仿宋_GB2312" w:cs="仿宋_GB2312"/>
          <w:color w:val="auto"/>
          <w:sz w:val="32"/>
          <w:szCs w:val="32"/>
          <w:highlight w:val="none"/>
          <w:lang w:val="en-US" w:eastAsia="zh-CN"/>
        </w:rPr>
        <w:t>供水行业监管经费</w:t>
      </w:r>
      <w:r>
        <w:rPr>
          <w:rFonts w:hint="eastAsia" w:ascii="Times New Roman" w:hAnsi="Times New Roman" w:eastAsia="仿宋_GB2312" w:cs="仿宋_GB2312"/>
          <w:color w:val="auto"/>
          <w:sz w:val="32"/>
          <w:szCs w:val="32"/>
          <w:highlight w:val="none"/>
          <w:lang w:val="en-US" w:eastAsia="zh-CN"/>
        </w:rPr>
        <w:t>。本局供水处按照《长沙市城市节约用水宣传周活动实施方案》，贯彻落实习近平总书记“节水优先、空间均衡、系统治理、两手发力”理念，切实把节约用水工作作为建设资源节约型和环境友好型社会的一项重要任务，推进长沙市创建国家节水型城市工作；2022年5月15日—21日，组织开展了长沙市城市节约用水宣传周系列活动，提升了全民的节水意识，营造了全民节水、惜水、亲水的良好氛围；拨付了“长沙市城镇供水监管系统”建设经费尾款3.13万元，目前系统运行良好，有力提升了行业监管信息化、智慧化水平，加快推进我市城市节约用水工作，增强全民节水意识，切实提高水资源利用率。</w:t>
      </w:r>
    </w:p>
    <w:p>
      <w:pPr>
        <w:pStyle w:val="18"/>
        <w:numPr>
          <w:ilvl w:val="0"/>
          <w:numId w:val="0"/>
        </w:numPr>
        <w:ind w:firstLine="640" w:firstLineChars="200"/>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（14）</w:t>
      </w:r>
      <w:r>
        <w:rPr>
          <w:rFonts w:hint="default" w:ascii="Times New Roman" w:hAnsi="Times New Roman" w:eastAsia="仿宋_GB2312" w:cs="仿宋_GB2312"/>
          <w:color w:val="auto"/>
          <w:sz w:val="32"/>
          <w:szCs w:val="32"/>
          <w:highlight w:val="none"/>
          <w:lang w:val="en-US" w:eastAsia="zh-CN"/>
        </w:rPr>
        <w:t>市直机关干部子女统筹医疗费</w:t>
      </w:r>
      <w:r>
        <w:rPr>
          <w:rFonts w:hint="eastAsia" w:ascii="Times New Roman" w:hAnsi="Times New Roman" w:eastAsia="仿宋_GB2312" w:cs="仿宋_GB2312"/>
          <w:color w:val="auto"/>
          <w:sz w:val="32"/>
          <w:szCs w:val="32"/>
          <w:highlight w:val="none"/>
          <w:lang w:val="en-US" w:eastAsia="zh-CN"/>
        </w:rPr>
        <w:t>。本局组织人事处严格按照政策文件，完成对市直机关干部子女统筹医疗费的报销。</w:t>
      </w:r>
    </w:p>
    <w:p>
      <w:pPr>
        <w:pStyle w:val="18"/>
        <w:numPr>
          <w:ilvl w:val="0"/>
          <w:numId w:val="0"/>
        </w:numPr>
        <w:ind w:firstLine="640" w:firstLineChars="200"/>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（15）</w:t>
      </w:r>
      <w:r>
        <w:rPr>
          <w:rFonts w:hint="default" w:ascii="Times New Roman" w:hAnsi="Times New Roman" w:eastAsia="仿宋_GB2312" w:cs="仿宋_GB2312"/>
          <w:color w:val="auto"/>
          <w:sz w:val="32"/>
          <w:szCs w:val="32"/>
          <w:highlight w:val="none"/>
          <w:lang w:val="en-US" w:eastAsia="zh-CN"/>
        </w:rPr>
        <w:t>抚恤金及丧葬费</w:t>
      </w:r>
      <w:r>
        <w:rPr>
          <w:rFonts w:hint="eastAsia" w:ascii="Times New Roman" w:hAnsi="Times New Roman" w:eastAsia="仿宋_GB2312" w:cs="仿宋_GB2312"/>
          <w:color w:val="auto"/>
          <w:sz w:val="32"/>
          <w:szCs w:val="32"/>
          <w:highlight w:val="none"/>
          <w:lang w:val="en-US" w:eastAsia="zh-CN"/>
        </w:rPr>
        <w:t>。本局组织人事处根据相关标准足额、按时发放抚恤金及丧葬费；2022年向去世干部家属发放抚恤金及丧葬费的工作均已完成。</w:t>
      </w:r>
    </w:p>
    <w:p>
      <w:pPr>
        <w:pStyle w:val="18"/>
        <w:numPr>
          <w:ilvl w:val="0"/>
          <w:numId w:val="0"/>
        </w:numPr>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（16）</w:t>
      </w:r>
      <w:r>
        <w:rPr>
          <w:rFonts w:hint="default" w:ascii="Times New Roman" w:hAnsi="Times New Roman" w:eastAsia="仿宋_GB2312" w:cs="仿宋_GB2312"/>
          <w:color w:val="auto"/>
          <w:sz w:val="32"/>
          <w:szCs w:val="32"/>
          <w:highlight w:val="none"/>
          <w:lang w:val="en-US" w:eastAsia="zh-CN"/>
        </w:rPr>
        <w:t>企业军转干部解困资金</w:t>
      </w:r>
      <w:r>
        <w:rPr>
          <w:rFonts w:hint="eastAsia" w:ascii="Times New Roman" w:hAnsi="Times New Roman" w:eastAsia="仿宋_GB2312" w:cs="仿宋_GB2312"/>
          <w:color w:val="auto"/>
          <w:sz w:val="32"/>
          <w:szCs w:val="32"/>
          <w:highlight w:val="none"/>
          <w:lang w:val="en-US" w:eastAsia="zh-CN"/>
        </w:rPr>
        <w:t>。本局组织人事处根据相关文件要求，2022年底前完成对企业军转干部解困资金的发放，保障军转干部的生活质量，维护社会稳定。</w:t>
      </w:r>
    </w:p>
    <w:p>
      <w:pPr>
        <w:pStyle w:val="18"/>
        <w:numPr>
          <w:ilvl w:val="0"/>
          <w:numId w:val="0"/>
        </w:numPr>
        <w:ind w:firstLine="640" w:firstLineChars="200"/>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（17）</w:t>
      </w:r>
      <w:r>
        <w:rPr>
          <w:rFonts w:hint="default" w:ascii="Times New Roman" w:hAnsi="Times New Roman" w:eastAsia="仿宋_GB2312" w:cs="仿宋_GB2312"/>
          <w:color w:val="auto"/>
          <w:sz w:val="32"/>
          <w:szCs w:val="32"/>
          <w:highlight w:val="none"/>
          <w:lang w:val="en-US" w:eastAsia="zh-CN"/>
        </w:rPr>
        <w:t>2022年特困企业离休干部统筹外经费</w:t>
      </w:r>
      <w:r>
        <w:rPr>
          <w:rFonts w:hint="eastAsia" w:ascii="Times New Roman" w:hAnsi="Times New Roman" w:eastAsia="仿宋_GB2312" w:cs="仿宋_GB2312"/>
          <w:color w:val="auto"/>
          <w:sz w:val="32"/>
          <w:szCs w:val="32"/>
          <w:highlight w:val="none"/>
          <w:lang w:val="en-US" w:eastAsia="zh-CN"/>
        </w:rPr>
        <w:t>。本局离退处按照标准发放2022年特困企业离休干部统筹外经费，进而改善企业离休人员生活，促进消费。</w:t>
      </w:r>
    </w:p>
    <w:p>
      <w:pPr>
        <w:pStyle w:val="18"/>
        <w:numPr>
          <w:ilvl w:val="0"/>
          <w:numId w:val="0"/>
        </w:numPr>
        <w:ind w:firstLine="640" w:firstLineChars="200"/>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（18）</w:t>
      </w:r>
      <w:r>
        <w:rPr>
          <w:rFonts w:hint="default" w:ascii="Times New Roman" w:hAnsi="Times New Roman" w:eastAsia="仿宋_GB2312" w:cs="仿宋_GB2312"/>
          <w:color w:val="auto"/>
          <w:sz w:val="32"/>
          <w:szCs w:val="32"/>
          <w:highlight w:val="none"/>
          <w:lang w:val="en-US" w:eastAsia="zh-CN"/>
        </w:rPr>
        <w:t>元旦、重阳、春节等离退休干部慰问经费</w:t>
      </w:r>
      <w:r>
        <w:rPr>
          <w:rFonts w:hint="eastAsia" w:ascii="Times New Roman" w:hAnsi="Times New Roman" w:eastAsia="仿宋_GB2312" w:cs="仿宋_GB2312"/>
          <w:color w:val="auto"/>
          <w:sz w:val="32"/>
          <w:szCs w:val="32"/>
          <w:highlight w:val="none"/>
          <w:lang w:val="en-US" w:eastAsia="zh-CN"/>
        </w:rPr>
        <w:t>。本局离退处对离退休人员节日、生日等进行慰问，2022年度慰问经费100%发放到位。</w:t>
      </w:r>
    </w:p>
    <w:p>
      <w:pPr>
        <w:pStyle w:val="18"/>
        <w:numPr>
          <w:ilvl w:val="0"/>
          <w:numId w:val="0"/>
        </w:numPr>
        <w:ind w:firstLine="640" w:firstLineChars="200"/>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（19）</w:t>
      </w:r>
      <w:r>
        <w:rPr>
          <w:rFonts w:hint="default" w:ascii="Times New Roman" w:hAnsi="Times New Roman" w:eastAsia="仿宋_GB2312" w:cs="仿宋_GB2312"/>
          <w:color w:val="auto"/>
          <w:sz w:val="32"/>
          <w:szCs w:val="32"/>
          <w:highlight w:val="none"/>
          <w:lang w:val="en-US" w:eastAsia="zh-CN"/>
        </w:rPr>
        <w:t>烈士纪念日活动经费</w:t>
      </w:r>
      <w:r>
        <w:rPr>
          <w:rFonts w:hint="eastAsia" w:ascii="Times New Roman" w:hAnsi="Times New Roman" w:eastAsia="仿宋_GB2312" w:cs="仿宋_GB2312"/>
          <w:color w:val="auto"/>
          <w:sz w:val="32"/>
          <w:szCs w:val="32"/>
          <w:highlight w:val="none"/>
          <w:lang w:val="en-US" w:eastAsia="zh-CN"/>
        </w:rPr>
        <w:t>。本局质安处按时完成“烈士纪念日”主席台搭建及安全检测工作，确保湖南省暨长沙市烈士纪念日向英雄烈士敬献花篮仪式顺利进行。</w:t>
      </w:r>
    </w:p>
    <w:p>
      <w:pPr>
        <w:pStyle w:val="18"/>
        <w:numPr>
          <w:ilvl w:val="0"/>
          <w:numId w:val="0"/>
        </w:numPr>
        <w:ind w:firstLine="640" w:firstLineChars="200"/>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（20）</w:t>
      </w:r>
      <w:r>
        <w:rPr>
          <w:rFonts w:hint="default" w:ascii="Times New Roman" w:hAnsi="Times New Roman" w:eastAsia="仿宋_GB2312" w:cs="仿宋_GB2312"/>
          <w:color w:val="auto"/>
          <w:sz w:val="32"/>
          <w:szCs w:val="32"/>
          <w:highlight w:val="none"/>
          <w:lang w:val="en-US" w:eastAsia="zh-CN"/>
        </w:rPr>
        <w:t>2022年长沙市自建房指挥部工作经费</w:t>
      </w:r>
      <w:r>
        <w:rPr>
          <w:rFonts w:hint="eastAsia" w:ascii="Times New Roman" w:hAnsi="Times New Roman" w:eastAsia="仿宋_GB2312" w:cs="仿宋_GB2312"/>
          <w:color w:val="auto"/>
          <w:sz w:val="32"/>
          <w:szCs w:val="32"/>
          <w:highlight w:val="none"/>
          <w:lang w:val="en-US" w:eastAsia="zh-CN"/>
        </w:rPr>
        <w:t>。本局相关处室按照省市有关规定进行自建房安全隐患排查，通过业务培训、交叉检查、数据核查等措施排查市自建房结构性安全隐患，及时整治，保障居民住房安全，减少经济损失。</w:t>
      </w:r>
    </w:p>
    <w:p>
      <w:pPr>
        <w:pStyle w:val="18"/>
        <w:numPr>
          <w:ilvl w:val="0"/>
          <w:numId w:val="0"/>
        </w:numPr>
        <w:ind w:firstLine="640" w:firstLineChars="200"/>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（21）</w:t>
      </w:r>
      <w:r>
        <w:rPr>
          <w:rFonts w:hint="default" w:ascii="Times New Roman" w:hAnsi="Times New Roman" w:eastAsia="仿宋_GB2312" w:cs="仿宋_GB2312"/>
          <w:color w:val="auto"/>
          <w:sz w:val="32"/>
          <w:szCs w:val="32"/>
          <w:highlight w:val="none"/>
          <w:lang w:val="en-US" w:eastAsia="zh-CN"/>
        </w:rPr>
        <w:t>岳麓大道快速化改造总体方案课题研究、</w:t>
      </w:r>
      <w:r>
        <w:rPr>
          <w:rFonts w:hint="eastAsia" w:ascii="Times New Roman" w:hAnsi="Times New Roman" w:eastAsia="仿宋_GB2312" w:cs="仿宋_GB2312"/>
          <w:color w:val="auto"/>
          <w:sz w:val="32"/>
          <w:szCs w:val="32"/>
          <w:highlight w:val="none"/>
          <w:lang w:val="en-US" w:eastAsia="zh-CN"/>
        </w:rPr>
        <w:t>“</w:t>
      </w:r>
      <w:r>
        <w:rPr>
          <w:rFonts w:hint="default" w:ascii="Times New Roman" w:hAnsi="Times New Roman" w:eastAsia="仿宋_GB2312" w:cs="仿宋_GB2312"/>
          <w:color w:val="auto"/>
          <w:sz w:val="32"/>
          <w:szCs w:val="32"/>
          <w:highlight w:val="none"/>
          <w:lang w:val="en-US" w:eastAsia="zh-CN"/>
        </w:rPr>
        <w:t>十四五</w:t>
      </w:r>
      <w:r>
        <w:rPr>
          <w:rFonts w:hint="eastAsia" w:ascii="Times New Roman" w:hAnsi="Times New Roman" w:eastAsia="仿宋_GB2312" w:cs="仿宋_GB2312"/>
          <w:color w:val="auto"/>
          <w:sz w:val="32"/>
          <w:szCs w:val="32"/>
          <w:highlight w:val="none"/>
          <w:lang w:val="en-US" w:eastAsia="zh-CN"/>
        </w:rPr>
        <w:t>”</w:t>
      </w:r>
      <w:r>
        <w:rPr>
          <w:rFonts w:hint="default" w:ascii="Times New Roman" w:hAnsi="Times New Roman" w:eastAsia="仿宋_GB2312" w:cs="仿宋_GB2312"/>
          <w:color w:val="auto"/>
          <w:sz w:val="32"/>
          <w:szCs w:val="32"/>
          <w:highlight w:val="none"/>
          <w:lang w:val="en-US" w:eastAsia="zh-CN"/>
        </w:rPr>
        <w:t>骨干路网建设计划课题研究</w:t>
      </w:r>
      <w:r>
        <w:rPr>
          <w:rFonts w:hint="eastAsia" w:ascii="Times New Roman" w:hAnsi="Times New Roman" w:eastAsia="仿宋_GB2312" w:cs="仿宋_GB2312"/>
          <w:color w:val="auto"/>
          <w:sz w:val="32"/>
          <w:szCs w:val="32"/>
          <w:highlight w:val="none"/>
          <w:lang w:val="en-US" w:eastAsia="zh-CN"/>
        </w:rPr>
        <w:t>经费。本局总工室按程序开展招标采购、按要求开展专家评审，经验收课题研究达到计划要求；已提交研究成果并将研究成果纳入年度计划，推动实施，建成后可有效改善城市交通条件。</w:t>
      </w:r>
    </w:p>
    <w:p>
      <w:pPr>
        <w:pStyle w:val="18"/>
        <w:numPr>
          <w:ilvl w:val="0"/>
          <w:numId w:val="0"/>
        </w:numPr>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（22）</w:t>
      </w:r>
      <w:r>
        <w:rPr>
          <w:rFonts w:hint="default" w:ascii="Times New Roman" w:hAnsi="Times New Roman" w:eastAsia="仿宋_GB2312" w:cs="仿宋_GB2312"/>
          <w:color w:val="auto"/>
          <w:sz w:val="32"/>
          <w:szCs w:val="32"/>
          <w:highlight w:val="none"/>
          <w:lang w:val="en-US" w:eastAsia="zh-CN"/>
        </w:rPr>
        <w:t>地下管线综合信息管理平台（一期</w:t>
      </w:r>
      <w:r>
        <w:rPr>
          <w:rFonts w:hint="eastAsia" w:ascii="Times New Roman" w:hAnsi="Times New Roman" w:eastAsia="仿宋_GB2312" w:cs="仿宋_GB2312"/>
          <w:color w:val="auto"/>
          <w:sz w:val="32"/>
          <w:szCs w:val="32"/>
          <w:highlight w:val="none"/>
          <w:lang w:val="en-US" w:eastAsia="zh-CN"/>
        </w:rPr>
        <w:t>）。本局管线处按照相关要求通过政府采购确定了长沙市</w:t>
      </w:r>
      <w:r>
        <w:rPr>
          <w:rFonts w:hint="default" w:ascii="Times New Roman" w:hAnsi="Times New Roman" w:eastAsia="仿宋_GB2312" w:cs="仿宋_GB2312"/>
          <w:color w:val="auto"/>
          <w:sz w:val="32"/>
          <w:szCs w:val="32"/>
          <w:highlight w:val="none"/>
          <w:lang w:val="en-US" w:eastAsia="zh-CN"/>
        </w:rPr>
        <w:t>地下管线综合信息管理平台（一期</w:t>
      </w:r>
      <w:r>
        <w:rPr>
          <w:rFonts w:hint="eastAsia" w:ascii="Times New Roman" w:hAnsi="Times New Roman" w:eastAsia="仿宋_GB2312" w:cs="仿宋_GB2312"/>
          <w:color w:val="auto"/>
          <w:sz w:val="32"/>
          <w:szCs w:val="32"/>
          <w:highlight w:val="none"/>
          <w:lang w:val="en-US" w:eastAsia="zh-CN"/>
        </w:rPr>
        <w:t>）项目由湖南大麓科技有限公司负责承建，2022年度完成了管线年度计划填报工作、功能优化升级及遗留问题整改，并完成了项目初步验收。</w:t>
      </w:r>
    </w:p>
    <w:p>
      <w:pPr>
        <w:pStyle w:val="18"/>
        <w:numPr>
          <w:ilvl w:val="0"/>
          <w:numId w:val="0"/>
        </w:numPr>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（23）在建工地视频监控和扬尘在线监测服务费。本局信息处按计划要求，完成了在建工地视频监控和扬尘在线监测服务，助力文明创建。</w:t>
      </w:r>
    </w:p>
    <w:p>
      <w:pPr>
        <w:pStyle w:val="18"/>
        <w:numPr>
          <w:ilvl w:val="0"/>
          <w:numId w:val="0"/>
        </w:numPr>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（24）第二批信创产品专项经费。本局信息处、办公室按照市委市政府有关规定完成第二批信创产品的采购和使用，完成信创设备替换，保障办公运行相关工作。</w:t>
      </w:r>
    </w:p>
    <w:p>
      <w:pPr>
        <w:pStyle w:val="18"/>
        <w:numPr>
          <w:ilvl w:val="0"/>
          <w:numId w:val="0"/>
        </w:numPr>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（25）2016年后新上线信息化系统运行维护经费。本局信息处组织实施的长沙市住建行业诚信一体化监管系统软件，通过了市数据局验收，</w:t>
      </w:r>
      <w:r>
        <w:rPr>
          <w:rFonts w:hint="eastAsia" w:ascii="Times New Roman" w:hAnsi="Times New Roman" w:eastAsia="仿宋_GB2312" w:cs="仿宋_GB2312"/>
          <w:color w:val="auto"/>
          <w:sz w:val="32"/>
          <w:szCs w:val="32"/>
          <w:highlight w:val="none"/>
        </w:rPr>
        <w:t>推进住建一体化诚信平台加强信用平台数据收集，</w:t>
      </w:r>
      <w:r>
        <w:rPr>
          <w:rFonts w:hint="eastAsia" w:ascii="Times New Roman" w:hAnsi="Times New Roman" w:eastAsia="仿宋_GB2312" w:cs="仿宋_GB2312"/>
          <w:color w:val="auto"/>
          <w:sz w:val="32"/>
          <w:szCs w:val="32"/>
          <w:highlight w:val="none"/>
          <w:lang w:val="en-US" w:eastAsia="zh-CN"/>
        </w:rPr>
        <w:t>建立了以物业企业自行填报，小区党组织、区县、市级可以动态评价的工作系统。</w:t>
      </w:r>
    </w:p>
    <w:p>
      <w:pPr>
        <w:pStyle w:val="18"/>
        <w:numPr>
          <w:ilvl w:val="0"/>
          <w:numId w:val="0"/>
        </w:numPr>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（26）2021年度湖南省土建工程专业初中级职称考试考务费。本局宣传教育处对当年度所有报名且通过资格审核的24574名考生完成土建工程专业初中级职称组考，对合格人员核发工程师职称证书。</w:t>
      </w:r>
    </w:p>
    <w:p>
      <w:pPr>
        <w:pStyle w:val="18"/>
        <w:numPr>
          <w:ilvl w:val="0"/>
          <w:numId w:val="0"/>
        </w:numPr>
        <w:ind w:firstLine="640" w:firstLineChars="200"/>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27）督查激励等奖励资金，包括2021年度督查激励奖励资金、2021年度城市管理工作考核奖励经费、2021年度安全生产和消防工作考核奖励经费及信访工作考核奖励专项。本项目资金主要用于弥补日常运行经费，2022年度本局使用该项资金完成了优化工程报建手续宣传片制作1项，采购视频会议系统设备1套，保证局办公、信息发布、监控、视频会议系统、工程造价管理系统、职工住房补贴业务系统日常运转正常。</w:t>
      </w:r>
    </w:p>
    <w:p>
      <w:pPr>
        <w:pStyle w:val="18"/>
        <w:numPr>
          <w:ilvl w:val="0"/>
          <w:numId w:val="0"/>
        </w:numPr>
        <w:ind w:firstLine="643" w:firstLineChars="200"/>
        <w:rPr>
          <w:rFonts w:hint="eastAsia" w:ascii="Times New Roman" w:hAnsi="Times New Roman" w:eastAsia="仿宋_GB2312" w:cs="仿宋_GB2312"/>
          <w:b/>
          <w:bCs/>
          <w:color w:val="auto"/>
          <w:sz w:val="32"/>
          <w:szCs w:val="32"/>
          <w:highlight w:val="none"/>
          <w:lang w:val="en-US" w:eastAsia="zh-CN"/>
        </w:rPr>
      </w:pPr>
      <w:r>
        <w:rPr>
          <w:rFonts w:hint="eastAsia" w:ascii="Times New Roman" w:hAnsi="Times New Roman" w:eastAsia="仿宋_GB2312" w:cs="仿宋_GB2312"/>
          <w:b/>
          <w:bCs/>
          <w:color w:val="auto"/>
          <w:sz w:val="32"/>
          <w:szCs w:val="32"/>
          <w:highlight w:val="none"/>
          <w:lang w:val="en-US" w:eastAsia="zh-CN"/>
        </w:rPr>
        <w:t>2.公共项目</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仿宋_GB2312"/>
          <w:color w:val="auto"/>
          <w:sz w:val="32"/>
          <w:szCs w:val="32"/>
          <w:highlight w:val="none"/>
          <w:lang w:val="en-US" w:eastAsia="zh-CN"/>
        </w:rPr>
        <w:t>（1）污水处理运行费。</w:t>
      </w:r>
      <w:r>
        <w:rPr>
          <w:rFonts w:hint="eastAsia" w:ascii="Times New Roman" w:hAnsi="Times New Roman" w:eastAsia="仿宋_GB2312" w:cs="Times New Roman"/>
          <w:color w:val="auto"/>
          <w:sz w:val="32"/>
          <w:szCs w:val="32"/>
          <w:lang w:val="en-US" w:eastAsia="zh-CN"/>
        </w:rPr>
        <w:t>本局</w:t>
      </w:r>
      <w:r>
        <w:rPr>
          <w:rFonts w:hint="eastAsia" w:ascii="Times New Roman" w:hAnsi="Times New Roman" w:eastAsia="仿宋_GB2312" w:cs="Times New Roman"/>
          <w:color w:val="auto"/>
          <w:sz w:val="32"/>
          <w:szCs w:val="32"/>
        </w:rPr>
        <w:t>为规范主城区污水处理厂和污泥分散处理处置工作，制定了《长沙市主城区污泥分散处理处置监管办法》《长沙市城镇污水处理厂运行监管实施细则》《长沙市污泥集中处置监管实施细则》等管理制度，并委托下属单位长沙市城区排水事务中心（以下简称</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市排水事务中心</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）负责日常的监督管理工作。</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污水处理厂运营监管方面，市排水事务中心一是指导各运营单位实行生产计划、运营情况报备制，根据运营者提供日报、月报、年报和预算计划，及时掌握各污水处理厂的运营情况。二是督促各污水处理厂对出水水质进行实时监测，并按日自检。三是对污水处理厂的运行保障、运行工艺、设备维护等方面进行日常监管，并出具反映各污水处理厂生产运行情况的监管月报。四是对各污水处理厂的污水处理服务费进行初审，报市住建局进行审核。</w:t>
      </w:r>
    </w:p>
    <w:p>
      <w:pPr>
        <w:widowControl/>
        <w:spacing w:line="240" w:lineRule="auto"/>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rPr>
        <w:t>污泥分散处置监管方面，市排水事务中心一是负责审核由污泥深度脱水运营单位提供的生产台账、检测台账、计量台账等污泥处置报表资料，并将审核无误后的报表资料归档保存。二是每月不定期对污泥深度脱水运营单位的生产运行、工艺设备、安全管理等日常生产情况进行现场检查。三是对各污水处理厂的污泥处置费进行初审，报市住建局进行审核。</w:t>
      </w:r>
    </w:p>
    <w:p>
      <w:pPr>
        <w:keepNext w:val="0"/>
        <w:keepLines w:val="0"/>
        <w:pageBreakBefore w:val="0"/>
        <w:kinsoku/>
        <w:wordWrap/>
        <w:overflowPunct/>
        <w:topLinePunct w:val="0"/>
        <w:autoSpaceDE/>
        <w:autoSpaceDN/>
        <w:bidi w:val="0"/>
        <w:spacing w:line="240" w:lineRule="auto"/>
        <w:ind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仿宋_GB2312"/>
          <w:color w:val="auto"/>
          <w:sz w:val="32"/>
          <w:szCs w:val="32"/>
          <w:highlight w:val="none"/>
          <w:lang w:val="en-US" w:eastAsia="zh-CN"/>
        </w:rPr>
        <w:t>（2）五区市政（排水）维护经费基数。</w:t>
      </w:r>
      <w:r>
        <w:rPr>
          <w:rFonts w:hint="eastAsia" w:ascii="Times New Roman" w:hAnsi="Times New Roman" w:eastAsia="仿宋_GB2312" w:cs="Times New Roman"/>
          <w:color w:val="auto"/>
          <w:sz w:val="32"/>
          <w:szCs w:val="32"/>
          <w:lang w:val="en-US" w:eastAsia="zh-CN"/>
        </w:rPr>
        <w:t>本局</w:t>
      </w:r>
      <w:r>
        <w:rPr>
          <w:rFonts w:hint="default" w:ascii="Times New Roman" w:hAnsi="Times New Roman" w:eastAsia="仿宋_GB2312" w:cs="Times New Roman"/>
          <w:color w:val="auto"/>
          <w:sz w:val="32"/>
          <w:szCs w:val="32"/>
        </w:rPr>
        <w:t>制定了《长沙市城市市政排水管网维护管理工作监管细则》，明确维护范围、标准和要求，并委托下属单位市排水事务中心对内五区各市政排水管网的日常维护情况进行监督管理。市排水事务中心一是负责指导内五区各辖区部门制定月度工作计划，编制年度工作报告，定期开展排水管网运行维护工作的技术指导。二是负责对市政排水管网清浚、辖区堵点改造、城区防涝排渍等工作进行日常监管，并形成抽检季报，督促各区维护单位加强管理，规范运行。</w:t>
      </w:r>
      <w:r>
        <w:rPr>
          <w:rFonts w:hint="eastAsia" w:ascii="Times New Roman" w:hAnsi="Times New Roman" w:eastAsia="仿宋_GB2312" w:cs="Times New Roman"/>
          <w:color w:val="auto"/>
          <w:sz w:val="32"/>
          <w:szCs w:val="32"/>
          <w:lang w:val="en-US" w:eastAsia="zh-CN"/>
        </w:rPr>
        <w:t>本</w:t>
      </w:r>
      <w:r>
        <w:rPr>
          <w:rFonts w:hint="default" w:ascii="Times New Roman" w:hAnsi="Times New Roman" w:eastAsia="仿宋_GB2312" w:cs="Times New Roman"/>
          <w:color w:val="auto"/>
          <w:sz w:val="32"/>
          <w:szCs w:val="32"/>
        </w:rPr>
        <w:t>局</w:t>
      </w:r>
      <w:r>
        <w:rPr>
          <w:rFonts w:hint="eastAsia" w:ascii="Times New Roman" w:hAnsi="Times New Roman" w:eastAsia="仿宋_GB2312" w:cs="Times New Roman"/>
          <w:color w:val="auto"/>
          <w:sz w:val="32"/>
          <w:szCs w:val="32"/>
          <w:lang w:val="en-US" w:eastAsia="zh-CN"/>
        </w:rPr>
        <w:t>于</w:t>
      </w:r>
      <w:r>
        <w:rPr>
          <w:rFonts w:hint="default" w:ascii="Times New Roman" w:hAnsi="Times New Roman" w:eastAsia="仿宋_GB2312" w:cs="Times New Roman"/>
          <w:color w:val="auto"/>
          <w:sz w:val="32"/>
          <w:szCs w:val="32"/>
        </w:rPr>
        <w:t>2022年11月9日去函市财政局商请拨付2022年五区市政（排水）维护经费2</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648万元，市财政局</w:t>
      </w:r>
      <w:r>
        <w:rPr>
          <w:rFonts w:hint="eastAsia" w:ascii="Times New Roman" w:hAnsi="Times New Roman" w:eastAsia="仿宋_GB2312" w:cs="Times New Roman"/>
          <w:color w:val="auto"/>
          <w:sz w:val="32"/>
          <w:szCs w:val="32"/>
          <w:lang w:val="en-US" w:eastAsia="zh-CN"/>
        </w:rPr>
        <w:t>于</w:t>
      </w:r>
      <w:r>
        <w:rPr>
          <w:rFonts w:hint="default" w:ascii="Times New Roman" w:hAnsi="Times New Roman" w:eastAsia="仿宋_GB2312" w:cs="Times New Roman"/>
          <w:color w:val="auto"/>
          <w:sz w:val="32"/>
          <w:szCs w:val="32"/>
        </w:rPr>
        <w:t>2023年1月4日下发该经费资金指标文长财建指</w:t>
      </w:r>
      <w:r>
        <w:rPr>
          <w:rFonts w:hint="eastAsia" w:ascii="Times New Roman" w:hAnsi="Times New Roman" w:eastAsia="仿宋_GB2312" w:cs="仿宋_GB2312"/>
          <w:color w:val="auto"/>
          <w:sz w:val="32"/>
          <w:szCs w:val="32"/>
          <w:highlight w:val="none"/>
          <w:lang w:val="en-US" w:eastAsia="zh-CN"/>
        </w:rPr>
        <w:t>〔2023〕</w:t>
      </w:r>
      <w:r>
        <w:rPr>
          <w:rFonts w:hint="default" w:ascii="Times New Roman" w:hAnsi="Times New Roman" w:eastAsia="仿宋_GB2312" w:cs="Times New Roman"/>
          <w:color w:val="auto"/>
          <w:sz w:val="32"/>
          <w:szCs w:val="32"/>
        </w:rPr>
        <w:t>2号</w:t>
      </w:r>
      <w:r>
        <w:rPr>
          <w:rFonts w:hint="eastAsia" w:ascii="Times New Roman" w:hAnsi="Times New Roman" w:eastAsia="仿宋_GB2312" w:cs="Times New Roman"/>
          <w:color w:val="auto"/>
          <w:sz w:val="32"/>
          <w:szCs w:val="32"/>
          <w:lang w:eastAsia="zh-CN"/>
        </w:rPr>
        <w:t>。</w:t>
      </w:r>
    </w:p>
    <w:p>
      <w:pPr>
        <w:keepNext w:val="0"/>
        <w:keepLines w:val="0"/>
        <w:pageBreakBefore w:val="0"/>
        <w:kinsoku/>
        <w:wordWrap/>
        <w:overflowPunct/>
        <w:topLinePunct w:val="0"/>
        <w:autoSpaceDE/>
        <w:autoSpaceDN/>
        <w:bidi w:val="0"/>
        <w:spacing w:line="240" w:lineRule="auto"/>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仿宋_GB2312"/>
          <w:color w:val="auto"/>
          <w:sz w:val="32"/>
          <w:szCs w:val="32"/>
          <w:highlight w:val="none"/>
          <w:lang w:val="en-US" w:eastAsia="zh-CN"/>
        </w:rPr>
        <w:t>（3）建设工程施工图审查服务费。</w:t>
      </w:r>
      <w:r>
        <w:rPr>
          <w:rFonts w:hint="eastAsia" w:ascii="Times New Roman" w:hAnsi="Times New Roman" w:eastAsia="仿宋_GB2312" w:cs="Times New Roman"/>
          <w:color w:val="auto"/>
          <w:sz w:val="32"/>
          <w:szCs w:val="32"/>
          <w:lang w:val="en-US" w:eastAsia="zh-CN"/>
        </w:rPr>
        <w:t>本局</w:t>
      </w:r>
      <w:r>
        <w:rPr>
          <w:rFonts w:hint="default" w:ascii="Times New Roman" w:hAnsi="Times New Roman" w:eastAsia="仿宋_GB2312" w:cs="Times New Roman"/>
          <w:color w:val="auto"/>
          <w:sz w:val="32"/>
          <w:szCs w:val="32"/>
        </w:rPr>
        <w:t>按照《政府购买施工图审查服务操作实施细则》的要求，核定项目施工图审查控制价，在湖南省施工图管理信息系统发起施工图审查机构的遴选，签订审查服务合同，核实并支付施工图审查费用。对建设单位符合施工图政府购买服务的遗留项目和新增项目，督促其完善资料并及时申请报销施工图审查服务费。</w:t>
      </w:r>
    </w:p>
    <w:p>
      <w:pPr>
        <w:pStyle w:val="18"/>
        <w:numPr>
          <w:ilvl w:val="0"/>
          <w:numId w:val="0"/>
        </w:numPr>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4）建筑节能与绿色建筑专项资金。该公共项目根据市财政局、市住建局2017年3月16日联合印发了《长沙市建筑节能与绿色建筑专项资金管理办法》执行，主要是用于推动我市建筑节能与绿色建筑发展，重点支持建筑节能与绿色建筑示范项目建设、既有建筑节能改造、公共建筑节能监管体系建设、绿色建筑技术研发与推广及科技创新、建筑节能和绿色建筑宣传培训等工作，专项资金由市住建局会同市财政局共同管理，每年项目预算为500万元，有效期5年，于2022年3月到期。建筑节能与绿色建筑专项资金2022年度因新的资金管理办法暂未出台而导致未执行。</w:t>
      </w:r>
    </w:p>
    <w:p>
      <w:pPr>
        <w:pStyle w:val="18"/>
        <w:numPr>
          <w:ilvl w:val="0"/>
          <w:numId w:val="0"/>
        </w:numPr>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5）村镇建设专项资金。2022年村镇建设专项资金预算5,000万元，根据《村镇建设专项资金管理办法》（长住建发〔2021〕88号）等文件精神，经各区县（市）申报，区县（市）住建局、财政局初审，项目资金经局党组会审议通过，并在本局政务网上公示无异议，2022年11月30日经市人民政府审定同意后，本局于2022年12月1日去函市财政局申请拨付，市财政局于2023年1月3日和3月2日，分两批下发该专项补助资金指标文。</w:t>
      </w:r>
    </w:p>
    <w:p>
      <w:pPr>
        <w:pStyle w:val="18"/>
        <w:numPr>
          <w:ilvl w:val="0"/>
          <w:numId w:val="0"/>
        </w:numPr>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（6）乡镇污水处理厂建设和运行补助资金。根据《长沙市乡镇污水处理厂建设和运行补助资金管理办法》（长住建发</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2021</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121号）等文件精神，乡镇污水处理厂建设和运行补助资金经各区县（市）申报，区县（市）住建局、财政局审核和征求市生态环境局意见，项目资金在本局政务网上公示无异议，2022年11月23日经市人民政府审定同意后，本局及时去函市财政局商请拨付，市财政局于2023年3月24日下发该专项补助资金指标文。</w:t>
      </w:r>
    </w:p>
    <w:p>
      <w:pPr>
        <w:pStyle w:val="18"/>
        <w:numPr>
          <w:ilvl w:val="0"/>
          <w:numId w:val="0"/>
        </w:numPr>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（7）建筑行业发展专项资金。本局行业处严格遵守《长沙市建筑业引导专项资金管理办法》（长住建发</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2020</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56号），按当年度文件中明确的企业数量奖励1家晋升特级资质的企业；15家首次晋升一级施工总承包的企业；1家年纳税2亿元以上的企业；2家年纳税1.5亿元以上的企业；11个荣获国家级优质工程奖（鲁班奖、国家优质工程奖）的企业；77家荣获省级优质工程（芙蓉奖、省优质工程奖）的企业；42家科技创新企业。</w:t>
      </w:r>
    </w:p>
    <w:p>
      <w:pPr>
        <w:pStyle w:val="18"/>
        <w:numPr>
          <w:ilvl w:val="0"/>
          <w:numId w:val="0"/>
        </w:numPr>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8）安居工程资金。该公共项目由于公租房划转给长房集团后，由长房集团负责公租房运营管理相关工作。公租房租金收入作为长房经营性收入，由长房负责收支。2022年财政预算的2,000万由于财政资金紧张未拨付至本局，本局未使用2022财政预算资金。</w:t>
      </w:r>
    </w:p>
    <w:p>
      <w:pPr>
        <w:pStyle w:val="18"/>
        <w:numPr>
          <w:ilvl w:val="0"/>
          <w:numId w:val="0"/>
        </w:numPr>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9）既有住宅安装电梯市级补助。项目严格遵守《长沙市既有多层住宅增设电梯管理规定》（长政办发〔2018〕11号）、《关于进一步做好我市既有多层住宅增设电梯工作的通知》（长住建发〔2021〕33号）等规定，由各区政府负责具体实施，2022年完成了长沙市既有多层住宅增设电梯建设1001台。</w:t>
      </w:r>
    </w:p>
    <w:p>
      <w:pPr>
        <w:pStyle w:val="18"/>
        <w:numPr>
          <w:ilvl w:val="0"/>
          <w:numId w:val="0"/>
        </w:numPr>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10）精美长沙专项经费。本局精美办严格遵守长沙市住房和城乡建设局长沙市财政局关于《“精美长沙”建设工作专项资金管理办法》，2022年我办对中心城区及长望浏宁报送参评了19个示范项目，同时印发了《长沙市既有小区品质提升三年行动方案设计手册》《长沙市既有小区品质提升设计导则》《长沙市既有小区品质提升工作手册》，</w:t>
      </w:r>
      <w:r>
        <w:rPr>
          <w:rFonts w:hint="eastAsia" w:ascii="Times New Roman" w:hAnsi="Times New Roman" w:eastAsia="仿宋_GB2312" w:cs="Times New Roman"/>
          <w:color w:val="auto"/>
          <w:sz w:val="32"/>
          <w:szCs w:val="32"/>
          <w:lang w:val="en-US" w:eastAsia="zh-CN"/>
        </w:rPr>
        <w:t>助力</w:t>
      </w:r>
      <w:r>
        <w:rPr>
          <w:rFonts w:hint="eastAsia" w:ascii="Times New Roman" w:hAnsi="Times New Roman" w:eastAsia="仿宋_GB2312" w:cs="Times New Roman"/>
          <w:color w:val="auto"/>
          <w:sz w:val="32"/>
          <w:szCs w:val="32"/>
        </w:rPr>
        <w:t>小区品质提升</w:t>
      </w:r>
      <w:r>
        <w:rPr>
          <w:rFonts w:hint="eastAsia" w:ascii="Times New Roman" w:hAnsi="Times New Roman" w:eastAsia="仿宋_GB2312" w:cs="仿宋_GB2312"/>
          <w:color w:val="auto"/>
          <w:sz w:val="32"/>
          <w:szCs w:val="32"/>
          <w:highlight w:val="none"/>
          <w:lang w:val="en-US" w:eastAsia="zh-CN"/>
        </w:rPr>
        <w:t>。</w:t>
      </w:r>
    </w:p>
    <w:p>
      <w:pPr>
        <w:pStyle w:val="18"/>
        <w:numPr>
          <w:ilvl w:val="0"/>
          <w:numId w:val="0"/>
        </w:numPr>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11）物业管理专项工作经费。本局物监处根据《长沙市全面加强小区治理三年行动计划（2021—2023年）》的文件要求，分解任务有序推进，2022年组织了街道社区物业专干和各物业企业安全管理人员参与学习，物业行业11000多人参与培训，扩散到全市3000多个物业项目；加强物业行业监管，打造“红色物业”，发布物业企业“红黑榜”。</w:t>
      </w:r>
    </w:p>
    <w:p>
      <w:pPr>
        <w:pStyle w:val="18"/>
        <w:numPr>
          <w:ilvl w:val="0"/>
          <w:numId w:val="0"/>
        </w:numPr>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12）泵站运行经费。市排水事务中心做好中心泵站设备设施保养、维护维修工作，汛前、汛中、汛后开展三次设备大排查工作，2022年中心泵站设备完好率97.81%；做好管网日常巡查与管线排查工作；2022年泵站污水提升累计开机34.97万小时，提升污水4.9亿吨，日均135.29万吨，较2021年同期降低2.93%（2021年同期为139.37万吨）；泵站排渍累计开机3227.16台时，排渍雨水3152.80万吨，为2021年同期的0.99倍（2021年同期为3197.44万吨）；全年未发生因泵站设备原因造成泵站排口污水下河、泵站服务区内涝事件，45座泵站安全运行，62.7公里排水管网安全运行。</w:t>
      </w:r>
    </w:p>
    <w:p>
      <w:pPr>
        <w:pStyle w:val="18"/>
        <w:numPr>
          <w:ilvl w:val="0"/>
          <w:numId w:val="0"/>
        </w:numPr>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（13）市排水事务中心泵站提标管网建设等项目经费。市排水事务中心严格遵守工程管理制度，在2022年底前完成项目施工第一、二、三、四标段扫尾工作，完成中心城区21座泵站改造及7处涵闸改造任务。</w:t>
      </w:r>
    </w:p>
    <w:p>
      <w:pPr>
        <w:pStyle w:val="18"/>
        <w:numPr>
          <w:ilvl w:val="0"/>
          <w:numId w:val="1"/>
        </w:numPr>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防洪排渍经费。市排水事务中心认真贯彻落实市委市政府工作要求，全面部署2022年城区防涝排渍工作。2022年度25处易涝风险点，已完成整改的22处，其他3处正在有序推进整改。进一步压实排渍泵站、通江高排管涵、涵闸等排水设施的行政、技术和巡查“三个责任人”责任，将6个城区、78个街道、740个社区全部纳入网格化责任体系管理，有效解决城区积水内涝问题，避免汛期出现人员伤亡和大的财产损失。</w:t>
      </w:r>
    </w:p>
    <w:p>
      <w:pPr>
        <w:pStyle w:val="18"/>
        <w:numPr>
          <w:ilvl w:val="0"/>
          <w:numId w:val="1"/>
        </w:numPr>
        <w:ind w:firstLine="640" w:firstLineChars="200"/>
        <w:rPr>
          <w:rFonts w:hint="default" w:ascii="Times New Roman" w:hAnsi="Times New Roman" w:eastAsia="仿宋_GB2312" w:cs="仿宋_GB2312"/>
          <w:color w:val="auto"/>
          <w:sz w:val="32"/>
          <w:szCs w:val="32"/>
          <w:highlight w:val="none"/>
          <w:lang w:val="en-US" w:eastAsia="zh-CN"/>
        </w:rPr>
      </w:pPr>
      <w:r>
        <w:rPr>
          <w:rFonts w:hint="default" w:ascii="Times New Roman" w:hAnsi="Times New Roman" w:eastAsia="仿宋_GB2312" w:cs="仿宋_GB2312"/>
          <w:color w:val="auto"/>
          <w:sz w:val="32"/>
          <w:szCs w:val="32"/>
          <w:highlight w:val="none"/>
          <w:lang w:val="en-US" w:eastAsia="zh-CN"/>
        </w:rPr>
        <w:t>实施高精尖人才领跑工程购房补贴</w:t>
      </w:r>
      <w:r>
        <w:rPr>
          <w:rFonts w:hint="eastAsia" w:ascii="Times New Roman" w:hAnsi="Times New Roman" w:eastAsia="仿宋_GB2312" w:cs="仿宋_GB2312"/>
          <w:color w:val="auto"/>
          <w:sz w:val="32"/>
          <w:szCs w:val="32"/>
          <w:highlight w:val="none"/>
          <w:lang w:val="en-US" w:eastAsia="zh-CN"/>
        </w:rPr>
        <w:t>。长沙市房屋交易管理中心严格遵守《长沙市建设创新创业人才高地的若干措施》（长发</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2017</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10号）、《专项资金管理办法》，2022年共计发放高精尖人才购房补贴25人。</w:t>
      </w:r>
    </w:p>
    <w:p>
      <w:pPr>
        <w:pStyle w:val="18"/>
        <w:numPr>
          <w:ilvl w:val="0"/>
          <w:numId w:val="1"/>
        </w:numPr>
        <w:ind w:firstLine="640" w:firstLineChars="200"/>
        <w:rPr>
          <w:rFonts w:hint="default" w:ascii="Times New Roman" w:hAnsi="Times New Roman" w:eastAsia="仿宋_GB2312" w:cs="仿宋_GB2312"/>
          <w:color w:val="auto"/>
          <w:sz w:val="32"/>
          <w:szCs w:val="32"/>
          <w:highlight w:val="none"/>
          <w:lang w:val="en-US" w:eastAsia="zh-CN"/>
        </w:rPr>
      </w:pPr>
      <w:r>
        <w:rPr>
          <w:rFonts w:hint="default" w:ascii="Times New Roman" w:hAnsi="Times New Roman" w:eastAsia="仿宋_GB2312" w:cs="仿宋_GB2312"/>
          <w:color w:val="auto"/>
          <w:sz w:val="32"/>
          <w:szCs w:val="32"/>
          <w:highlight w:val="none"/>
          <w:lang w:val="en-US" w:eastAsia="zh-CN"/>
        </w:rPr>
        <w:t>实施青年人才筑梦工程购房补贴</w:t>
      </w:r>
      <w:r>
        <w:rPr>
          <w:rFonts w:hint="eastAsia" w:ascii="Times New Roman" w:hAnsi="Times New Roman" w:eastAsia="仿宋_GB2312" w:cs="仿宋_GB2312"/>
          <w:color w:val="auto"/>
          <w:sz w:val="32"/>
          <w:szCs w:val="32"/>
          <w:highlight w:val="none"/>
          <w:lang w:val="en-US" w:eastAsia="zh-CN"/>
        </w:rPr>
        <w:t>。长沙市房屋交易管理中心严格遵守《长沙市建设创新创业人才高地的若干措施》（长发</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2017</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10号）、《专项资金管理办法》，2022年共计发放青年人才购房补贴3743人。</w:t>
      </w:r>
    </w:p>
    <w:p>
      <w:pPr>
        <w:pStyle w:val="18"/>
        <w:numPr>
          <w:ilvl w:val="0"/>
          <w:numId w:val="1"/>
        </w:numPr>
        <w:ind w:firstLine="640" w:firstLineChars="200"/>
        <w:rPr>
          <w:rFonts w:hint="default" w:ascii="Times New Roman" w:hAnsi="Times New Roman" w:eastAsia="仿宋_GB2312" w:cs="仿宋_GB2312"/>
          <w:color w:val="auto"/>
          <w:sz w:val="32"/>
          <w:szCs w:val="32"/>
          <w:highlight w:val="none"/>
          <w:lang w:val="en-US" w:eastAsia="zh-CN"/>
        </w:rPr>
      </w:pPr>
      <w:r>
        <w:rPr>
          <w:rFonts w:hint="default" w:ascii="Times New Roman" w:hAnsi="Times New Roman" w:eastAsia="仿宋_GB2312" w:cs="仿宋_GB2312"/>
          <w:color w:val="auto"/>
          <w:sz w:val="32"/>
          <w:szCs w:val="32"/>
          <w:highlight w:val="none"/>
          <w:lang w:val="en-US" w:eastAsia="zh-CN"/>
        </w:rPr>
        <w:t>实施</w:t>
      </w:r>
      <w:r>
        <w:rPr>
          <w:rFonts w:hint="eastAsia" w:ascii="Times New Roman" w:hAnsi="Times New Roman" w:eastAsia="仿宋_GB2312" w:cs="仿宋_GB2312"/>
          <w:color w:val="auto"/>
          <w:sz w:val="32"/>
          <w:szCs w:val="32"/>
          <w:highlight w:val="none"/>
          <w:lang w:val="en-US" w:eastAsia="zh-CN"/>
        </w:rPr>
        <w:t>“</w:t>
      </w:r>
      <w:r>
        <w:rPr>
          <w:rFonts w:hint="default" w:ascii="Times New Roman" w:hAnsi="Times New Roman" w:eastAsia="仿宋_GB2312" w:cs="仿宋_GB2312"/>
          <w:color w:val="auto"/>
          <w:sz w:val="32"/>
          <w:szCs w:val="32"/>
          <w:highlight w:val="none"/>
          <w:lang w:val="en-US" w:eastAsia="zh-CN"/>
        </w:rPr>
        <w:t>长沙工匠</w:t>
      </w:r>
      <w:r>
        <w:rPr>
          <w:rFonts w:hint="eastAsia" w:ascii="Times New Roman" w:hAnsi="Times New Roman" w:eastAsia="仿宋_GB2312" w:cs="仿宋_GB2312"/>
          <w:color w:val="auto"/>
          <w:sz w:val="32"/>
          <w:szCs w:val="32"/>
          <w:highlight w:val="none"/>
          <w:lang w:val="en-US" w:eastAsia="zh-CN"/>
        </w:rPr>
        <w:t>”</w:t>
      </w:r>
      <w:r>
        <w:rPr>
          <w:rFonts w:hint="default" w:ascii="Times New Roman" w:hAnsi="Times New Roman" w:eastAsia="仿宋_GB2312" w:cs="仿宋_GB2312"/>
          <w:color w:val="auto"/>
          <w:sz w:val="32"/>
          <w:szCs w:val="32"/>
          <w:highlight w:val="none"/>
          <w:lang w:val="en-US" w:eastAsia="zh-CN"/>
        </w:rPr>
        <w:t>铸造工程购房补贴</w:t>
      </w:r>
      <w:r>
        <w:rPr>
          <w:rFonts w:hint="eastAsia" w:ascii="Times New Roman" w:hAnsi="Times New Roman" w:eastAsia="仿宋_GB2312" w:cs="仿宋_GB2312"/>
          <w:color w:val="auto"/>
          <w:sz w:val="32"/>
          <w:szCs w:val="32"/>
          <w:highlight w:val="none"/>
          <w:lang w:val="en-US" w:eastAsia="zh-CN"/>
        </w:rPr>
        <w:t>。长沙市房屋交易管理中心严格遵守《长沙市建设创新创业人才高地的若干措施》（长发</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2017</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10号）、《专项资金管理办法》，2022年共计发放高技能人才购房补贴29人。</w:t>
      </w:r>
    </w:p>
    <w:p>
      <w:pPr>
        <w:pStyle w:val="18"/>
        <w:numPr>
          <w:ilvl w:val="0"/>
          <w:numId w:val="1"/>
        </w:numPr>
        <w:ind w:firstLine="640" w:firstLineChars="200"/>
        <w:rPr>
          <w:rFonts w:hint="default" w:ascii="Times New Roman" w:hAnsi="Times New Roman" w:eastAsia="仿宋_GB2312" w:cs="仿宋_GB2312"/>
          <w:color w:val="auto"/>
          <w:sz w:val="32"/>
          <w:szCs w:val="32"/>
          <w:highlight w:val="none"/>
          <w:lang w:val="en-US" w:eastAsia="zh-CN"/>
        </w:rPr>
      </w:pPr>
      <w:r>
        <w:rPr>
          <w:rFonts w:hint="default" w:ascii="Times New Roman" w:hAnsi="Times New Roman" w:eastAsia="仿宋_GB2312" w:cs="仿宋_GB2312"/>
          <w:color w:val="auto"/>
          <w:sz w:val="32"/>
          <w:szCs w:val="32"/>
          <w:highlight w:val="none"/>
          <w:lang w:val="en-US" w:eastAsia="zh-CN"/>
        </w:rPr>
        <w:t>长沙市地下综合管廊试点建设PPP项目（第一批）</w:t>
      </w:r>
      <w:r>
        <w:rPr>
          <w:rFonts w:hint="eastAsia" w:ascii="Times New Roman" w:hAnsi="Times New Roman" w:eastAsia="仿宋_GB2312" w:cs="仿宋_GB2312"/>
          <w:color w:val="auto"/>
          <w:sz w:val="32"/>
          <w:szCs w:val="32"/>
          <w:highlight w:val="none"/>
          <w:lang w:val="en-US" w:eastAsia="zh-CN"/>
        </w:rPr>
        <w:t>。本局及长沙中建城投管廊建设投资有限责任公司按照《地下综合管廊绩效考核管理办法》，保障了已投入使用的37公里管廊的安全运营的同时启动了湘府东路3.1公里综合管廊的建设。</w:t>
      </w:r>
    </w:p>
    <w:p>
      <w:pPr>
        <w:pStyle w:val="18"/>
        <w:numPr>
          <w:ilvl w:val="0"/>
          <w:numId w:val="1"/>
        </w:numPr>
        <w:ind w:firstLine="640" w:firstLineChars="200"/>
        <w:rPr>
          <w:rFonts w:hint="default" w:ascii="Times New Roman" w:hAnsi="Times New Roman" w:eastAsia="仿宋_GB2312" w:cs="仿宋_GB2312"/>
          <w:color w:val="auto"/>
          <w:sz w:val="32"/>
          <w:szCs w:val="32"/>
          <w:highlight w:val="none"/>
          <w:lang w:val="en-US" w:eastAsia="zh-CN"/>
        </w:rPr>
      </w:pPr>
      <w:r>
        <w:rPr>
          <w:rFonts w:hint="default" w:ascii="Times New Roman" w:hAnsi="Times New Roman" w:eastAsia="仿宋_GB2312" w:cs="仿宋_GB2312"/>
          <w:color w:val="auto"/>
          <w:sz w:val="32"/>
          <w:szCs w:val="32"/>
          <w:highlight w:val="none"/>
          <w:lang w:val="en-US" w:eastAsia="zh-CN"/>
        </w:rPr>
        <w:t>长沙市敢胜垸、苏托垸污水处理PPP项目（还本付息）</w:t>
      </w:r>
      <w:r>
        <w:rPr>
          <w:rFonts w:hint="eastAsia" w:ascii="Times New Roman" w:hAnsi="Times New Roman" w:eastAsia="仿宋_GB2312" w:cs="仿宋_GB2312"/>
          <w:color w:val="auto"/>
          <w:sz w:val="32"/>
          <w:szCs w:val="32"/>
          <w:highlight w:val="none"/>
          <w:lang w:val="en-US" w:eastAsia="zh-CN"/>
        </w:rPr>
        <w:t>。本局排水处严格按照《长沙市敢胜垸、苏托垸污水处理PPP项目特许经营合同》执行，保障污水处理厂稳定运行。</w:t>
      </w:r>
    </w:p>
    <w:p>
      <w:pPr>
        <w:pStyle w:val="18"/>
        <w:ind w:firstLine="643" w:firstLineChars="200"/>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lang w:val="en-US" w:eastAsia="zh-CN"/>
        </w:rPr>
        <w:t>二）项目管理情况分析</w:t>
      </w:r>
    </w:p>
    <w:p>
      <w:pPr>
        <w:pStyle w:val="18"/>
        <w:ind w:firstLine="640" w:firstLineChars="200"/>
        <w:rPr>
          <w:rFonts w:hint="default" w:ascii="Times New Roman" w:hAnsi="Times New Roman" w:eastAsia="仿宋_GB2312"/>
          <w:color w:val="auto"/>
          <w:sz w:val="32"/>
          <w:szCs w:val="32"/>
          <w:highlight w:val="none"/>
          <w:lang w:val="en-US"/>
        </w:rPr>
      </w:pPr>
      <w:r>
        <w:rPr>
          <w:rFonts w:hint="eastAsia" w:ascii="Times New Roman" w:hAnsi="Times New Roman" w:eastAsia="仿宋_GB2312" w:cs="仿宋_GB2312"/>
          <w:color w:val="auto"/>
          <w:sz w:val="32"/>
          <w:szCs w:val="32"/>
          <w:highlight w:val="none"/>
          <w:lang w:eastAsia="zh-CN"/>
        </w:rPr>
        <w:t>本局</w:t>
      </w:r>
      <w:r>
        <w:rPr>
          <w:rFonts w:hint="eastAsia" w:ascii="Times New Roman" w:hAnsi="Times New Roman" w:eastAsia="仿宋_GB2312" w:cs="仿宋_GB2312"/>
          <w:color w:val="auto"/>
          <w:sz w:val="32"/>
          <w:szCs w:val="32"/>
          <w:highlight w:val="none"/>
        </w:rPr>
        <w:t>建立了</w:t>
      </w:r>
      <w:r>
        <w:rPr>
          <w:rFonts w:hint="eastAsia" w:ascii="Times New Roman" w:hAnsi="Times New Roman" w:eastAsia="仿宋_GB2312" w:cs="Times New Roman"/>
          <w:color w:val="auto"/>
          <w:kern w:val="2"/>
          <w:sz w:val="32"/>
          <w:szCs w:val="32"/>
          <w:lang w:val="en-US" w:eastAsia="zh-CN" w:bidi="ar-SA"/>
        </w:rPr>
        <w:t>《关于城市污水处理厂运行监管实施细则（暂行）》《长沙市污泥集中处置监管实施细则》《长沙市城市排水设施运行监管手册》《长沙市主城区污泥分散处理处置监管办法》《长沙市城市市政排水管网维护管理工作监管细则》《长沙市排水口维护管理规程》</w:t>
      </w:r>
      <w:r>
        <w:rPr>
          <w:rFonts w:hint="default" w:ascii="Times New Roman" w:hAnsi="Times New Roman" w:eastAsia="仿宋_GB2312" w:cs="Times New Roman"/>
          <w:color w:val="auto"/>
          <w:sz w:val="32"/>
          <w:szCs w:val="32"/>
          <w:lang w:val="en-US" w:eastAsia="zh-CN"/>
        </w:rPr>
        <w:t>《长沙市建筑业引导专项资金管理办法》</w:t>
      </w:r>
      <w:r>
        <w:rPr>
          <w:rFonts w:hint="eastAsia" w:ascii="Times New Roman" w:hAnsi="Times New Roman" w:eastAsia="仿宋_GB2312" w:cs="Times New Roman"/>
          <w:color w:val="auto"/>
          <w:kern w:val="2"/>
          <w:sz w:val="32"/>
          <w:szCs w:val="32"/>
          <w:lang w:val="en-US" w:eastAsia="zh-CN" w:bidi="ar-SA"/>
        </w:rPr>
        <w:t>《长沙市建筑节能与绿色建筑专项资金管理办法》《长沙市乡镇污水处理厂建设和运行考核办法》</w:t>
      </w:r>
      <w:r>
        <w:rPr>
          <w:rFonts w:hint="eastAsia" w:ascii="Times New Roman" w:hAnsi="Times New Roman" w:eastAsia="仿宋_GB2312" w:cs="仿宋_GB2312"/>
          <w:color w:val="auto"/>
          <w:sz w:val="32"/>
          <w:szCs w:val="32"/>
          <w:highlight w:val="none"/>
        </w:rPr>
        <w:t>等</w:t>
      </w:r>
      <w:r>
        <w:rPr>
          <w:rFonts w:hint="eastAsia" w:ascii="Times New Roman" w:hAnsi="Times New Roman" w:eastAsia="仿宋_GB2312" w:cs="仿宋_GB2312"/>
          <w:color w:val="auto"/>
          <w:sz w:val="32"/>
          <w:szCs w:val="32"/>
          <w:highlight w:val="none"/>
          <w:lang w:val="en-US" w:eastAsia="zh-CN"/>
        </w:rPr>
        <w:t>管理</w:t>
      </w:r>
      <w:r>
        <w:rPr>
          <w:rFonts w:hint="eastAsia" w:ascii="Times New Roman" w:hAnsi="Times New Roman" w:eastAsia="仿宋_GB2312" w:cs="仿宋_GB2312"/>
          <w:color w:val="auto"/>
          <w:sz w:val="32"/>
          <w:szCs w:val="32"/>
          <w:highlight w:val="none"/>
        </w:rPr>
        <w:t>制度，定期召开财经工作领导小组会议，研究重大经济决策、大额资金使用的意见和建议</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完成日常检查监督管理等情况；在财务管理方面，强化预算控制。根据制度要求，所有支出严格控制在财政预算内。对于各项支出，业务部门需向财务部门申报用款计划，财务部门对照预算做到专款专用，不挤占挪用，无特殊情况、无预算不予支出。如确需调整预算，则要求按程序请求财政进行预算指标调整，以保证工作的顺利开展。项目实施严格按照专项资金管理办法实施，在项目实施过程中，各项管理制度基本执行到位。</w:t>
      </w:r>
    </w:p>
    <w:p>
      <w:pPr>
        <w:numPr>
          <w:ilvl w:val="0"/>
          <w:numId w:val="2"/>
        </w:numPr>
        <w:spacing w:line="240" w:lineRule="auto"/>
        <w:ind w:firstLine="640" w:firstLineChars="200"/>
        <w:jc w:val="lef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资产管理情况</w:t>
      </w:r>
    </w:p>
    <w:p>
      <w:pPr>
        <w:widowControl/>
        <w:numPr>
          <w:ilvl w:val="0"/>
          <w:numId w:val="0"/>
        </w:numPr>
        <w:ind w:firstLine="643" w:firstLineChars="200"/>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（一）制度建设情况</w:t>
      </w:r>
    </w:p>
    <w:p>
      <w:pPr>
        <w:pStyle w:val="24"/>
        <w:ind w:left="0" w:leftChars="0"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为加强资产管理工作，提高资产运行绩效、加强调剂共享情况、强化固定资产管理工作，</w:t>
      </w:r>
      <w:r>
        <w:rPr>
          <w:rFonts w:hint="eastAsia" w:ascii="Times New Roman" w:hAnsi="Times New Roman" w:eastAsia="仿宋_GB2312" w:cs="Times New Roman"/>
          <w:color w:val="auto"/>
          <w:kern w:val="0"/>
          <w:sz w:val="32"/>
          <w:szCs w:val="32"/>
          <w:highlight w:val="none"/>
          <w:lang w:eastAsia="zh-CN"/>
        </w:rPr>
        <w:t>本局</w:t>
      </w:r>
      <w:r>
        <w:rPr>
          <w:rFonts w:hint="default" w:ascii="Times New Roman" w:hAnsi="Times New Roman" w:eastAsia="仿宋_GB2312" w:cs="Times New Roman"/>
          <w:color w:val="auto"/>
          <w:kern w:val="0"/>
          <w:sz w:val="32"/>
          <w:szCs w:val="32"/>
          <w:highlight w:val="none"/>
        </w:rPr>
        <w:t>编制了财经规范建设工作文件制度，具体出台了《长沙市住房和城乡建设局关于印发</w:t>
      </w:r>
      <w:r>
        <w:rPr>
          <w:rFonts w:hint="eastAsia"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长沙市住房和城乡建设局财务管理制度</w:t>
      </w:r>
      <w:r>
        <w:rPr>
          <w:rFonts w:hint="eastAsia"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长沙市住房和城乡建设局财政专项资金管理办法</w:t>
      </w:r>
      <w:r>
        <w:rPr>
          <w:rFonts w:hint="eastAsia"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长沙市住房和城乡建设局机关自行采购管理办法</w:t>
      </w:r>
      <w:r>
        <w:rPr>
          <w:rFonts w:hint="eastAsia"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长沙市住房和城乡建设局局属事业单位财务审计规范建设指南</w:t>
      </w:r>
      <w:r>
        <w:rPr>
          <w:rFonts w:hint="eastAsia"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的通知》（长住建发〔2020〕72号）相关文件。完善了资产管理制度，并加强了对局属单位的资产管理。</w:t>
      </w:r>
    </w:p>
    <w:p>
      <w:pPr>
        <w:pStyle w:val="24"/>
        <w:ind w:left="0" w:leftChars="0" w:firstLine="643" w:firstLineChars="200"/>
        <w:rPr>
          <w:rFonts w:hint="eastAsia" w:ascii="楷体" w:hAnsi="楷体" w:eastAsia="楷体" w:cs="楷体"/>
          <w:b/>
          <w:bCs/>
          <w:color w:val="auto"/>
          <w:kern w:val="0"/>
          <w:sz w:val="32"/>
          <w:szCs w:val="32"/>
          <w:highlight w:val="none"/>
          <w:lang w:val="en-US" w:eastAsia="zh-CN"/>
        </w:rPr>
      </w:pPr>
      <w:r>
        <w:rPr>
          <w:rFonts w:hint="eastAsia" w:ascii="楷体" w:hAnsi="楷体" w:eastAsia="楷体" w:cs="楷体"/>
          <w:b/>
          <w:bCs/>
          <w:color w:val="auto"/>
          <w:kern w:val="0"/>
          <w:sz w:val="32"/>
          <w:szCs w:val="32"/>
          <w:highlight w:val="none"/>
          <w:lang w:val="en-US" w:eastAsia="zh-CN"/>
        </w:rPr>
        <w:t>（二）资产管理措施</w:t>
      </w:r>
    </w:p>
    <w:p>
      <w:pPr>
        <w:pStyle w:val="24"/>
        <w:ind w:left="0" w:leftChars="0" w:firstLine="640" w:firstLineChars="200"/>
        <w:rPr>
          <w:rFonts w:hint="default"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color w:val="auto"/>
          <w:sz w:val="32"/>
          <w:szCs w:val="32"/>
          <w:highlight w:val="none"/>
          <w:lang w:val="en-US" w:eastAsia="zh-CN"/>
        </w:rPr>
        <w:t>本局</w:t>
      </w:r>
      <w:r>
        <w:rPr>
          <w:rFonts w:hint="default" w:ascii="Times New Roman" w:hAnsi="Times New Roman" w:eastAsia="仿宋_GB2312" w:cs="Times New Roman"/>
          <w:color w:val="auto"/>
          <w:sz w:val="32"/>
          <w:szCs w:val="32"/>
          <w:highlight w:val="none"/>
          <w:lang w:val="en-US" w:eastAsia="zh-CN"/>
        </w:rPr>
        <w:t>资产管理</w:t>
      </w:r>
      <w:r>
        <w:rPr>
          <w:rFonts w:hint="default" w:ascii="Times New Roman" w:hAnsi="Times New Roman" w:eastAsia="仿宋_GB2312" w:cs="Times New Roman"/>
          <w:color w:val="auto"/>
          <w:sz w:val="32"/>
          <w:szCs w:val="32"/>
          <w:highlight w:val="none"/>
        </w:rPr>
        <w:t>严格按照《长沙市市级行政事业单位国有资产使用管理规定》（长财资产〔2019〕75号）执行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每月月底将财务账和资产卡片账进行对账，保证账账相符；每年定期对局机关固定资产进行盘点并根据资产变化情况进行卡片更新，保证账实相符。每月做好资产月报的申报工作</w:t>
      </w:r>
      <w:r>
        <w:rPr>
          <w:rFonts w:hint="default" w:ascii="Times New Roman" w:hAnsi="Times New Roman" w:eastAsia="仿宋_GB2312" w:cs="Times New Roman"/>
          <w:color w:val="auto"/>
          <w:kern w:val="0"/>
          <w:sz w:val="32"/>
          <w:szCs w:val="32"/>
          <w:highlight w:val="none"/>
        </w:rPr>
        <w:t>及对局属单位资产月报的审核工作；及时做好资产配置预算的申报和调整预算申报工作；严格按照资产配置预算采购固定资产，无资产配置预算不进行采购；对采购的固定资产按严格验收程序进行验收，及时登记入账，对资产使用进行登记管理；加强了对无形资产的登记使用登记管理和账务登记管理；对局属单位的资产划转、处置进行指导和审核；及时做好资产年报的申报工作及审核工作。通过严格的资产管理工作实现了资源优化配置，降低了行政成本，提高了使用效益，保障单位正常运转。</w:t>
      </w:r>
    </w:p>
    <w:p>
      <w:pPr>
        <w:pStyle w:val="24"/>
        <w:ind w:left="0" w:leftChars="0" w:firstLine="643" w:firstLineChars="200"/>
        <w:rPr>
          <w:rFonts w:hint="eastAsia" w:ascii="楷体" w:hAnsi="楷体" w:eastAsia="楷体" w:cs="楷体"/>
          <w:b/>
          <w:bCs/>
          <w:color w:val="auto"/>
          <w:kern w:val="0"/>
          <w:sz w:val="32"/>
          <w:szCs w:val="32"/>
          <w:highlight w:val="none"/>
          <w:lang w:val="en-US" w:eastAsia="zh-CN"/>
        </w:rPr>
      </w:pPr>
      <w:r>
        <w:rPr>
          <w:rFonts w:hint="eastAsia" w:ascii="楷体" w:hAnsi="楷体" w:eastAsia="楷体" w:cs="楷体"/>
          <w:b/>
          <w:bCs/>
          <w:color w:val="auto"/>
          <w:kern w:val="0"/>
          <w:sz w:val="32"/>
          <w:szCs w:val="32"/>
          <w:highlight w:val="none"/>
          <w:lang w:val="en-US" w:eastAsia="zh-CN"/>
        </w:rPr>
        <w:t>（三）资产配置和处置程序</w:t>
      </w:r>
    </w:p>
    <w:p>
      <w:pPr>
        <w:pStyle w:val="24"/>
        <w:ind w:left="0" w:leftChars="0" w:firstLine="643" w:firstLineChars="200"/>
        <w:rPr>
          <w:rFonts w:hint="default"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1.</w:t>
      </w:r>
      <w:r>
        <w:rPr>
          <w:rFonts w:hint="default" w:ascii="Times New Roman" w:hAnsi="Times New Roman" w:eastAsia="仿宋_GB2312" w:cs="Times New Roman"/>
          <w:b/>
          <w:bCs/>
          <w:color w:val="auto"/>
          <w:sz w:val="32"/>
          <w:szCs w:val="32"/>
          <w:highlight w:val="none"/>
          <w:lang w:val="en-US" w:eastAsia="zh-CN"/>
        </w:rPr>
        <w:t>资产配置</w:t>
      </w:r>
    </w:p>
    <w:p>
      <w:pPr>
        <w:pStyle w:val="24"/>
        <w:ind w:left="0" w:leftChars="0"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本局</w:t>
      </w:r>
      <w:r>
        <w:rPr>
          <w:rFonts w:hint="default" w:ascii="Times New Roman" w:hAnsi="Times New Roman" w:eastAsia="仿宋_GB2312" w:cs="Times New Roman"/>
          <w:color w:val="auto"/>
          <w:sz w:val="32"/>
          <w:szCs w:val="32"/>
          <w:highlight w:val="none"/>
        </w:rPr>
        <w:t>资产配置严格执行财政局《长沙市市级行政事业单位国有资产配置管理规定》（长财资产〔2018〕32号）、《长沙市市级行政事业单位通用资产配置标准》（长财资产〔2018〕33号）等相关文件规定。</w:t>
      </w:r>
      <w:r>
        <w:rPr>
          <w:rFonts w:hint="default" w:ascii="Times New Roman" w:hAnsi="Times New Roman" w:eastAsia="仿宋_GB2312" w:cs="Times New Roman"/>
          <w:color w:val="auto"/>
          <w:sz w:val="32"/>
          <w:szCs w:val="32"/>
          <w:highlight w:val="none"/>
          <w:lang w:val="en-US" w:eastAsia="zh-CN"/>
        </w:rPr>
        <w:t>所有</w:t>
      </w:r>
      <w:r>
        <w:rPr>
          <w:rFonts w:hint="default" w:ascii="Times New Roman" w:hAnsi="Times New Roman" w:eastAsia="仿宋_GB2312" w:cs="Times New Roman"/>
          <w:color w:val="auto"/>
          <w:sz w:val="32"/>
          <w:szCs w:val="32"/>
          <w:highlight w:val="none"/>
        </w:rPr>
        <w:t>固定资产均纳入财政局资产管理信息系统管理，每年在资产信息系统中与预算同步申报下一年度的资产配置计划。</w:t>
      </w:r>
    </w:p>
    <w:p>
      <w:pPr>
        <w:spacing w:line="240" w:lineRule="auto"/>
        <w:ind w:firstLine="633" w:firstLineChars="198"/>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2022年度</w:t>
      </w:r>
      <w:r>
        <w:rPr>
          <w:rFonts w:hint="eastAsia" w:ascii="Times New Roman" w:hAnsi="Times New Roman" w:eastAsia="仿宋_GB2312" w:cs="Times New Roman"/>
          <w:color w:val="auto"/>
          <w:sz w:val="32"/>
          <w:szCs w:val="32"/>
          <w:highlight w:val="none"/>
          <w:lang w:eastAsia="zh-CN"/>
        </w:rPr>
        <w:t>本局</w:t>
      </w:r>
      <w:r>
        <w:rPr>
          <w:rFonts w:hint="default" w:ascii="Times New Roman" w:hAnsi="Times New Roman" w:eastAsia="仿宋_GB2312" w:cs="Times New Roman"/>
          <w:color w:val="auto"/>
          <w:sz w:val="32"/>
          <w:szCs w:val="32"/>
          <w:highlight w:val="none"/>
        </w:rPr>
        <w:t>配置固定资产335.35万元（账面原值）。从资产类别分析，配置设备330.12万元，占98.44%</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配置家具、用具5.23万元，占1.56%；从配置方式分析，新购305.71万元，占91.16%；调拨29.63万元，占8.84%。配置无形资产145.18万元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从资产类别分析配置计算机软件145.18万元，占100%。从配置方式分析，新购145.18万元，占100%。</w:t>
      </w:r>
    </w:p>
    <w:p>
      <w:pPr>
        <w:ind w:firstLine="640" w:firstLineChars="200"/>
        <w:rPr>
          <w:rFonts w:hint="default" w:ascii="Times New Roman" w:hAnsi="Times New Roman" w:cs="Times New Roman"/>
          <w:color w:val="auto"/>
          <w:highlight w:val="none"/>
        </w:rPr>
      </w:pPr>
      <w:r>
        <w:rPr>
          <w:rFonts w:hint="default" w:ascii="Times New Roman" w:hAnsi="Times New Roman" w:eastAsia="仿宋_GB2312" w:cs="Times New Roman"/>
          <w:color w:val="auto"/>
          <w:sz w:val="32"/>
          <w:szCs w:val="32"/>
          <w:highlight w:val="none"/>
        </w:rPr>
        <w:t>截</w:t>
      </w:r>
      <w:r>
        <w:rPr>
          <w:rFonts w:hint="default" w:ascii="Times New Roman" w:hAnsi="Times New Roman" w:eastAsia="仿宋_GB2312" w:cs="Times New Roman"/>
          <w:color w:val="auto"/>
          <w:sz w:val="32"/>
          <w:szCs w:val="32"/>
          <w:highlight w:val="none"/>
          <w:lang w:val="en-US" w:eastAsia="zh-CN"/>
        </w:rPr>
        <w:t>至</w:t>
      </w: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年末，</w:t>
      </w:r>
      <w:r>
        <w:rPr>
          <w:rFonts w:hint="eastAsia" w:ascii="Times New Roman" w:hAnsi="Times New Roman" w:eastAsia="仿宋_GB2312" w:cs="Times New Roman"/>
          <w:color w:val="auto"/>
          <w:sz w:val="32"/>
          <w:szCs w:val="32"/>
          <w:highlight w:val="none"/>
          <w:lang w:val="en-US" w:eastAsia="zh-CN"/>
        </w:rPr>
        <w:t>本局</w:t>
      </w:r>
      <w:r>
        <w:rPr>
          <w:rFonts w:hint="default" w:ascii="Times New Roman" w:hAnsi="Times New Roman" w:eastAsia="仿宋_GB2312" w:cs="Times New Roman"/>
          <w:color w:val="auto"/>
          <w:sz w:val="32"/>
          <w:szCs w:val="32"/>
          <w:highlight w:val="none"/>
        </w:rPr>
        <w:t>固定资产净值443.35万元，较上年增长79.45%，占资产总额5.13%</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无形资产1,335.1</w:t>
      </w:r>
      <w:r>
        <w:rPr>
          <w:rFonts w:hint="eastAsia"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万元，较上年增长-3.51%，占资产总额15.46%</w:t>
      </w:r>
      <w:r>
        <w:rPr>
          <w:rFonts w:hint="default" w:ascii="Times New Roman" w:hAnsi="Times New Roman" w:eastAsia="仿宋_GB2312" w:cs="Times New Roman"/>
          <w:color w:val="auto"/>
          <w:sz w:val="32"/>
          <w:szCs w:val="32"/>
          <w:highlight w:val="none"/>
          <w:lang w:eastAsia="zh-CN"/>
        </w:rPr>
        <w:t>。</w:t>
      </w:r>
    </w:p>
    <w:p>
      <w:pPr>
        <w:pStyle w:val="24"/>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default"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2.</w:t>
      </w:r>
      <w:r>
        <w:rPr>
          <w:rFonts w:hint="default" w:ascii="Times New Roman" w:hAnsi="Times New Roman" w:eastAsia="仿宋_GB2312" w:cs="Times New Roman"/>
          <w:b/>
          <w:bCs/>
          <w:color w:val="auto"/>
          <w:sz w:val="32"/>
          <w:szCs w:val="32"/>
          <w:highlight w:val="none"/>
          <w:lang w:val="en-US" w:eastAsia="zh-CN"/>
        </w:rPr>
        <w:t>资产处置</w:t>
      </w:r>
    </w:p>
    <w:p>
      <w:pPr>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本局</w:t>
      </w:r>
      <w:r>
        <w:rPr>
          <w:rFonts w:hint="default" w:ascii="Times New Roman" w:hAnsi="Times New Roman" w:eastAsia="仿宋_GB2312" w:cs="Times New Roman"/>
          <w:color w:val="auto"/>
          <w:sz w:val="32"/>
          <w:szCs w:val="32"/>
          <w:highlight w:val="none"/>
          <w:lang w:val="en-US" w:eastAsia="zh-CN"/>
        </w:rPr>
        <w:t>资产处置严格按《关于明确市属行政事业单位资产处置审批权限有关事项的通知》（长财资产〔2019〕45号）文件要求执行。资产处置应按以下程序执行：（一）申报。单位提出资产处置申请，须提交资产处置申报材料向主管部门或市财政局申报。（二）审批。主管部门对单位报送的国有资产处置申请进行审核，属于权限内的，予以批复；属于权限外的，加具审核意见后，由申报单位报市财政局审批。（三）评估。市直行政事业单位以出售、出让、转让、置换等方式处置的国有资产及尚有变现价值或使用价值的报废资产，由产权单位委托具有资质的资产评估机构对其进行价值评估，评估报告须按审批权限，报市财政局或主管部门备案。（四）处置。经市政府、市财政局或主管部门批准后，单位应当及时办理资产处置相关手续。（五）缴款。单位资产处置收入，单位持书面申请及主管部门或市财政局的资产处置批复，至市财政局开具非税</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缴款通知书</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并将资产处置收入全额缴入国库，实行</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收支两条线</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管理。若无资产处置收入，单位须书面说明情况，国家或市另有规定的，从其规定。（六）账务处理。资产处置完毕，单位应当凭资产处置批复文件、处置结果等有关资料，及时按照现行财务会计制度的规定进行账务处理。（七）系统核销。单位资产处置后，应当在进行账务处理的同时，及时更新行政事业资产管理信息系统中相应资产卡片信息，进行资产核销处理，做到</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账实相符</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账账相符</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。本局2022年度无资产处置情况。</w:t>
      </w:r>
    </w:p>
    <w:p>
      <w:pPr>
        <w:spacing w:line="240" w:lineRule="auto"/>
        <w:ind w:firstLine="640" w:firstLineChars="200"/>
        <w:jc w:val="lef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五、政府性基金预算支出情况</w:t>
      </w:r>
    </w:p>
    <w:p>
      <w:pPr>
        <w:pStyle w:val="18"/>
        <w:ind w:firstLine="640"/>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lang w:val="en-US" w:eastAsia="zh-CN"/>
        </w:rPr>
        <w:t>一</w:t>
      </w: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lang w:val="en-US" w:eastAsia="zh-CN"/>
        </w:rPr>
        <w:t>资金支出情况</w:t>
      </w:r>
    </w:p>
    <w:p>
      <w:pPr>
        <w:pStyle w:val="18"/>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eastAsia="zh-CN"/>
        </w:rPr>
        <w:t>本局</w:t>
      </w:r>
      <w:r>
        <w:rPr>
          <w:rFonts w:hint="default" w:ascii="Times New Roman" w:hAnsi="Times New Roman" w:eastAsia="仿宋_GB2312" w:cs="Times New Roman"/>
          <w:color w:val="auto"/>
          <w:sz w:val="32"/>
          <w:szCs w:val="32"/>
          <w:highlight w:val="none"/>
        </w:rPr>
        <w:t>政府性基金上年结转0.00万元，202</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年政府性基金收入103,648.60万元，202</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年政府性基金支出89,072.80万元，其中：其他污水处理费安排的支出89,072.80万元</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污水处理运行费85,427.90万元、长沙市敢胜垸、苏托垸污水处理PPP项目（还本付息）</w:t>
      </w:r>
      <w:r>
        <w:rPr>
          <w:rFonts w:hint="eastAsia" w:ascii="Times New Roman" w:hAnsi="Times New Roman" w:eastAsia="仿宋_GB2312" w:cs="Times New Roman"/>
          <w:color w:val="auto"/>
          <w:sz w:val="32"/>
          <w:szCs w:val="32"/>
          <w:highlight w:val="none"/>
        </w:rPr>
        <w:t>3,644.90</w:t>
      </w:r>
      <w:r>
        <w:rPr>
          <w:rFonts w:hint="eastAsia" w:ascii="Times New Roman" w:hAnsi="Times New Roman" w:eastAsia="仿宋_GB2312" w:cs="Times New Roman"/>
          <w:color w:val="auto"/>
          <w:sz w:val="32"/>
          <w:szCs w:val="32"/>
          <w:highlight w:val="none"/>
          <w:lang w:val="en-US" w:eastAsia="zh-CN"/>
        </w:rPr>
        <w:t>万元</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年项目结余14,575.80万元</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年末结余资金财政已全部收回</w:t>
      </w:r>
      <w:r>
        <w:rPr>
          <w:rFonts w:hint="default" w:ascii="Times New Roman" w:hAnsi="Times New Roman" w:eastAsia="仿宋_GB2312" w:cs="Times New Roman"/>
          <w:color w:val="auto"/>
          <w:sz w:val="32"/>
          <w:szCs w:val="32"/>
          <w:highlight w:val="none"/>
        </w:rPr>
        <w:t>。</w:t>
      </w:r>
    </w:p>
    <w:p>
      <w:pPr>
        <w:pStyle w:val="18"/>
        <w:ind w:firstLine="640"/>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（二）绩效目标完成情况</w:t>
      </w:r>
    </w:p>
    <w:p>
      <w:pPr>
        <w:pStyle w:val="18"/>
        <w:numPr>
          <w:ilvl w:val="-1"/>
          <w:numId w:val="0"/>
        </w:numPr>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2022年政府性基金支出项目为污水处理运行费及长沙市敢胜垸、苏托垸污水处理PPP项目（还本付息）项目，绩效目标为</w:t>
      </w:r>
      <w:r>
        <w:rPr>
          <w:rFonts w:hint="default" w:ascii="Times New Roman" w:hAnsi="Times New Roman" w:eastAsia="仿宋_GB2312" w:cs="Times New Roman"/>
          <w:color w:val="auto"/>
          <w:sz w:val="32"/>
          <w:szCs w:val="32"/>
          <w:lang w:val="en-US" w:eastAsia="zh-CN"/>
        </w:rPr>
        <w:t>长沙市主城区</w:t>
      </w:r>
      <w:r>
        <w:rPr>
          <w:rFonts w:hint="eastAsia" w:ascii="Times New Roman" w:hAnsi="Times New Roman" w:eastAsia="仿宋_GB2312" w:cs="Times New Roman"/>
          <w:color w:val="auto"/>
          <w:sz w:val="32"/>
          <w:szCs w:val="32"/>
          <w:lang w:val="en-US" w:eastAsia="zh-CN"/>
        </w:rPr>
        <w:t>14座</w:t>
      </w:r>
      <w:r>
        <w:rPr>
          <w:rFonts w:hint="eastAsia" w:ascii="Times New Roman" w:hAnsi="Times New Roman" w:eastAsia="仿宋_GB2312" w:cs="Times New Roman"/>
          <w:color w:val="auto"/>
          <w:sz w:val="32"/>
          <w:szCs w:val="32"/>
          <w:highlight w:val="none"/>
          <w:lang w:val="en-US" w:eastAsia="zh-CN"/>
        </w:rPr>
        <w:t>污水处理厂（含敢胜垸、苏托垸）稳定运行，出水水质达标、分散污泥妥善处置，实际完成情况为2022年污水处理厂出水达标率100%，污泥无害化处置率100%。</w:t>
      </w:r>
    </w:p>
    <w:p>
      <w:pPr>
        <w:pStyle w:val="18"/>
        <w:ind w:firstLine="640"/>
        <w:rPr>
          <w:rFonts w:hint="default"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（三）产出和效益情况</w:t>
      </w:r>
    </w:p>
    <w:p>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长沙市主城区污水处理厂建成并运行</w:t>
      </w:r>
      <w:r>
        <w:rPr>
          <w:rFonts w:hint="eastAsia" w:ascii="Times New Roman" w:hAnsi="Times New Roman" w:eastAsia="仿宋_GB2312" w:cs="Times New Roman"/>
          <w:color w:val="auto"/>
          <w:sz w:val="32"/>
          <w:szCs w:val="32"/>
          <w:lang w:val="en-US" w:eastAsia="zh-CN"/>
        </w:rPr>
        <w:t>14座</w:t>
      </w:r>
      <w:r>
        <w:rPr>
          <w:rFonts w:hint="default" w:ascii="Times New Roman" w:hAnsi="Times New Roman" w:eastAsia="仿宋_GB2312" w:cs="Times New Roman"/>
          <w:color w:val="auto"/>
          <w:sz w:val="32"/>
          <w:szCs w:val="32"/>
          <w:lang w:val="en-US" w:eastAsia="zh-CN"/>
        </w:rPr>
        <w:t>，长沙市主城区污水处理能力提升至296.5万吨/日，其中一级A标准130万吨/日，准四类水标准166.5万吨/日，出水在线平台检测合格率100%，城市污水处理率98.6</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生活污泥处置采取集中和分散式处置相结合的方式，总处理规模为1800吨/日，其中集中处置1000吨/日（黑糜峰垃圾焚烧掺烧资源化处置），分散处置800吨/日（岳麓污泥散置项目500吨/日，长善垸污泥分散处置项目300吨/日，均进行资源化处置）。</w:t>
      </w:r>
    </w:p>
    <w:p>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2022年我市新增</w:t>
      </w:r>
      <w:r>
        <w:rPr>
          <w:rFonts w:hint="eastAsia" w:ascii="Times New Roman" w:hAnsi="Times New Roman" w:eastAsia="仿宋_GB2312" w:cs="Times New Roman"/>
          <w:color w:val="auto"/>
          <w:sz w:val="32"/>
          <w:szCs w:val="32"/>
          <w:lang w:val="en-US" w:eastAsia="zh-CN"/>
        </w:rPr>
        <w:t>城区</w:t>
      </w:r>
      <w:r>
        <w:rPr>
          <w:rFonts w:hint="default" w:ascii="Times New Roman" w:hAnsi="Times New Roman" w:eastAsia="仿宋_GB2312" w:cs="Times New Roman"/>
          <w:color w:val="auto"/>
          <w:sz w:val="32"/>
          <w:szCs w:val="32"/>
          <w:lang w:val="en-US" w:eastAsia="zh-CN"/>
        </w:rPr>
        <w:t>污水处理厂处理规模49万吨。其中岳麓污水处理厂三期项目从5月12日进入商业试运营，新增规模15万吨/日。开福污水处理厂三期扩建项目已建设完成，从4月1日进入商业试运行，新增处理规模15万吨/日。花桥水质净化厂三期扩建第一组新增10万吨每日处理规模已具备投运条件，自2022年3月7日进入运营并计量，新开铺污水处理厂提标改造项目新增规模9万吨/日已达标排放。2022年共处理污水约88169.88</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预估值</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万吨，较去年同期增长了1050.03万吨，同比增长1.21%，日均处理污水241.56万吨。污泥分散处理处置及资源化利用项目累计处理处置污泥（折合成含水率80%）203241.72（预估值）吨。其中长善垸污泥深度处理项目累计处理处置湿泥99795.49（预估值）吨，岳麓污水厂污泥深度处理项目累计处理处置湿泥量103446.23（预估值）吨，平均日产泥556吨，污泥经深度脱水后送至末端处置单位进行资源化利用。</w:t>
      </w:r>
    </w:p>
    <w:p>
      <w:pPr>
        <w:spacing w:line="240" w:lineRule="auto"/>
        <w:ind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2022年主城区</w:t>
      </w:r>
      <w:r>
        <w:rPr>
          <w:rFonts w:hint="eastAsia" w:ascii="Times New Roman" w:hAnsi="Times New Roman" w:eastAsia="仿宋_GB2312" w:cs="Times New Roman"/>
          <w:color w:val="auto"/>
          <w:kern w:val="2"/>
          <w:sz w:val="32"/>
          <w:szCs w:val="32"/>
          <w:lang w:val="en-US" w:eastAsia="zh-CN" w:bidi="ar-SA"/>
        </w:rPr>
        <w:t>污水处理厂出厂水质基本达到了环保部门要求，出水在线平台检测合格率达到100%。污泥排放均符合国家城镇建设行业标准《城市污水处理厂污水污泥排放标准CJ3025-93》，安全处置率100%，为构建湘江流域水环境生态安全屏障，保障湘江库区人民群众生产、生活用水安全作出重要贡献。</w:t>
      </w:r>
    </w:p>
    <w:p>
      <w:pPr>
        <w:spacing w:line="240" w:lineRule="auto"/>
        <w:ind w:firstLine="640" w:firstLineChars="200"/>
        <w:jc w:val="lef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六、国有资本经营预算支出情况</w:t>
      </w:r>
    </w:p>
    <w:p>
      <w:pPr>
        <w:spacing w:line="240" w:lineRule="auto"/>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eastAsia="zh-CN"/>
        </w:rPr>
        <w:t>本局</w:t>
      </w:r>
      <w:r>
        <w:rPr>
          <w:rFonts w:hint="default" w:ascii="Times New Roman" w:hAnsi="Times New Roman" w:eastAsia="仿宋_GB2312" w:cs="Times New Roman"/>
          <w:color w:val="auto"/>
          <w:sz w:val="32"/>
          <w:szCs w:val="32"/>
          <w:highlight w:val="none"/>
        </w:rPr>
        <w:t>无国有资本经营预算支出。</w:t>
      </w:r>
    </w:p>
    <w:p>
      <w:pPr>
        <w:spacing w:line="240" w:lineRule="auto"/>
        <w:ind w:firstLine="640" w:firstLineChars="200"/>
        <w:jc w:val="lef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七、社会保险基金预算支出情况</w:t>
      </w:r>
    </w:p>
    <w:p>
      <w:pPr>
        <w:spacing w:line="240" w:lineRule="auto"/>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eastAsia="zh-CN"/>
        </w:rPr>
        <w:t>本局</w:t>
      </w:r>
      <w:r>
        <w:rPr>
          <w:rFonts w:hint="default" w:ascii="Times New Roman" w:hAnsi="Times New Roman" w:eastAsia="仿宋_GB2312" w:cs="Times New Roman"/>
          <w:color w:val="auto"/>
          <w:sz w:val="32"/>
          <w:szCs w:val="32"/>
          <w:highlight w:val="none"/>
        </w:rPr>
        <w:t>无社会保险基金预算支出。</w:t>
      </w:r>
    </w:p>
    <w:p>
      <w:pPr>
        <w:spacing w:line="240" w:lineRule="auto"/>
        <w:ind w:firstLine="640" w:firstLineChars="200"/>
        <w:jc w:val="left"/>
        <w:rPr>
          <w:rFonts w:ascii="黑体" w:hAnsi="黑体" w:eastAsia="黑体"/>
          <w:color w:val="auto"/>
          <w:sz w:val="32"/>
          <w:szCs w:val="32"/>
          <w:highlight w:val="none"/>
        </w:rPr>
      </w:pPr>
      <w:r>
        <w:rPr>
          <w:rFonts w:hint="eastAsia" w:ascii="黑体" w:hAnsi="黑体" w:eastAsia="黑体" w:cs="黑体"/>
          <w:color w:val="auto"/>
          <w:sz w:val="32"/>
          <w:szCs w:val="32"/>
          <w:highlight w:val="none"/>
        </w:rPr>
        <w:t>八、部门整体支出绩效情况</w:t>
      </w:r>
    </w:p>
    <w:p>
      <w:pPr>
        <w:spacing w:line="240" w:lineRule="auto"/>
        <w:ind w:firstLine="643" w:firstLineChars="200"/>
        <w:rPr>
          <w:rFonts w:hint="eastAsia" w:ascii="楷体" w:hAnsi="楷体" w:eastAsia="楷体" w:cs="楷体"/>
          <w:b/>
          <w:bCs/>
          <w:color w:val="auto"/>
          <w:kern w:val="0"/>
          <w:sz w:val="32"/>
          <w:szCs w:val="32"/>
          <w:highlight w:val="none"/>
        </w:rPr>
      </w:pPr>
      <w:r>
        <w:rPr>
          <w:rFonts w:hint="eastAsia" w:ascii="楷体" w:hAnsi="楷体" w:eastAsia="楷体" w:cs="楷体"/>
          <w:b/>
          <w:bCs/>
          <w:color w:val="auto"/>
          <w:kern w:val="0"/>
          <w:sz w:val="32"/>
          <w:szCs w:val="32"/>
          <w:highlight w:val="none"/>
          <w:lang w:val="en-US" w:eastAsia="zh-CN"/>
        </w:rPr>
        <w:t>（一）</w:t>
      </w:r>
      <w:r>
        <w:rPr>
          <w:rFonts w:hint="eastAsia" w:ascii="楷体" w:hAnsi="楷体" w:eastAsia="楷体" w:cs="楷体"/>
          <w:b/>
          <w:bCs/>
          <w:color w:val="auto"/>
          <w:kern w:val="0"/>
          <w:sz w:val="32"/>
          <w:szCs w:val="32"/>
          <w:highlight w:val="none"/>
        </w:rPr>
        <w:t>绩效目标完成情况</w:t>
      </w:r>
    </w:p>
    <w:p>
      <w:pPr>
        <w:spacing w:line="240" w:lineRule="auto"/>
        <w:ind w:firstLine="640" w:firstLineChars="200"/>
        <w:rPr>
          <w:rFonts w:hint="default" w:ascii="Times New Roman" w:hAnsi="Times New Roman" w:eastAsia="仿宋_GB2312"/>
          <w:color w:val="auto"/>
          <w:kern w:val="0"/>
          <w:sz w:val="32"/>
          <w:szCs w:val="32"/>
          <w:highlight w:val="none"/>
        </w:rPr>
      </w:pPr>
      <w:r>
        <w:rPr>
          <w:rFonts w:hint="eastAsia" w:ascii="Times New Roman" w:hAnsi="Times New Roman" w:eastAsia="仿宋_GB2312"/>
          <w:color w:val="auto"/>
          <w:kern w:val="0"/>
          <w:sz w:val="32"/>
          <w:szCs w:val="32"/>
          <w:highlight w:val="none"/>
          <w:lang w:eastAsia="zh-CN"/>
        </w:rPr>
        <w:t>本局</w:t>
      </w:r>
      <w:r>
        <w:rPr>
          <w:rFonts w:ascii="Times New Roman" w:hAnsi="Times New Roman" w:eastAsia="仿宋_GB2312"/>
          <w:color w:val="auto"/>
          <w:kern w:val="0"/>
          <w:sz w:val="32"/>
          <w:szCs w:val="32"/>
          <w:highlight w:val="none"/>
        </w:rPr>
        <w:t>各部门根据</w:t>
      </w:r>
      <w:r>
        <w:rPr>
          <w:rFonts w:hint="default" w:ascii="Times New Roman" w:hAnsi="Times New Roman" w:eastAsia="仿宋_GB2312"/>
          <w:color w:val="auto"/>
          <w:kern w:val="0"/>
          <w:sz w:val="32"/>
          <w:szCs w:val="32"/>
          <w:highlight w:val="none"/>
        </w:rPr>
        <w:t>202</w:t>
      </w:r>
      <w:r>
        <w:rPr>
          <w:rFonts w:hint="eastAsia" w:ascii="Times New Roman" w:hAnsi="Times New Roman" w:eastAsia="仿宋_GB2312"/>
          <w:color w:val="auto"/>
          <w:kern w:val="0"/>
          <w:sz w:val="32"/>
          <w:szCs w:val="32"/>
          <w:highlight w:val="none"/>
          <w:lang w:val="en-US" w:eastAsia="zh-CN"/>
        </w:rPr>
        <w:t>2</w:t>
      </w:r>
      <w:r>
        <w:rPr>
          <w:rFonts w:hint="default" w:ascii="Times New Roman" w:hAnsi="Times New Roman" w:eastAsia="仿宋_GB2312"/>
          <w:color w:val="auto"/>
          <w:kern w:val="0"/>
          <w:sz w:val="32"/>
          <w:szCs w:val="32"/>
          <w:highlight w:val="none"/>
        </w:rPr>
        <w:t>年工作计划，认真履行职责，较好地完成了年初确定的各项工作任务，为推进住房及城镇建设事业和全</w:t>
      </w:r>
      <w:r>
        <w:rPr>
          <w:rFonts w:hint="eastAsia" w:ascii="Times New Roman" w:hAnsi="Times New Roman" w:eastAsia="仿宋_GB2312"/>
          <w:color w:val="auto"/>
          <w:kern w:val="0"/>
          <w:sz w:val="32"/>
          <w:szCs w:val="32"/>
          <w:highlight w:val="none"/>
          <w:lang w:val="en-US" w:eastAsia="zh-CN"/>
        </w:rPr>
        <w:t>市</w:t>
      </w:r>
      <w:r>
        <w:rPr>
          <w:rFonts w:hint="default" w:ascii="Times New Roman" w:hAnsi="Times New Roman" w:eastAsia="仿宋_GB2312"/>
          <w:color w:val="auto"/>
          <w:kern w:val="0"/>
          <w:sz w:val="32"/>
          <w:szCs w:val="32"/>
          <w:highlight w:val="none"/>
        </w:rPr>
        <w:t>经济社会发展作出了积极贡献。</w:t>
      </w:r>
    </w:p>
    <w:p>
      <w:pPr>
        <w:numPr>
          <w:ilvl w:val="-1"/>
          <w:numId w:val="0"/>
        </w:numPr>
        <w:spacing w:line="240" w:lineRule="auto"/>
        <w:ind w:firstLine="640" w:firstLineChars="200"/>
        <w:rPr>
          <w:rFonts w:hint="eastAsia" w:ascii="Times New Roman" w:hAnsi="Times New Roman" w:eastAsia="仿宋_GB2312"/>
          <w:color w:val="auto"/>
          <w:kern w:val="0"/>
          <w:sz w:val="32"/>
          <w:szCs w:val="32"/>
          <w:highlight w:val="none"/>
          <w:lang w:val="en-US" w:eastAsia="zh-CN"/>
        </w:rPr>
      </w:pPr>
      <w:r>
        <w:rPr>
          <w:rFonts w:hint="eastAsia" w:ascii="Times New Roman" w:hAnsi="Times New Roman" w:eastAsia="仿宋_GB2312"/>
          <w:color w:val="auto"/>
          <w:kern w:val="0"/>
          <w:sz w:val="32"/>
          <w:szCs w:val="32"/>
          <w:highlight w:val="none"/>
          <w:lang w:eastAsia="zh-CN"/>
        </w:rPr>
        <w:t>（</w:t>
      </w:r>
      <w:r>
        <w:rPr>
          <w:rFonts w:hint="eastAsia" w:ascii="Times New Roman" w:hAnsi="Times New Roman" w:eastAsia="仿宋_GB2312"/>
          <w:color w:val="auto"/>
          <w:kern w:val="0"/>
          <w:sz w:val="32"/>
          <w:szCs w:val="32"/>
          <w:highlight w:val="none"/>
          <w:lang w:val="en-US" w:eastAsia="zh-CN"/>
        </w:rPr>
        <w:t>1</w:t>
      </w:r>
      <w:r>
        <w:rPr>
          <w:rFonts w:hint="eastAsia" w:ascii="Times New Roman" w:hAnsi="Times New Roman" w:eastAsia="仿宋_GB2312"/>
          <w:color w:val="auto"/>
          <w:kern w:val="0"/>
          <w:sz w:val="32"/>
          <w:szCs w:val="32"/>
          <w:highlight w:val="none"/>
          <w:lang w:eastAsia="zh-CN"/>
        </w:rPr>
        <w:t>）</w:t>
      </w:r>
      <w:r>
        <w:rPr>
          <w:rFonts w:hint="eastAsia" w:ascii="Times New Roman" w:hAnsi="Times New Roman" w:eastAsia="仿宋_GB2312"/>
          <w:color w:val="auto"/>
          <w:kern w:val="0"/>
          <w:sz w:val="32"/>
          <w:szCs w:val="32"/>
          <w:highlight w:val="none"/>
          <w:lang w:val="en-US" w:eastAsia="zh-CN"/>
        </w:rPr>
        <w:t>2022年</w:t>
      </w:r>
      <w:r>
        <w:rPr>
          <w:rFonts w:hint="default" w:ascii="Times New Roman" w:hAnsi="Times New Roman" w:eastAsia="仿宋_GB2312" w:cs="Times New Roman"/>
          <w:color w:val="auto"/>
          <w:sz w:val="32"/>
          <w:szCs w:val="32"/>
          <w:lang w:val="en-US" w:eastAsia="zh-CN"/>
        </w:rPr>
        <w:t>长沙市主城区各污水处理厂污水处理设施运行稳定，全年未发生重大安全事故，除经批准的计划内检修和改扩建管网接驳停产外，各污水处理厂全年均正常运行。202</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年度主城区的污水处理厂日均处理污水296.5</w:t>
      </w:r>
      <w:r>
        <w:rPr>
          <w:rFonts w:hint="eastAsia" w:ascii="仿宋_GB2312" w:hAnsi="Times New Roman" w:eastAsia="仿宋_GB2312" w:cs="Times New Roman"/>
          <w:color w:val="auto"/>
          <w:sz w:val="32"/>
          <w:szCs w:val="32"/>
          <w:lang w:val="en-US" w:eastAsia="zh-CN"/>
        </w:rPr>
        <w:t>万吨</w:t>
      </w:r>
      <w:r>
        <w:rPr>
          <w:rFonts w:hint="default" w:ascii="Times New Roman" w:hAnsi="Times New Roman" w:eastAsia="仿宋_GB2312" w:cs="Times New Roman"/>
          <w:color w:val="auto"/>
          <w:sz w:val="32"/>
          <w:szCs w:val="32"/>
          <w:lang w:val="en-US" w:eastAsia="zh-CN"/>
        </w:rPr>
        <w:t>，污水处理率达98.</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0%，圆满完成年度工作目标。污水处理厂出厂水质基本达到了环保部门要求，出水在线平台检测合格率达到100%。</w:t>
      </w:r>
    </w:p>
    <w:p>
      <w:pPr>
        <w:pStyle w:val="12"/>
        <w:numPr>
          <w:ilvl w:val="-1"/>
          <w:numId w:val="0"/>
        </w:numPr>
        <w:spacing w:after="0"/>
        <w:ind w:left="0" w:leftChars="0" w:firstLine="640" w:firstLineChars="200"/>
        <w:rPr>
          <w:rFonts w:hint="eastAsia" w:ascii="Times New Roman" w:hAnsi="Times New Roman" w:eastAsia="仿宋_GB2312"/>
          <w:color w:val="auto"/>
          <w:kern w:val="0"/>
          <w:sz w:val="32"/>
          <w:szCs w:val="32"/>
          <w:highlight w:val="none"/>
          <w:lang w:val="en-US" w:eastAsia="zh-CN"/>
        </w:rPr>
      </w:pPr>
      <w:r>
        <w:rPr>
          <w:rFonts w:hint="eastAsia" w:ascii="Times New Roman" w:hAnsi="Times New Roman" w:eastAsia="仿宋_GB2312"/>
          <w:color w:val="auto"/>
          <w:kern w:val="0"/>
          <w:sz w:val="32"/>
          <w:szCs w:val="32"/>
          <w:highlight w:val="none"/>
          <w:lang w:val="en-US" w:eastAsia="zh-CN"/>
        </w:rPr>
        <w:t>（2）成立市级专班，累计排查自建房1108204栋，采取整治措施53089栋，拆除存在重大安全隐患自建房1828栋；全市共排查既有建筑260145栋，排查在建建筑7723栋，处罚企业207家。</w:t>
      </w:r>
    </w:p>
    <w:p>
      <w:pPr>
        <w:pStyle w:val="12"/>
        <w:numPr>
          <w:ilvl w:val="0"/>
          <w:numId w:val="0"/>
        </w:numPr>
        <w:spacing w:after="0"/>
        <w:ind w:leftChars="0" w:firstLine="640" w:firstLineChars="200"/>
        <w:rPr>
          <w:rFonts w:hint="eastAsia" w:ascii="Times New Roman" w:hAnsi="Times New Roman" w:eastAsia="仿宋_GB2312"/>
          <w:color w:val="auto"/>
          <w:kern w:val="0"/>
          <w:sz w:val="32"/>
          <w:szCs w:val="32"/>
          <w:highlight w:val="none"/>
          <w:lang w:val="en-US" w:eastAsia="zh-CN"/>
        </w:rPr>
      </w:pPr>
      <w:r>
        <w:rPr>
          <w:rFonts w:hint="eastAsia" w:ascii="Times New Roman" w:hAnsi="Times New Roman" w:eastAsia="仿宋_GB2312"/>
          <w:color w:val="auto"/>
          <w:kern w:val="0"/>
          <w:sz w:val="32"/>
          <w:szCs w:val="32"/>
          <w:highlight w:val="none"/>
          <w:lang w:val="en-US" w:eastAsia="zh-CN"/>
        </w:rPr>
        <w:t>（3）中央环保督察整改重点项目共13个，其中6个项目已开工，2个项目已基本完成前期工作即将开工，5个项目正在前期工作开展阶段，实际完成投资11.054亿元。</w:t>
      </w:r>
    </w:p>
    <w:p>
      <w:pPr>
        <w:pStyle w:val="12"/>
        <w:numPr>
          <w:ilvl w:val="0"/>
          <w:numId w:val="0"/>
        </w:numPr>
        <w:ind w:leftChars="0" w:firstLine="640" w:firstLineChars="200"/>
        <w:rPr>
          <w:rFonts w:hint="eastAsia" w:ascii="Times New Roman" w:hAnsi="Times New Roman" w:eastAsia="仿宋_GB2312"/>
          <w:color w:val="auto"/>
          <w:kern w:val="0"/>
          <w:sz w:val="32"/>
          <w:szCs w:val="32"/>
          <w:highlight w:val="none"/>
          <w:lang w:val="en-US" w:eastAsia="zh-CN"/>
        </w:rPr>
      </w:pPr>
      <w:r>
        <w:rPr>
          <w:rFonts w:hint="eastAsia" w:ascii="Times New Roman" w:hAnsi="Times New Roman" w:eastAsia="仿宋_GB2312"/>
          <w:color w:val="auto"/>
          <w:kern w:val="0"/>
          <w:sz w:val="32"/>
          <w:szCs w:val="32"/>
          <w:highlight w:val="none"/>
          <w:lang w:val="en-US" w:eastAsia="zh-CN"/>
        </w:rPr>
        <w:t>（4）全市摸排2022年实施既有小区品质提升项目共227个，已完成200个，通过十期《家门口的蝶变》向社会推介一批高品质、高颜值的示范项目，激发了群众参与既有小区品质提升行动的热情。</w:t>
      </w:r>
    </w:p>
    <w:p>
      <w:pPr>
        <w:pStyle w:val="12"/>
        <w:numPr>
          <w:ilvl w:val="-1"/>
          <w:numId w:val="0"/>
        </w:numPr>
        <w:spacing w:after="0"/>
        <w:ind w:left="0" w:leftChars="0" w:firstLine="640" w:firstLineChars="200"/>
        <w:rPr>
          <w:rFonts w:hint="eastAsia" w:ascii="Times New Roman" w:hAnsi="Times New Roman" w:eastAsia="仿宋_GB2312"/>
          <w:color w:val="auto"/>
          <w:kern w:val="0"/>
          <w:sz w:val="32"/>
          <w:szCs w:val="32"/>
          <w:highlight w:val="none"/>
          <w:lang w:val="en-US" w:eastAsia="zh-CN"/>
        </w:rPr>
      </w:pPr>
      <w:r>
        <w:rPr>
          <w:rFonts w:hint="eastAsia" w:ascii="Times New Roman" w:hAnsi="Times New Roman" w:eastAsia="仿宋_GB2312"/>
          <w:color w:val="auto"/>
          <w:kern w:val="0"/>
          <w:sz w:val="32"/>
          <w:szCs w:val="32"/>
          <w:highlight w:val="none"/>
          <w:lang w:val="en-US" w:eastAsia="zh-CN"/>
        </w:rPr>
        <w:t>（5）从房源筹集、资金管理、土地供应、税费优惠等方面出台政策文件39个，形成了住房租赁市场发展的政策框架体系；三年共筹集租赁住房11.71万套，完成中央任务10.5万套的111.55%。</w:t>
      </w:r>
    </w:p>
    <w:p>
      <w:pPr>
        <w:pStyle w:val="12"/>
        <w:numPr>
          <w:ilvl w:val="-1"/>
          <w:numId w:val="0"/>
        </w:numPr>
        <w:spacing w:after="0"/>
        <w:ind w:left="0" w:leftChars="0" w:firstLine="640" w:firstLineChars="200"/>
        <w:rPr>
          <w:rFonts w:hint="eastAsia" w:ascii="Times New Roman" w:hAnsi="Times New Roman" w:eastAsia="仿宋_GB2312"/>
          <w:color w:val="auto"/>
          <w:kern w:val="0"/>
          <w:sz w:val="32"/>
          <w:szCs w:val="32"/>
          <w:highlight w:val="none"/>
          <w:lang w:val="en-US" w:eastAsia="zh-CN"/>
        </w:rPr>
      </w:pPr>
      <w:r>
        <w:rPr>
          <w:rFonts w:hint="eastAsia" w:ascii="Times New Roman" w:hAnsi="Times New Roman" w:eastAsia="仿宋_GB2312"/>
          <w:color w:val="auto"/>
          <w:kern w:val="0"/>
          <w:sz w:val="32"/>
          <w:szCs w:val="32"/>
          <w:highlight w:val="none"/>
          <w:lang w:val="en-US" w:eastAsia="zh-CN"/>
        </w:rPr>
        <w:t>（6）截至2022年11月底，我市注册建筑业企业8896家，其中特级企业17家，一级总包企业240家。</w:t>
      </w:r>
    </w:p>
    <w:p>
      <w:pPr>
        <w:pStyle w:val="12"/>
        <w:numPr>
          <w:ilvl w:val="-1"/>
          <w:numId w:val="0"/>
        </w:numPr>
        <w:spacing w:after="0"/>
        <w:ind w:left="0" w:leftChars="0" w:firstLine="640" w:firstLineChars="200"/>
        <w:rPr>
          <w:rFonts w:hint="eastAsia" w:ascii="Times New Roman" w:hAnsi="Times New Roman" w:eastAsia="仿宋_GB2312"/>
          <w:color w:val="auto"/>
          <w:kern w:val="0"/>
          <w:sz w:val="32"/>
          <w:szCs w:val="32"/>
          <w:highlight w:val="none"/>
          <w:lang w:val="en-US" w:eastAsia="zh-CN"/>
        </w:rPr>
      </w:pPr>
      <w:r>
        <w:rPr>
          <w:rFonts w:hint="eastAsia" w:ascii="Times New Roman" w:hAnsi="Times New Roman" w:eastAsia="仿宋_GB2312"/>
          <w:color w:val="auto"/>
          <w:kern w:val="0"/>
          <w:sz w:val="32"/>
          <w:szCs w:val="32"/>
          <w:highlight w:val="none"/>
          <w:lang w:val="en-US" w:eastAsia="zh-CN"/>
        </w:rPr>
        <w:t>（7）2022年既有多层住宅加装电梯1257台，超额完成年度计划，发放补贴数4750万元。</w:t>
      </w:r>
    </w:p>
    <w:p>
      <w:pPr>
        <w:pStyle w:val="12"/>
        <w:numPr>
          <w:ilvl w:val="0"/>
          <w:numId w:val="0"/>
        </w:numPr>
        <w:spacing w:after="0"/>
        <w:ind w:left="0" w:leftChars="0" w:firstLine="640" w:firstLineChars="200"/>
        <w:rPr>
          <w:rFonts w:hint="eastAsia" w:ascii="Times New Roman" w:hAnsi="Times New Roman" w:eastAsia="仿宋_GB2312"/>
          <w:color w:val="auto"/>
          <w:kern w:val="0"/>
          <w:sz w:val="32"/>
          <w:szCs w:val="32"/>
          <w:highlight w:val="none"/>
          <w:lang w:val="en-US" w:eastAsia="zh-CN"/>
        </w:rPr>
      </w:pPr>
      <w:r>
        <w:rPr>
          <w:rFonts w:hint="eastAsia" w:ascii="Times New Roman" w:hAnsi="Times New Roman" w:eastAsia="仿宋_GB2312"/>
          <w:color w:val="auto"/>
          <w:kern w:val="0"/>
          <w:sz w:val="32"/>
          <w:szCs w:val="32"/>
          <w:highlight w:val="none"/>
          <w:lang w:val="en-US" w:eastAsia="zh-CN"/>
        </w:rPr>
        <w:t>（8）2022年共计处理10批次、65人次评标专家；共核查文件185份，发现问题项目87个，全部要求建设单位进行修改；已录入了1097家代理机构的基本信息，对14家代理机构的不规范行为进行了扣分处理，收录了76家招标代理机构的700余条执业信息，核查代理公司专职人员1000余人次。</w:t>
      </w:r>
    </w:p>
    <w:p>
      <w:pPr>
        <w:pStyle w:val="12"/>
        <w:numPr>
          <w:ilvl w:val="0"/>
          <w:numId w:val="0"/>
        </w:numPr>
        <w:spacing w:after="0"/>
        <w:ind w:left="0" w:leftChars="0" w:firstLine="640" w:firstLineChars="200"/>
        <w:rPr>
          <w:rFonts w:hint="eastAsia" w:ascii="Times New Roman" w:hAnsi="Times New Roman" w:eastAsia="仿宋_GB2312"/>
          <w:color w:val="auto"/>
          <w:kern w:val="0"/>
          <w:sz w:val="32"/>
          <w:szCs w:val="32"/>
          <w:highlight w:val="none"/>
          <w:lang w:val="en-US" w:eastAsia="zh-CN"/>
        </w:rPr>
      </w:pPr>
      <w:r>
        <w:rPr>
          <w:rFonts w:hint="eastAsia" w:ascii="Times New Roman" w:hAnsi="Times New Roman" w:eastAsia="仿宋_GB2312"/>
          <w:color w:val="auto"/>
          <w:kern w:val="0"/>
          <w:sz w:val="32"/>
          <w:szCs w:val="32"/>
          <w:highlight w:val="none"/>
          <w:lang w:val="en-US" w:eastAsia="zh-CN"/>
        </w:rPr>
        <w:t>（9）今年全市乡镇完成85公里配套管网建设和34座乡镇污水处理厂的在线监测和视频监控。全年下达19座厂进水COD浓度提升工作，其中有9座乡镇污水处理厂进水COD浓度提升工作纳入市纪委“洞庭清波”专项行动督察。截至2022年12月，19座乡镇厂进水COD浓度基本达到60mg/L以上。</w:t>
      </w:r>
    </w:p>
    <w:p>
      <w:pPr>
        <w:pStyle w:val="12"/>
        <w:numPr>
          <w:ilvl w:val="0"/>
          <w:numId w:val="0"/>
        </w:numPr>
        <w:spacing w:after="0"/>
        <w:ind w:left="0" w:leftChars="0" w:firstLine="640" w:firstLineChars="200"/>
        <w:rPr>
          <w:rFonts w:hint="eastAsia" w:ascii="Times New Roman" w:hAnsi="Times New Roman" w:eastAsia="仿宋_GB2312"/>
          <w:color w:val="auto"/>
          <w:kern w:val="0"/>
          <w:sz w:val="32"/>
          <w:szCs w:val="32"/>
          <w:highlight w:val="none"/>
          <w:lang w:val="en-US" w:eastAsia="zh-CN"/>
        </w:rPr>
      </w:pPr>
      <w:r>
        <w:rPr>
          <w:rFonts w:hint="eastAsia" w:ascii="Times New Roman" w:hAnsi="Times New Roman" w:eastAsia="仿宋_GB2312"/>
          <w:color w:val="auto"/>
          <w:kern w:val="0"/>
          <w:sz w:val="32"/>
          <w:szCs w:val="32"/>
          <w:highlight w:val="none"/>
          <w:lang w:val="en-US" w:eastAsia="zh-CN"/>
        </w:rPr>
        <w:t>（10）在门户网站主动公开信息3777条，按时完成市数据资源局发布的数据治理任务，长政通共激活用户1470名，实现了100%全覆盖全激活，月活率均在90%以上。</w:t>
      </w:r>
    </w:p>
    <w:p>
      <w:pPr>
        <w:pStyle w:val="12"/>
        <w:numPr>
          <w:ilvl w:val="-1"/>
          <w:numId w:val="0"/>
        </w:numPr>
        <w:spacing w:after="0"/>
        <w:ind w:left="0" w:leftChars="0" w:firstLine="640" w:firstLineChars="200"/>
        <w:rPr>
          <w:rFonts w:hint="eastAsia" w:ascii="Times New Roman" w:hAnsi="Times New Roman" w:eastAsia="仿宋_GB2312"/>
          <w:color w:val="auto"/>
          <w:kern w:val="0"/>
          <w:sz w:val="32"/>
          <w:szCs w:val="32"/>
          <w:highlight w:val="none"/>
          <w:lang w:val="en-US" w:eastAsia="zh-CN"/>
        </w:rPr>
      </w:pPr>
      <w:r>
        <w:rPr>
          <w:rFonts w:hint="eastAsia" w:ascii="Times New Roman" w:hAnsi="Times New Roman" w:eastAsia="仿宋_GB2312"/>
          <w:color w:val="auto"/>
          <w:kern w:val="0"/>
          <w:sz w:val="32"/>
          <w:szCs w:val="32"/>
          <w:highlight w:val="none"/>
          <w:lang w:val="en-US" w:eastAsia="zh-CN"/>
        </w:rPr>
        <w:t>（11）全市城区新建污水管网135公里（含长望浏宁），改造污水管网59公里，新建雨水管网89公里，改造雨水管网31公里，已完成年度排水管网建设任务。</w:t>
      </w:r>
    </w:p>
    <w:p>
      <w:pPr>
        <w:pStyle w:val="12"/>
        <w:numPr>
          <w:ilvl w:val="-1"/>
          <w:numId w:val="0"/>
        </w:numPr>
        <w:spacing w:after="0"/>
        <w:ind w:left="0" w:leftChars="0" w:firstLine="640" w:firstLineChars="200"/>
        <w:rPr>
          <w:rFonts w:hint="eastAsia" w:ascii="Times New Roman" w:hAnsi="Times New Roman" w:eastAsia="仿宋_GB2312"/>
          <w:color w:val="auto"/>
          <w:kern w:val="0"/>
          <w:sz w:val="32"/>
          <w:szCs w:val="32"/>
          <w:highlight w:val="none"/>
          <w:lang w:val="en-US" w:eastAsia="zh-CN"/>
        </w:rPr>
      </w:pPr>
      <w:r>
        <w:rPr>
          <w:rFonts w:hint="eastAsia" w:ascii="Times New Roman" w:hAnsi="Times New Roman" w:eastAsia="仿宋_GB2312"/>
          <w:color w:val="auto"/>
          <w:kern w:val="0"/>
          <w:sz w:val="32"/>
          <w:szCs w:val="32"/>
          <w:highlight w:val="none"/>
          <w:lang w:val="en-US" w:eastAsia="zh-CN"/>
        </w:rPr>
        <w:t>（12）《长沙市住房和城乡建设局2021年度预算执行及其他财政收支情况审计》指出20个问题，16个问题已经整改到位，4个问题正在整改中（系持续整改问题），《长沙市2019年至2021年城建专项资金管理使用情况专项审计》指出的两个问题已经全部整改到位。</w:t>
      </w:r>
    </w:p>
    <w:p>
      <w:pPr>
        <w:spacing w:line="240" w:lineRule="auto"/>
        <w:ind w:firstLine="643" w:firstLineChars="200"/>
        <w:rPr>
          <w:rFonts w:hint="default" w:ascii="楷体" w:hAnsi="楷体" w:eastAsia="楷体" w:cs="楷体"/>
          <w:b/>
          <w:bCs/>
          <w:color w:val="auto"/>
          <w:kern w:val="0"/>
          <w:sz w:val="32"/>
          <w:szCs w:val="32"/>
          <w:highlight w:val="none"/>
          <w:lang w:val="en-US" w:eastAsia="zh-CN"/>
        </w:rPr>
      </w:pPr>
      <w:r>
        <w:rPr>
          <w:rFonts w:hint="eastAsia" w:ascii="楷体" w:hAnsi="楷体" w:eastAsia="楷体" w:cs="楷体"/>
          <w:b/>
          <w:bCs/>
          <w:color w:val="auto"/>
          <w:kern w:val="0"/>
          <w:sz w:val="32"/>
          <w:szCs w:val="32"/>
          <w:highlight w:val="none"/>
          <w:lang w:val="en-US" w:eastAsia="zh-CN"/>
        </w:rPr>
        <w:t>（二）产出和效益情况</w:t>
      </w:r>
    </w:p>
    <w:p>
      <w:pPr>
        <w:spacing w:line="240" w:lineRule="auto"/>
        <w:ind w:firstLine="643" w:firstLineChars="200"/>
        <w:rPr>
          <w:rFonts w:hint="eastAsia" w:ascii="Times New Roman" w:hAnsi="Times New Roman" w:eastAsia="仿宋_GB2312"/>
          <w:b w:val="0"/>
          <w:bCs w:val="0"/>
          <w:color w:val="auto"/>
          <w:kern w:val="0"/>
          <w:sz w:val="32"/>
          <w:szCs w:val="32"/>
          <w:highlight w:val="none"/>
          <w:lang w:val="en-US" w:eastAsia="zh-CN"/>
        </w:rPr>
      </w:pPr>
      <w:r>
        <w:rPr>
          <w:rFonts w:hint="eastAsia" w:ascii="Times New Roman" w:hAnsi="Times New Roman" w:eastAsia="仿宋_GB2312"/>
          <w:b/>
          <w:bCs/>
          <w:color w:val="auto"/>
          <w:kern w:val="0"/>
          <w:sz w:val="32"/>
          <w:szCs w:val="32"/>
          <w:highlight w:val="none"/>
          <w:lang w:eastAsia="zh-CN"/>
        </w:rPr>
        <w:t>（</w:t>
      </w:r>
      <w:r>
        <w:rPr>
          <w:rFonts w:hint="eastAsia" w:ascii="Times New Roman" w:hAnsi="Times New Roman" w:eastAsia="仿宋_GB2312"/>
          <w:b/>
          <w:bCs/>
          <w:color w:val="auto"/>
          <w:kern w:val="0"/>
          <w:sz w:val="32"/>
          <w:szCs w:val="32"/>
          <w:highlight w:val="none"/>
          <w:lang w:val="en-US" w:eastAsia="zh-CN"/>
        </w:rPr>
        <w:t>1</w:t>
      </w:r>
      <w:r>
        <w:rPr>
          <w:rFonts w:hint="eastAsia" w:ascii="Times New Roman" w:hAnsi="Times New Roman" w:eastAsia="仿宋_GB2312"/>
          <w:b/>
          <w:bCs/>
          <w:color w:val="auto"/>
          <w:kern w:val="0"/>
          <w:sz w:val="32"/>
          <w:szCs w:val="32"/>
          <w:highlight w:val="none"/>
          <w:lang w:eastAsia="zh-CN"/>
        </w:rPr>
        <w:t>）</w:t>
      </w:r>
      <w:r>
        <w:rPr>
          <w:rFonts w:hint="eastAsia" w:ascii="Times New Roman" w:hAnsi="Times New Roman" w:eastAsia="仿宋_GB2312"/>
          <w:b/>
          <w:bCs/>
          <w:color w:val="auto"/>
          <w:kern w:val="0"/>
          <w:sz w:val="32"/>
          <w:szCs w:val="32"/>
          <w:highlight w:val="none"/>
          <w:lang w:val="en-US" w:eastAsia="zh-CN"/>
        </w:rPr>
        <w:t>奋力打响自建房安全整治攻坚战。</w:t>
      </w:r>
      <w:r>
        <w:rPr>
          <w:rFonts w:hint="eastAsia" w:ascii="Times New Roman" w:hAnsi="Times New Roman" w:eastAsia="仿宋_GB2312"/>
          <w:b w:val="0"/>
          <w:bCs w:val="0"/>
          <w:color w:val="auto"/>
          <w:kern w:val="0"/>
          <w:sz w:val="32"/>
          <w:szCs w:val="32"/>
          <w:highlight w:val="none"/>
          <w:lang w:val="en-US" w:eastAsia="zh-CN"/>
        </w:rPr>
        <w:t>坚持人民至上、生命至上，知重负重、迎难而上，第一时间率队救援现场，第一时间开展专项整治，组建工作专班，全面推进“百日攻坚”行动。在市委、市政府的高位统筹下，迅速构建市县和部门协同推进工作格局，落实“三到位”“六步法”要求，扎实开展“四查、四改、四帮、四治”，先后落实两轮排查一轮核查，开展一轮隐患整治，动员投入力量10.4万人，市县两级财政投入15.18亿元，做到了率先完成普查，率先开展整治，率先完善政策，率先健全队伍，率先建立平台。截至目前，全市共排查居民自建房110.81万栋，初判隐患61.44万栋，其中初判存在结构安全性隐患的75706栋，实际存在结构安全性隐患的9037栋，目前全部完成整治销号，其中拆除C、D级安全隐患自建房3613栋，有效管控和消除了一批重大安全隐患，守住了“危房不住人，人不进危房”的底线。</w:t>
      </w:r>
    </w:p>
    <w:p>
      <w:pPr>
        <w:pStyle w:val="16"/>
        <w:keepNext w:val="0"/>
        <w:keepLines w:val="0"/>
        <w:pageBreakBefore w:val="0"/>
        <w:widowControl w:val="0"/>
        <w:kinsoku/>
        <w:wordWrap/>
        <w:overflowPunct/>
        <w:topLinePunct w:val="0"/>
        <w:autoSpaceDE/>
        <w:autoSpaceDN/>
        <w:bidi w:val="0"/>
        <w:adjustRightInd/>
        <w:snapToGrid/>
        <w:spacing w:after="0"/>
        <w:ind w:left="0" w:leftChars="0" w:firstLine="643" w:firstLineChars="200"/>
        <w:textAlignment w:val="baseline"/>
        <w:rPr>
          <w:rFonts w:hint="eastAsia" w:ascii="Times New Roman" w:hAnsi="Times New Roman" w:eastAsia="仿宋_GB2312" w:cs="Calibri"/>
          <w:b w:val="0"/>
          <w:bCs w:val="0"/>
          <w:color w:val="auto"/>
          <w:kern w:val="0"/>
          <w:sz w:val="32"/>
          <w:szCs w:val="32"/>
          <w:highlight w:val="none"/>
          <w:lang w:val="en-US" w:eastAsia="zh-CN" w:bidi="ar-SA"/>
        </w:rPr>
      </w:pPr>
      <w:r>
        <w:rPr>
          <w:rFonts w:hint="eastAsia" w:ascii="Times New Roman" w:hAnsi="Times New Roman" w:eastAsia="仿宋_GB2312" w:cs="Calibri"/>
          <w:b/>
          <w:bCs/>
          <w:color w:val="auto"/>
          <w:kern w:val="0"/>
          <w:sz w:val="32"/>
          <w:szCs w:val="32"/>
          <w:highlight w:val="none"/>
          <w:lang w:val="en-US" w:eastAsia="zh-CN" w:bidi="ar-SA"/>
        </w:rPr>
        <w:t>（2）全力统筹住建领域发展与安全。</w:t>
      </w:r>
      <w:r>
        <w:rPr>
          <w:rFonts w:hint="eastAsia" w:ascii="Times New Roman" w:hAnsi="Times New Roman" w:eastAsia="仿宋_GB2312" w:cs="Calibri"/>
          <w:b w:val="0"/>
          <w:bCs w:val="0"/>
          <w:color w:val="auto"/>
          <w:kern w:val="0"/>
          <w:sz w:val="32"/>
          <w:szCs w:val="32"/>
          <w:highlight w:val="none"/>
          <w:lang w:val="en-US" w:eastAsia="zh-CN" w:bidi="ar-SA"/>
        </w:rPr>
        <w:t>坚决推进</w:t>
      </w:r>
      <w:r>
        <w:rPr>
          <w:rFonts w:hint="eastAsia" w:eastAsia="仿宋_GB2312" w:cs="Calibri"/>
          <w:b w:val="0"/>
          <w:bCs w:val="0"/>
          <w:color w:val="auto"/>
          <w:kern w:val="0"/>
          <w:sz w:val="32"/>
          <w:szCs w:val="32"/>
          <w:highlight w:val="none"/>
          <w:lang w:val="en-US" w:eastAsia="zh-CN" w:bidi="ar-SA"/>
        </w:rPr>
        <w:t>“</w:t>
      </w:r>
      <w:r>
        <w:rPr>
          <w:rFonts w:hint="eastAsia" w:ascii="Times New Roman" w:hAnsi="Times New Roman" w:eastAsia="仿宋_GB2312" w:cs="Calibri"/>
          <w:b w:val="0"/>
          <w:bCs w:val="0"/>
          <w:color w:val="auto"/>
          <w:kern w:val="0"/>
          <w:sz w:val="32"/>
          <w:szCs w:val="32"/>
          <w:highlight w:val="none"/>
          <w:lang w:val="en-US" w:eastAsia="zh-CN" w:bidi="ar-SA"/>
        </w:rPr>
        <w:t>保交楼</w:t>
      </w:r>
      <w:r>
        <w:rPr>
          <w:rFonts w:hint="eastAsia" w:eastAsia="仿宋_GB2312" w:cs="Calibri"/>
          <w:b w:val="0"/>
          <w:bCs w:val="0"/>
          <w:color w:val="auto"/>
          <w:kern w:val="0"/>
          <w:sz w:val="32"/>
          <w:szCs w:val="32"/>
          <w:highlight w:val="none"/>
          <w:lang w:val="en-US" w:eastAsia="zh-CN" w:bidi="ar-SA"/>
        </w:rPr>
        <w:t>”</w:t>
      </w:r>
      <w:r>
        <w:rPr>
          <w:rFonts w:hint="eastAsia" w:ascii="Times New Roman" w:hAnsi="Times New Roman" w:eastAsia="仿宋_GB2312" w:cs="Calibri"/>
          <w:b w:val="0"/>
          <w:bCs w:val="0"/>
          <w:color w:val="auto"/>
          <w:kern w:val="0"/>
          <w:sz w:val="32"/>
          <w:szCs w:val="32"/>
          <w:highlight w:val="none"/>
          <w:lang w:val="en-US" w:eastAsia="zh-CN" w:bidi="ar-SA"/>
        </w:rPr>
        <w:t>重大任务，以竣工交付为目标，实行</w:t>
      </w:r>
      <w:r>
        <w:rPr>
          <w:rFonts w:hint="eastAsia" w:eastAsia="仿宋_GB2312" w:cs="Calibri"/>
          <w:b w:val="0"/>
          <w:bCs w:val="0"/>
          <w:color w:val="auto"/>
          <w:kern w:val="0"/>
          <w:sz w:val="32"/>
          <w:szCs w:val="32"/>
          <w:highlight w:val="none"/>
          <w:lang w:val="en-US" w:eastAsia="zh-CN" w:bidi="ar-SA"/>
        </w:rPr>
        <w:t>“</w:t>
      </w:r>
      <w:r>
        <w:rPr>
          <w:rFonts w:hint="eastAsia" w:ascii="Times New Roman" w:hAnsi="Times New Roman" w:eastAsia="仿宋_GB2312" w:cs="Calibri"/>
          <w:b w:val="0"/>
          <w:bCs w:val="0"/>
          <w:color w:val="auto"/>
          <w:kern w:val="0"/>
          <w:sz w:val="32"/>
          <w:szCs w:val="32"/>
          <w:highlight w:val="none"/>
          <w:lang w:val="en-US" w:eastAsia="zh-CN" w:bidi="ar-SA"/>
        </w:rPr>
        <w:t>专班推动</w:t>
      </w:r>
      <w:r>
        <w:rPr>
          <w:rFonts w:hint="eastAsia" w:eastAsia="仿宋_GB2312" w:cs="Calibri"/>
          <w:b w:val="0"/>
          <w:bCs w:val="0"/>
          <w:color w:val="auto"/>
          <w:kern w:val="0"/>
          <w:sz w:val="32"/>
          <w:szCs w:val="32"/>
          <w:highlight w:val="none"/>
          <w:lang w:val="en-US" w:eastAsia="zh-CN" w:bidi="ar-SA"/>
        </w:rPr>
        <w:t>”“</w:t>
      </w:r>
      <w:r>
        <w:rPr>
          <w:rFonts w:hint="eastAsia" w:ascii="Times New Roman" w:hAnsi="Times New Roman" w:eastAsia="仿宋_GB2312" w:cs="Calibri"/>
          <w:b w:val="0"/>
          <w:bCs w:val="0"/>
          <w:color w:val="auto"/>
          <w:kern w:val="0"/>
          <w:sz w:val="32"/>
          <w:szCs w:val="32"/>
          <w:highlight w:val="none"/>
          <w:lang w:val="en-US" w:eastAsia="zh-CN" w:bidi="ar-SA"/>
        </w:rPr>
        <w:t>一企一策、一楼一策</w:t>
      </w:r>
      <w:r>
        <w:rPr>
          <w:rFonts w:hint="eastAsia" w:eastAsia="仿宋_GB2312" w:cs="Calibri"/>
          <w:b w:val="0"/>
          <w:bCs w:val="0"/>
          <w:color w:val="auto"/>
          <w:kern w:val="0"/>
          <w:sz w:val="32"/>
          <w:szCs w:val="32"/>
          <w:highlight w:val="none"/>
          <w:lang w:val="en-US" w:eastAsia="zh-CN" w:bidi="ar-SA"/>
        </w:rPr>
        <w:t>”“</w:t>
      </w:r>
      <w:r>
        <w:rPr>
          <w:rFonts w:hint="eastAsia" w:ascii="Times New Roman" w:hAnsi="Times New Roman" w:eastAsia="仿宋_GB2312" w:cs="Calibri"/>
          <w:b w:val="0"/>
          <w:bCs w:val="0"/>
          <w:color w:val="auto"/>
          <w:kern w:val="0"/>
          <w:sz w:val="32"/>
          <w:szCs w:val="32"/>
          <w:highlight w:val="none"/>
          <w:lang w:val="en-US" w:eastAsia="zh-CN" w:bidi="ar-SA"/>
        </w:rPr>
        <w:t>四方见面</w:t>
      </w:r>
      <w:r>
        <w:rPr>
          <w:rFonts w:hint="eastAsia" w:eastAsia="仿宋_GB2312" w:cs="Calibri"/>
          <w:b w:val="0"/>
          <w:bCs w:val="0"/>
          <w:color w:val="auto"/>
          <w:kern w:val="0"/>
          <w:sz w:val="32"/>
          <w:szCs w:val="32"/>
          <w:highlight w:val="none"/>
          <w:lang w:val="en-US" w:eastAsia="zh-CN" w:bidi="ar-SA"/>
        </w:rPr>
        <w:t>”</w:t>
      </w:r>
      <w:r>
        <w:rPr>
          <w:rFonts w:hint="eastAsia" w:ascii="Times New Roman" w:hAnsi="Times New Roman" w:eastAsia="仿宋_GB2312" w:cs="Calibri"/>
          <w:b w:val="0"/>
          <w:bCs w:val="0"/>
          <w:color w:val="auto"/>
          <w:kern w:val="0"/>
          <w:sz w:val="32"/>
          <w:szCs w:val="32"/>
          <w:highlight w:val="none"/>
          <w:lang w:val="en-US" w:eastAsia="zh-CN" w:bidi="ar-SA"/>
        </w:rPr>
        <w:t>等机制，坚持封闭运行、金融支持，争取国家专项借款资金16.4亿元，累计交房19962套，218.61万平米，有力维护了群众利益和社会稳定。深化</w:t>
      </w:r>
      <w:r>
        <w:rPr>
          <w:rFonts w:hint="eastAsia" w:eastAsia="仿宋_GB2312" w:cs="Calibri"/>
          <w:b w:val="0"/>
          <w:bCs w:val="0"/>
          <w:color w:val="auto"/>
          <w:kern w:val="0"/>
          <w:sz w:val="32"/>
          <w:szCs w:val="32"/>
          <w:highlight w:val="none"/>
          <w:lang w:val="en-US" w:eastAsia="zh-CN" w:bidi="ar-SA"/>
        </w:rPr>
        <w:t>“</w:t>
      </w:r>
      <w:r>
        <w:rPr>
          <w:rFonts w:hint="eastAsia" w:ascii="Times New Roman" w:hAnsi="Times New Roman" w:eastAsia="仿宋_GB2312" w:cs="Calibri"/>
          <w:b w:val="0"/>
          <w:bCs w:val="0"/>
          <w:color w:val="auto"/>
          <w:kern w:val="0"/>
          <w:sz w:val="32"/>
          <w:szCs w:val="32"/>
          <w:highlight w:val="none"/>
          <w:lang w:val="en-US" w:eastAsia="zh-CN" w:bidi="ar-SA"/>
        </w:rPr>
        <w:t>大质安</w:t>
      </w:r>
      <w:r>
        <w:rPr>
          <w:rFonts w:hint="eastAsia" w:eastAsia="仿宋_GB2312" w:cs="Calibri"/>
          <w:b w:val="0"/>
          <w:bCs w:val="0"/>
          <w:color w:val="auto"/>
          <w:kern w:val="0"/>
          <w:sz w:val="32"/>
          <w:szCs w:val="32"/>
          <w:highlight w:val="none"/>
          <w:lang w:val="en-US" w:eastAsia="zh-CN" w:bidi="ar-SA"/>
        </w:rPr>
        <w:t>”</w:t>
      </w:r>
      <w:r>
        <w:rPr>
          <w:rFonts w:hint="eastAsia" w:ascii="Times New Roman" w:hAnsi="Times New Roman" w:eastAsia="仿宋_GB2312" w:cs="Calibri"/>
          <w:b w:val="0"/>
          <w:bCs w:val="0"/>
          <w:color w:val="auto"/>
          <w:kern w:val="0"/>
          <w:sz w:val="32"/>
          <w:szCs w:val="32"/>
          <w:highlight w:val="none"/>
          <w:lang w:val="en-US" w:eastAsia="zh-CN" w:bidi="ar-SA"/>
        </w:rPr>
        <w:t>监管格局，围绕房屋市政在建工程开展安全生产和扬尘防治开展多类专项治理行动，督促整改项目4306个次，责令停工454起，集中约谈相关参建单位251次，累计消除各类安全隐患1.2万余处。加强监管执法联动，层层递进深化建安领域风险隐患综合治理，累计行政处罚104起，处罚金额236.9万元。专项推进高层建筑风险隐患排查整治、</w:t>
      </w:r>
      <w:r>
        <w:rPr>
          <w:rFonts w:hint="eastAsia" w:eastAsia="仿宋_GB2312" w:cs="Calibri"/>
          <w:b w:val="0"/>
          <w:bCs w:val="0"/>
          <w:color w:val="auto"/>
          <w:kern w:val="0"/>
          <w:sz w:val="32"/>
          <w:szCs w:val="32"/>
          <w:highlight w:val="none"/>
          <w:lang w:val="en-US" w:eastAsia="zh-CN" w:bidi="ar-SA"/>
        </w:rPr>
        <w:t>“</w:t>
      </w:r>
      <w:r>
        <w:rPr>
          <w:rFonts w:hint="eastAsia" w:ascii="Times New Roman" w:hAnsi="Times New Roman" w:eastAsia="仿宋_GB2312" w:cs="Calibri"/>
          <w:b w:val="0"/>
          <w:bCs w:val="0"/>
          <w:color w:val="auto"/>
          <w:kern w:val="0"/>
          <w:sz w:val="32"/>
          <w:szCs w:val="32"/>
          <w:highlight w:val="none"/>
          <w:lang w:val="en-US" w:eastAsia="zh-CN" w:bidi="ar-SA"/>
        </w:rPr>
        <w:t>两违清查</w:t>
      </w:r>
      <w:r>
        <w:rPr>
          <w:rFonts w:hint="eastAsia" w:eastAsia="仿宋_GB2312" w:cs="Calibri"/>
          <w:b w:val="0"/>
          <w:bCs w:val="0"/>
          <w:color w:val="auto"/>
          <w:kern w:val="0"/>
          <w:sz w:val="32"/>
          <w:szCs w:val="32"/>
          <w:highlight w:val="none"/>
          <w:lang w:val="en-US" w:eastAsia="zh-CN" w:bidi="ar-SA"/>
        </w:rPr>
        <w:t>”</w:t>
      </w:r>
      <w:r>
        <w:rPr>
          <w:rFonts w:hint="eastAsia" w:ascii="Times New Roman" w:hAnsi="Times New Roman" w:eastAsia="仿宋_GB2312" w:cs="Calibri"/>
          <w:b w:val="0"/>
          <w:bCs w:val="0"/>
          <w:color w:val="auto"/>
          <w:kern w:val="0"/>
          <w:sz w:val="32"/>
          <w:szCs w:val="32"/>
          <w:highlight w:val="none"/>
          <w:lang w:val="en-US" w:eastAsia="zh-CN" w:bidi="ar-SA"/>
        </w:rPr>
        <w:t>等任务，排查高层建筑外立面潜在安全隐患372个，逐步推进整改。深化城区排水防涝体系建设，成功应对强降雨10次，城市供水经受旱情大考。面对量大件多的信访压力，完善常态排查、信息共享、调度督办、群众沟通机制，国家信访局交办65件信访积案全部办结，有序有力化解38批次集访，确保了住建领域总体平稳。</w:t>
      </w:r>
    </w:p>
    <w:p>
      <w:pPr>
        <w:pStyle w:val="16"/>
        <w:keepNext w:val="0"/>
        <w:keepLines w:val="0"/>
        <w:pageBreakBefore w:val="0"/>
        <w:widowControl w:val="0"/>
        <w:kinsoku/>
        <w:wordWrap/>
        <w:overflowPunct/>
        <w:topLinePunct w:val="0"/>
        <w:autoSpaceDE/>
        <w:autoSpaceDN/>
        <w:bidi w:val="0"/>
        <w:adjustRightInd/>
        <w:snapToGrid/>
        <w:spacing w:after="0"/>
        <w:ind w:left="0" w:leftChars="0" w:firstLine="643" w:firstLineChars="200"/>
        <w:textAlignment w:val="baseline"/>
        <w:rPr>
          <w:rFonts w:hint="eastAsia" w:ascii="Times New Roman" w:hAnsi="Times New Roman" w:eastAsia="仿宋_GB2312" w:cs="Calibri"/>
          <w:b w:val="0"/>
          <w:bCs w:val="0"/>
          <w:color w:val="auto"/>
          <w:kern w:val="0"/>
          <w:sz w:val="32"/>
          <w:szCs w:val="32"/>
          <w:highlight w:val="none"/>
          <w:lang w:val="en-US" w:eastAsia="zh-CN" w:bidi="ar-SA"/>
        </w:rPr>
      </w:pPr>
      <w:r>
        <w:rPr>
          <w:rFonts w:hint="eastAsia" w:ascii="Times New Roman" w:hAnsi="Times New Roman" w:eastAsia="仿宋_GB2312" w:cs="Calibri"/>
          <w:b/>
          <w:bCs/>
          <w:color w:val="auto"/>
          <w:kern w:val="0"/>
          <w:sz w:val="32"/>
          <w:szCs w:val="32"/>
          <w:highlight w:val="none"/>
          <w:lang w:val="en-US" w:eastAsia="zh-CN" w:bidi="ar-SA"/>
        </w:rPr>
        <w:t>（3）强力推动支柱产业逆势增长。</w:t>
      </w:r>
      <w:r>
        <w:rPr>
          <w:rFonts w:hint="eastAsia" w:ascii="Times New Roman" w:hAnsi="Times New Roman" w:eastAsia="仿宋_GB2312" w:cs="Calibri"/>
          <w:b w:val="0"/>
          <w:bCs w:val="0"/>
          <w:color w:val="auto"/>
          <w:kern w:val="0"/>
          <w:sz w:val="32"/>
          <w:szCs w:val="32"/>
          <w:highlight w:val="none"/>
          <w:lang w:val="en-US" w:eastAsia="zh-CN" w:bidi="ar-SA"/>
        </w:rPr>
        <w:t>房地产业完成开发投资2</w:t>
      </w:r>
      <w:r>
        <w:rPr>
          <w:rFonts w:hint="eastAsia" w:eastAsia="仿宋_GB2312" w:cs="Calibri"/>
          <w:b w:val="0"/>
          <w:bCs w:val="0"/>
          <w:color w:val="auto"/>
          <w:kern w:val="0"/>
          <w:sz w:val="32"/>
          <w:szCs w:val="32"/>
          <w:highlight w:val="none"/>
          <w:lang w:val="en-US" w:eastAsia="zh-CN" w:bidi="ar-SA"/>
        </w:rPr>
        <w:t>,</w:t>
      </w:r>
      <w:r>
        <w:rPr>
          <w:rFonts w:hint="eastAsia" w:ascii="Times New Roman" w:hAnsi="Times New Roman" w:eastAsia="仿宋_GB2312" w:cs="Calibri"/>
          <w:b w:val="0"/>
          <w:bCs w:val="0"/>
          <w:color w:val="auto"/>
          <w:kern w:val="0"/>
          <w:sz w:val="32"/>
          <w:szCs w:val="32"/>
          <w:highlight w:val="none"/>
          <w:lang w:val="en-US" w:eastAsia="zh-CN" w:bidi="ar-SA"/>
        </w:rPr>
        <w:t>424.93亿元，同比增长8.4</w:t>
      </w:r>
      <w:r>
        <w:rPr>
          <w:rFonts w:hint="eastAsia" w:eastAsia="仿宋_GB2312" w:cs="Calibri"/>
          <w:b w:val="0"/>
          <w:bCs w:val="0"/>
          <w:color w:val="auto"/>
          <w:kern w:val="0"/>
          <w:sz w:val="32"/>
          <w:szCs w:val="32"/>
          <w:highlight w:val="none"/>
          <w:lang w:val="en-US" w:eastAsia="zh-CN" w:bidi="ar-SA"/>
        </w:rPr>
        <w:t>0</w:t>
      </w:r>
      <w:r>
        <w:rPr>
          <w:rFonts w:hint="eastAsia" w:ascii="Times New Roman" w:hAnsi="Times New Roman" w:eastAsia="仿宋_GB2312" w:cs="Calibri"/>
          <w:b w:val="0"/>
          <w:bCs w:val="0"/>
          <w:color w:val="auto"/>
          <w:kern w:val="0"/>
          <w:sz w:val="32"/>
          <w:szCs w:val="32"/>
          <w:highlight w:val="none"/>
          <w:lang w:val="en-US" w:eastAsia="zh-CN" w:bidi="ar-SA"/>
        </w:rPr>
        <w:t>%，住宅供应1</w:t>
      </w:r>
      <w:r>
        <w:rPr>
          <w:rFonts w:hint="eastAsia" w:eastAsia="仿宋_GB2312" w:cs="Calibri"/>
          <w:b w:val="0"/>
          <w:bCs w:val="0"/>
          <w:color w:val="auto"/>
          <w:kern w:val="0"/>
          <w:sz w:val="32"/>
          <w:szCs w:val="32"/>
          <w:highlight w:val="none"/>
          <w:lang w:val="en-US" w:eastAsia="zh-CN" w:bidi="ar-SA"/>
        </w:rPr>
        <w:t>,</w:t>
      </w:r>
      <w:r>
        <w:rPr>
          <w:rFonts w:hint="eastAsia" w:ascii="Times New Roman" w:hAnsi="Times New Roman" w:eastAsia="仿宋_GB2312" w:cs="Calibri"/>
          <w:b w:val="0"/>
          <w:bCs w:val="0"/>
          <w:color w:val="auto"/>
          <w:kern w:val="0"/>
          <w:sz w:val="32"/>
          <w:szCs w:val="32"/>
          <w:highlight w:val="none"/>
          <w:lang w:val="en-US" w:eastAsia="zh-CN" w:bidi="ar-SA"/>
        </w:rPr>
        <w:t>325.88万平米，成交1377.6万平米，均居全国22个重点城市第3位，仅次于上海、成都。积极应对房地产市场变化，推出盘活存量房作为租赁房政策，大力发展保障性租赁住房、公租房，打造高品质商品住宅，形成</w:t>
      </w:r>
      <w:r>
        <w:rPr>
          <w:rFonts w:hint="eastAsia" w:eastAsia="仿宋_GB2312" w:cs="Calibri"/>
          <w:b w:val="0"/>
          <w:bCs w:val="0"/>
          <w:color w:val="auto"/>
          <w:kern w:val="0"/>
          <w:sz w:val="32"/>
          <w:szCs w:val="32"/>
          <w:highlight w:val="none"/>
          <w:lang w:val="en-US" w:eastAsia="zh-CN" w:bidi="ar-SA"/>
        </w:rPr>
        <w:t>“</w:t>
      </w:r>
      <w:r>
        <w:rPr>
          <w:rFonts w:hint="eastAsia" w:ascii="Times New Roman" w:hAnsi="Times New Roman" w:eastAsia="仿宋_GB2312" w:cs="Calibri"/>
          <w:b w:val="0"/>
          <w:bCs w:val="0"/>
          <w:color w:val="auto"/>
          <w:kern w:val="0"/>
          <w:sz w:val="32"/>
          <w:szCs w:val="32"/>
          <w:highlight w:val="none"/>
          <w:lang w:val="en-US" w:eastAsia="zh-CN" w:bidi="ar-SA"/>
        </w:rPr>
        <w:t>保障房、刚需房、改需房</w:t>
      </w:r>
      <w:r>
        <w:rPr>
          <w:rFonts w:hint="eastAsia" w:eastAsia="仿宋_GB2312" w:cs="Calibri"/>
          <w:b w:val="0"/>
          <w:bCs w:val="0"/>
          <w:color w:val="auto"/>
          <w:kern w:val="0"/>
          <w:sz w:val="32"/>
          <w:szCs w:val="32"/>
          <w:highlight w:val="none"/>
          <w:lang w:val="en-US" w:eastAsia="zh-CN" w:bidi="ar-SA"/>
        </w:rPr>
        <w:t>”</w:t>
      </w:r>
      <w:r>
        <w:rPr>
          <w:rFonts w:hint="eastAsia" w:ascii="Times New Roman" w:hAnsi="Times New Roman" w:eastAsia="仿宋_GB2312" w:cs="Calibri"/>
          <w:b w:val="0"/>
          <w:bCs w:val="0"/>
          <w:color w:val="auto"/>
          <w:kern w:val="0"/>
          <w:sz w:val="32"/>
          <w:szCs w:val="32"/>
          <w:highlight w:val="none"/>
          <w:lang w:val="en-US" w:eastAsia="zh-CN" w:bidi="ar-SA"/>
        </w:rPr>
        <w:t>三房联动的合理体系，推动住房问题从</w:t>
      </w:r>
      <w:r>
        <w:rPr>
          <w:rFonts w:hint="eastAsia" w:eastAsia="仿宋_GB2312" w:cs="Calibri"/>
          <w:b w:val="0"/>
          <w:bCs w:val="0"/>
          <w:color w:val="auto"/>
          <w:kern w:val="0"/>
          <w:sz w:val="32"/>
          <w:szCs w:val="32"/>
          <w:highlight w:val="none"/>
          <w:lang w:val="en-US" w:eastAsia="zh-CN" w:bidi="ar-SA"/>
        </w:rPr>
        <w:t>“</w:t>
      </w:r>
      <w:r>
        <w:rPr>
          <w:rFonts w:hint="eastAsia" w:ascii="Times New Roman" w:hAnsi="Times New Roman" w:eastAsia="仿宋_GB2312" w:cs="Calibri"/>
          <w:b w:val="0"/>
          <w:bCs w:val="0"/>
          <w:color w:val="auto"/>
          <w:kern w:val="0"/>
          <w:sz w:val="32"/>
          <w:szCs w:val="32"/>
          <w:highlight w:val="none"/>
          <w:lang w:val="en-US" w:eastAsia="zh-CN" w:bidi="ar-SA"/>
        </w:rPr>
        <w:t>有没有</w:t>
      </w:r>
      <w:r>
        <w:rPr>
          <w:rFonts w:hint="eastAsia" w:eastAsia="仿宋_GB2312" w:cs="Calibri"/>
          <w:b w:val="0"/>
          <w:bCs w:val="0"/>
          <w:color w:val="auto"/>
          <w:kern w:val="0"/>
          <w:sz w:val="32"/>
          <w:szCs w:val="32"/>
          <w:highlight w:val="none"/>
          <w:lang w:val="en-US" w:eastAsia="zh-CN" w:bidi="ar-SA"/>
        </w:rPr>
        <w:t>”</w:t>
      </w:r>
      <w:r>
        <w:rPr>
          <w:rFonts w:hint="eastAsia" w:ascii="Times New Roman" w:hAnsi="Times New Roman" w:eastAsia="仿宋_GB2312" w:cs="Calibri"/>
          <w:b w:val="0"/>
          <w:bCs w:val="0"/>
          <w:color w:val="auto"/>
          <w:kern w:val="0"/>
          <w:sz w:val="32"/>
          <w:szCs w:val="32"/>
          <w:highlight w:val="none"/>
          <w:lang w:val="en-US" w:eastAsia="zh-CN" w:bidi="ar-SA"/>
        </w:rPr>
        <w:t>向</w:t>
      </w:r>
      <w:r>
        <w:rPr>
          <w:rFonts w:hint="eastAsia" w:eastAsia="仿宋_GB2312" w:cs="Calibri"/>
          <w:b w:val="0"/>
          <w:bCs w:val="0"/>
          <w:color w:val="auto"/>
          <w:kern w:val="0"/>
          <w:sz w:val="32"/>
          <w:szCs w:val="32"/>
          <w:highlight w:val="none"/>
          <w:lang w:val="en-US" w:eastAsia="zh-CN" w:bidi="ar-SA"/>
        </w:rPr>
        <w:t>“</w:t>
      </w:r>
      <w:r>
        <w:rPr>
          <w:rFonts w:hint="eastAsia" w:ascii="Times New Roman" w:hAnsi="Times New Roman" w:eastAsia="仿宋_GB2312" w:cs="Calibri"/>
          <w:b w:val="0"/>
          <w:bCs w:val="0"/>
          <w:color w:val="auto"/>
          <w:kern w:val="0"/>
          <w:sz w:val="32"/>
          <w:szCs w:val="32"/>
          <w:highlight w:val="none"/>
          <w:lang w:val="en-US" w:eastAsia="zh-CN" w:bidi="ar-SA"/>
        </w:rPr>
        <w:t>好不好</w:t>
      </w:r>
      <w:r>
        <w:rPr>
          <w:rFonts w:hint="eastAsia" w:eastAsia="仿宋_GB2312" w:cs="Calibri"/>
          <w:b w:val="0"/>
          <w:bCs w:val="0"/>
          <w:color w:val="auto"/>
          <w:kern w:val="0"/>
          <w:sz w:val="32"/>
          <w:szCs w:val="32"/>
          <w:highlight w:val="none"/>
          <w:lang w:val="en-US" w:eastAsia="zh-CN" w:bidi="ar-SA"/>
        </w:rPr>
        <w:t>”</w:t>
      </w:r>
      <w:r>
        <w:rPr>
          <w:rFonts w:hint="eastAsia" w:ascii="Times New Roman" w:hAnsi="Times New Roman" w:eastAsia="仿宋_GB2312" w:cs="Calibri"/>
          <w:b w:val="0"/>
          <w:bCs w:val="0"/>
          <w:color w:val="auto"/>
          <w:kern w:val="0"/>
          <w:sz w:val="32"/>
          <w:szCs w:val="32"/>
          <w:highlight w:val="none"/>
          <w:lang w:val="en-US" w:eastAsia="zh-CN" w:bidi="ar-SA"/>
        </w:rPr>
        <w:t>转型，工作经验得到住建部倪虹部长点名肯定，在全省住房和城乡建设工作会议上作典型发言。加快建筑业绿色化、智能化、数字化转型，成功创建全国首批智能建造试点城市、湖南省绿色建造试点城市，建筑业总产值达到7</w:t>
      </w:r>
      <w:r>
        <w:rPr>
          <w:rFonts w:hint="eastAsia" w:eastAsia="仿宋_GB2312" w:cs="Calibri"/>
          <w:b w:val="0"/>
          <w:bCs w:val="0"/>
          <w:color w:val="auto"/>
          <w:kern w:val="0"/>
          <w:sz w:val="32"/>
          <w:szCs w:val="32"/>
          <w:highlight w:val="none"/>
          <w:lang w:val="en-US" w:eastAsia="zh-CN" w:bidi="ar-SA"/>
        </w:rPr>
        <w:t>,</w:t>
      </w:r>
      <w:r>
        <w:rPr>
          <w:rFonts w:hint="eastAsia" w:ascii="Times New Roman" w:hAnsi="Times New Roman" w:eastAsia="仿宋_GB2312" w:cs="Calibri"/>
          <w:b w:val="0"/>
          <w:bCs w:val="0"/>
          <w:color w:val="auto"/>
          <w:kern w:val="0"/>
          <w:sz w:val="32"/>
          <w:szCs w:val="32"/>
          <w:highlight w:val="none"/>
          <w:lang w:val="en-US" w:eastAsia="zh-CN" w:bidi="ar-SA"/>
        </w:rPr>
        <w:t>362.56亿元，同比增长7.9</w:t>
      </w:r>
      <w:r>
        <w:rPr>
          <w:rFonts w:hint="eastAsia" w:eastAsia="仿宋_GB2312" w:cs="Calibri"/>
          <w:b w:val="0"/>
          <w:bCs w:val="0"/>
          <w:color w:val="auto"/>
          <w:kern w:val="0"/>
          <w:sz w:val="32"/>
          <w:szCs w:val="32"/>
          <w:highlight w:val="none"/>
          <w:lang w:val="en-US" w:eastAsia="zh-CN" w:bidi="ar-SA"/>
        </w:rPr>
        <w:t>0</w:t>
      </w:r>
      <w:r>
        <w:rPr>
          <w:rFonts w:hint="eastAsia" w:ascii="Times New Roman" w:hAnsi="Times New Roman" w:eastAsia="仿宋_GB2312" w:cs="Calibri"/>
          <w:b w:val="0"/>
          <w:bCs w:val="0"/>
          <w:color w:val="auto"/>
          <w:kern w:val="0"/>
          <w:sz w:val="32"/>
          <w:szCs w:val="32"/>
          <w:highlight w:val="none"/>
          <w:lang w:val="en-US" w:eastAsia="zh-CN" w:bidi="ar-SA"/>
        </w:rPr>
        <w:t>%，利税102.25亿元，新增2家国家级装配式建筑生产基地，3个项目获鲁班奖，79个项目获</w:t>
      </w:r>
      <w:r>
        <w:rPr>
          <w:rFonts w:hint="eastAsia" w:eastAsia="仿宋_GB2312" w:cs="Calibri"/>
          <w:b w:val="0"/>
          <w:bCs w:val="0"/>
          <w:color w:val="auto"/>
          <w:kern w:val="0"/>
          <w:sz w:val="32"/>
          <w:szCs w:val="32"/>
          <w:highlight w:val="none"/>
          <w:lang w:val="en-US" w:eastAsia="zh-CN" w:bidi="ar-SA"/>
        </w:rPr>
        <w:t>“</w:t>
      </w:r>
      <w:r>
        <w:rPr>
          <w:rFonts w:hint="eastAsia" w:ascii="Times New Roman" w:hAnsi="Times New Roman" w:eastAsia="仿宋_GB2312" w:cs="Calibri"/>
          <w:b w:val="0"/>
          <w:bCs w:val="0"/>
          <w:color w:val="auto"/>
          <w:kern w:val="0"/>
          <w:sz w:val="32"/>
          <w:szCs w:val="32"/>
          <w:highlight w:val="none"/>
          <w:lang w:val="en-US" w:eastAsia="zh-CN" w:bidi="ar-SA"/>
        </w:rPr>
        <w:t>省优质工程奖</w:t>
      </w:r>
      <w:r>
        <w:rPr>
          <w:rFonts w:hint="eastAsia" w:eastAsia="仿宋_GB2312" w:cs="Calibri"/>
          <w:b w:val="0"/>
          <w:bCs w:val="0"/>
          <w:color w:val="auto"/>
          <w:kern w:val="0"/>
          <w:sz w:val="32"/>
          <w:szCs w:val="32"/>
          <w:highlight w:val="none"/>
          <w:lang w:val="en-US" w:eastAsia="zh-CN" w:bidi="ar-SA"/>
        </w:rPr>
        <w:t>”</w:t>
      </w:r>
      <w:r>
        <w:rPr>
          <w:rFonts w:hint="eastAsia" w:ascii="Times New Roman" w:hAnsi="Times New Roman" w:eastAsia="仿宋_GB2312" w:cs="Calibri"/>
          <w:b w:val="0"/>
          <w:bCs w:val="0"/>
          <w:color w:val="auto"/>
          <w:kern w:val="0"/>
          <w:sz w:val="32"/>
          <w:szCs w:val="32"/>
          <w:highlight w:val="none"/>
          <w:lang w:val="en-US" w:eastAsia="zh-CN" w:bidi="ar-SA"/>
        </w:rPr>
        <w:t>。深化工程建设项目审批制度改革，推进分阶段办理施工许可，加快省市工程建设审批系统深度融合，连续四年获评全省工改工作优秀单位。持续开展住建领域招投标突出问题专项治理，累计曝光74条次住建领域从业单位和人员的不良信用记录，营商环境得到新提升。</w:t>
      </w:r>
    </w:p>
    <w:p>
      <w:pPr>
        <w:pStyle w:val="16"/>
        <w:keepNext w:val="0"/>
        <w:keepLines w:val="0"/>
        <w:pageBreakBefore w:val="0"/>
        <w:widowControl w:val="0"/>
        <w:kinsoku/>
        <w:wordWrap/>
        <w:overflowPunct/>
        <w:topLinePunct w:val="0"/>
        <w:autoSpaceDE/>
        <w:autoSpaceDN/>
        <w:bidi w:val="0"/>
        <w:adjustRightInd/>
        <w:snapToGrid/>
        <w:spacing w:after="0"/>
        <w:ind w:left="0" w:leftChars="0" w:firstLine="643" w:firstLineChars="200"/>
        <w:textAlignment w:val="baseline"/>
        <w:rPr>
          <w:rFonts w:hint="eastAsia" w:ascii="Times New Roman" w:hAnsi="Times New Roman" w:eastAsia="仿宋_GB2312" w:cs="Calibri"/>
          <w:b w:val="0"/>
          <w:bCs w:val="0"/>
          <w:color w:val="auto"/>
          <w:kern w:val="0"/>
          <w:sz w:val="32"/>
          <w:szCs w:val="32"/>
          <w:highlight w:val="none"/>
          <w:lang w:val="en-US" w:eastAsia="zh-CN" w:bidi="ar-SA"/>
        </w:rPr>
      </w:pPr>
      <w:r>
        <w:rPr>
          <w:rFonts w:hint="eastAsia" w:ascii="Times New Roman" w:hAnsi="Times New Roman" w:eastAsia="仿宋_GB2312" w:cs="Calibri"/>
          <w:b/>
          <w:bCs/>
          <w:color w:val="auto"/>
          <w:kern w:val="0"/>
          <w:sz w:val="32"/>
          <w:szCs w:val="32"/>
          <w:highlight w:val="none"/>
          <w:lang w:val="en-US" w:eastAsia="zh-CN" w:bidi="ar-SA"/>
        </w:rPr>
        <w:t>（4）着力完善市政基础设施体系。</w:t>
      </w:r>
      <w:r>
        <w:rPr>
          <w:rFonts w:hint="eastAsia" w:ascii="Times New Roman" w:hAnsi="Times New Roman" w:eastAsia="仿宋_GB2312" w:cs="Calibri"/>
          <w:b w:val="0"/>
          <w:bCs w:val="0"/>
          <w:color w:val="auto"/>
          <w:kern w:val="0"/>
          <w:sz w:val="32"/>
          <w:szCs w:val="32"/>
          <w:highlight w:val="none"/>
          <w:lang w:val="en-US" w:eastAsia="zh-CN" w:bidi="ar-SA"/>
        </w:rPr>
        <w:t>坚持地上地下统筹推进，铺排市政基础设施项目638个，完成投资552.96亿元。与各市直部门和平台公司等主体单位一道稳投资、抓项目、优服务、促进度，湘雅路隧道等4条过江通道超额完成投资目标；轨道交通6号线实现载客运营，长株潭城际轨道交通西环线开通试运行；打通湘江新区谷丰路等12条断头路、瓶颈路，做大城区支撑更足，做优片区连通更畅，做精市区配套更优。第二轮中央环保督察反馈城区水环境问题的13个重点治理项目全面启动，专班成立运行、有序运转，石碑大港等6个项目开工建设，累计完成投资11.05亿元，获评省级海绵城市建设示范城市。牵头推动</w:t>
      </w:r>
      <w:r>
        <w:rPr>
          <w:rFonts w:hint="eastAsia" w:eastAsia="仿宋_GB2312" w:cs="Calibri"/>
          <w:b w:val="0"/>
          <w:bCs w:val="0"/>
          <w:color w:val="auto"/>
          <w:kern w:val="0"/>
          <w:sz w:val="32"/>
          <w:szCs w:val="32"/>
          <w:highlight w:val="none"/>
          <w:lang w:val="en-US" w:eastAsia="zh-CN" w:bidi="ar-SA"/>
        </w:rPr>
        <w:t>“</w:t>
      </w:r>
      <w:r>
        <w:rPr>
          <w:rFonts w:hint="eastAsia" w:ascii="Times New Roman" w:hAnsi="Times New Roman" w:eastAsia="仿宋_GB2312" w:cs="Calibri"/>
          <w:b w:val="0"/>
          <w:bCs w:val="0"/>
          <w:color w:val="auto"/>
          <w:kern w:val="0"/>
          <w:sz w:val="32"/>
          <w:szCs w:val="32"/>
          <w:highlight w:val="none"/>
          <w:lang w:val="en-US" w:eastAsia="zh-CN" w:bidi="ar-SA"/>
        </w:rPr>
        <w:t>新城建</w:t>
      </w:r>
      <w:r>
        <w:rPr>
          <w:rFonts w:hint="eastAsia" w:eastAsia="仿宋_GB2312" w:cs="Calibri"/>
          <w:b w:val="0"/>
          <w:bCs w:val="0"/>
          <w:color w:val="auto"/>
          <w:kern w:val="0"/>
          <w:sz w:val="32"/>
          <w:szCs w:val="32"/>
          <w:highlight w:val="none"/>
          <w:lang w:val="en-US" w:eastAsia="zh-CN" w:bidi="ar-SA"/>
        </w:rPr>
        <w:t>”</w:t>
      </w:r>
      <w:r>
        <w:rPr>
          <w:rFonts w:hint="eastAsia" w:ascii="Times New Roman" w:hAnsi="Times New Roman" w:eastAsia="仿宋_GB2312" w:cs="Calibri"/>
          <w:b w:val="0"/>
          <w:bCs w:val="0"/>
          <w:color w:val="auto"/>
          <w:kern w:val="0"/>
          <w:sz w:val="32"/>
          <w:szCs w:val="32"/>
          <w:highlight w:val="none"/>
          <w:lang w:val="en-US" w:eastAsia="zh-CN" w:bidi="ar-SA"/>
        </w:rPr>
        <w:t>试点，启动智慧住建一体化平台建设，建设工程智慧监管系统、排水与污水处理智慧管理系统、城镇供水监管系统实现试运行。推进城市生命线管理系统建设，住建领域智慧化、数字化、信息化能力稳步增强。</w:t>
      </w:r>
    </w:p>
    <w:p>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643" w:firstLineChars="200"/>
        <w:jc w:val="both"/>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Calibri"/>
          <w:b/>
          <w:bCs/>
          <w:color w:val="auto"/>
          <w:kern w:val="0"/>
          <w:sz w:val="32"/>
          <w:szCs w:val="32"/>
          <w:highlight w:val="none"/>
          <w:lang w:val="en-US" w:eastAsia="zh-CN" w:bidi="ar-SA"/>
        </w:rPr>
        <w:t>（5）污水污泥合理处置，保护长沙水环境。</w:t>
      </w:r>
      <w:r>
        <w:rPr>
          <w:rFonts w:hint="default" w:ascii="Times New Roman" w:hAnsi="Times New Roman" w:eastAsia="仿宋_GB2312" w:cs="Times New Roman"/>
          <w:color w:val="auto"/>
          <w:sz w:val="32"/>
          <w:szCs w:val="32"/>
          <w:lang w:val="en-US" w:eastAsia="zh-CN"/>
        </w:rPr>
        <w:t>长沙市主城区污水处理厂建成并运行</w:t>
      </w:r>
      <w:r>
        <w:rPr>
          <w:rFonts w:hint="eastAsia" w:ascii="Times New Roman" w:hAnsi="Times New Roman" w:eastAsia="仿宋_GB2312" w:cs="Times New Roman"/>
          <w:color w:val="auto"/>
          <w:sz w:val="32"/>
          <w:szCs w:val="32"/>
          <w:lang w:val="en-US" w:eastAsia="zh-CN"/>
        </w:rPr>
        <w:t>14座</w:t>
      </w:r>
      <w:r>
        <w:rPr>
          <w:rFonts w:hint="default" w:ascii="Times New Roman" w:hAnsi="Times New Roman" w:eastAsia="仿宋_GB2312" w:cs="Times New Roman"/>
          <w:color w:val="auto"/>
          <w:sz w:val="32"/>
          <w:szCs w:val="32"/>
          <w:lang w:val="en-US" w:eastAsia="zh-CN"/>
        </w:rPr>
        <w:t>，长沙市主城区污水处理能力提升至296.5万吨/日，其中一级A标准130万吨/日，准四类水标准166.5万吨/日</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2022年共处理污水约88169.88</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预估值</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万吨，较去年同期增长了1050.03万吨，同比增长1.21%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，日均处理污水241.56万吨</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出水在线平台检测合格率100%，城市污水处理率98.6</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生活污泥处置采取集中和分散式处置相结合的方式，总处理规模为1800吨/日，其中集中处置1000吨/日（黑糜峰垃圾焚烧掺烧资源化处置），分散处置800吨/日（岳麓污泥散置项目500吨/日，长善垸污泥分散处置项目300吨/日，均进行资源化处置）。污泥分散处理处置及资源化利用项目累计处理处置污泥（折合成含水率80%）203241.72（预估值）吨</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kern w:val="2"/>
          <w:sz w:val="32"/>
          <w:szCs w:val="32"/>
          <w:lang w:val="en-US" w:eastAsia="zh-CN" w:bidi="ar-SA"/>
        </w:rPr>
        <w:t>污泥安全处置率100%。</w:t>
      </w:r>
    </w:p>
    <w:p>
      <w:pPr>
        <w:spacing w:line="240" w:lineRule="auto"/>
        <w:ind w:firstLine="0" w:firstLineChars="0"/>
        <w:rPr>
          <w:rFonts w:hint="eastAsia"/>
          <w:color w:val="auto"/>
          <w:lang w:val="en-US" w:eastAsia="zh-CN"/>
        </w:rPr>
      </w:pPr>
      <w:r>
        <w:rPr>
          <w:rFonts w:hint="eastAsia" w:ascii="Times New Roman" w:hAnsi="Times New Roman" w:eastAsia="仿宋_GB2312" w:cs="Times New Roman"/>
          <w:color w:val="auto"/>
          <w:sz w:val="32"/>
          <w:szCs w:val="32"/>
          <w:lang w:val="en-US" w:eastAsia="zh-CN"/>
        </w:rPr>
        <w:t>该项目的实施</w:t>
      </w:r>
      <w:r>
        <w:rPr>
          <w:rFonts w:hint="eastAsia" w:ascii="Times New Roman" w:hAnsi="Times New Roman" w:eastAsia="仿宋_GB2312" w:cs="Times New Roman"/>
          <w:color w:val="auto"/>
          <w:kern w:val="2"/>
          <w:sz w:val="32"/>
          <w:szCs w:val="32"/>
          <w:lang w:val="en-US" w:eastAsia="zh-CN" w:bidi="ar-SA"/>
        </w:rPr>
        <w:t>提高了长沙市的综合竞争力，能更好的改善和保护长沙市的生态环境，保护湘江流域的水环境，完善了长沙市基础市政设施，对长沙市的经济建设有着十分重要的意义。同时可以保障湘江库区人民群众生产、生活用水安全，改善长沙市的生活环境及质量、创建良好的对外形象，又可给长沙市的招商引资提供良好的外部环境。</w:t>
      </w:r>
    </w:p>
    <w:p>
      <w:pPr>
        <w:pStyle w:val="16"/>
        <w:keepNext w:val="0"/>
        <w:keepLines w:val="0"/>
        <w:pageBreakBefore w:val="0"/>
        <w:widowControl w:val="0"/>
        <w:kinsoku/>
        <w:wordWrap/>
        <w:overflowPunct/>
        <w:topLinePunct w:val="0"/>
        <w:autoSpaceDE/>
        <w:autoSpaceDN/>
        <w:bidi w:val="0"/>
        <w:adjustRightInd/>
        <w:snapToGrid/>
        <w:spacing w:after="0"/>
        <w:ind w:left="0" w:leftChars="0" w:firstLine="643" w:firstLineChars="200"/>
        <w:textAlignment w:val="baseline"/>
        <w:rPr>
          <w:rFonts w:hint="eastAsia" w:ascii="Times New Roman" w:hAnsi="Times New Roman" w:eastAsia="仿宋_GB2312" w:cs="Calibri"/>
          <w:b w:val="0"/>
          <w:bCs w:val="0"/>
          <w:color w:val="auto"/>
          <w:kern w:val="0"/>
          <w:sz w:val="32"/>
          <w:szCs w:val="32"/>
          <w:highlight w:val="none"/>
          <w:lang w:val="en-US" w:eastAsia="zh-CN" w:bidi="ar-SA"/>
        </w:rPr>
      </w:pPr>
      <w:r>
        <w:rPr>
          <w:rFonts w:hint="eastAsia" w:ascii="Times New Roman" w:hAnsi="Times New Roman" w:eastAsia="仿宋_GB2312" w:cs="Calibri"/>
          <w:b/>
          <w:bCs/>
          <w:color w:val="auto"/>
          <w:kern w:val="0"/>
          <w:sz w:val="32"/>
          <w:szCs w:val="32"/>
          <w:highlight w:val="none"/>
          <w:lang w:val="en-US" w:eastAsia="zh-CN" w:bidi="ar-SA"/>
        </w:rPr>
        <w:t>（</w:t>
      </w:r>
      <w:r>
        <w:rPr>
          <w:rFonts w:hint="eastAsia" w:eastAsia="仿宋_GB2312" w:cs="Calibri"/>
          <w:b/>
          <w:bCs/>
          <w:color w:val="auto"/>
          <w:kern w:val="0"/>
          <w:sz w:val="32"/>
          <w:szCs w:val="32"/>
          <w:highlight w:val="none"/>
          <w:lang w:val="en-US" w:eastAsia="zh-CN" w:bidi="ar-SA"/>
        </w:rPr>
        <w:t>6</w:t>
      </w:r>
      <w:r>
        <w:rPr>
          <w:rFonts w:hint="eastAsia" w:ascii="Times New Roman" w:hAnsi="Times New Roman" w:eastAsia="仿宋_GB2312" w:cs="Calibri"/>
          <w:b/>
          <w:bCs/>
          <w:color w:val="auto"/>
          <w:kern w:val="0"/>
          <w:sz w:val="32"/>
          <w:szCs w:val="32"/>
          <w:highlight w:val="none"/>
          <w:lang w:val="en-US" w:eastAsia="zh-CN" w:bidi="ar-SA"/>
        </w:rPr>
        <w:t>）构建多渠道住房保障体系。</w:t>
      </w:r>
      <w:r>
        <w:rPr>
          <w:rFonts w:hint="eastAsia" w:ascii="Times New Roman" w:hAnsi="Times New Roman" w:eastAsia="仿宋_GB2312" w:cs="Calibri"/>
          <w:b w:val="0"/>
          <w:bCs w:val="0"/>
          <w:color w:val="auto"/>
          <w:kern w:val="0"/>
          <w:sz w:val="32"/>
          <w:szCs w:val="32"/>
          <w:highlight w:val="none"/>
          <w:lang w:val="en-US" w:eastAsia="zh-CN" w:bidi="ar-SA"/>
        </w:rPr>
        <w:t>住房保障扩面提效，筹集保障性租赁住房29970套，建设公租房336套，发放公租房租赁补贴6209户，超额完成国家住房租赁试点建设任务。稳步实施小区治理和既有小区品质提升三年行动，推进202个既有小区提质改造，打造了一批亮点工程和示范小区，惠及居民22万多户，撬动社会投资5.38亿元。以</w:t>
      </w:r>
      <w:r>
        <w:rPr>
          <w:rFonts w:hint="eastAsia" w:eastAsia="仿宋_GB2312" w:cs="Calibri"/>
          <w:b w:val="0"/>
          <w:bCs w:val="0"/>
          <w:color w:val="auto"/>
          <w:kern w:val="0"/>
          <w:sz w:val="32"/>
          <w:szCs w:val="32"/>
          <w:highlight w:val="none"/>
          <w:lang w:val="en-US" w:eastAsia="zh-CN" w:bidi="ar-SA"/>
        </w:rPr>
        <w:t>“</w:t>
      </w:r>
      <w:r>
        <w:rPr>
          <w:rFonts w:hint="eastAsia" w:ascii="Times New Roman" w:hAnsi="Times New Roman" w:eastAsia="仿宋_GB2312" w:cs="Calibri"/>
          <w:b w:val="0"/>
          <w:bCs w:val="0"/>
          <w:color w:val="auto"/>
          <w:kern w:val="0"/>
          <w:sz w:val="32"/>
          <w:szCs w:val="32"/>
          <w:highlight w:val="none"/>
          <w:lang w:val="en-US" w:eastAsia="zh-CN" w:bidi="ar-SA"/>
        </w:rPr>
        <w:t>党建聚合力</w:t>
      </w:r>
      <w:r>
        <w:rPr>
          <w:rFonts w:hint="eastAsia" w:eastAsia="仿宋_GB2312" w:cs="Calibri"/>
          <w:b w:val="0"/>
          <w:bCs w:val="0"/>
          <w:color w:val="auto"/>
          <w:kern w:val="0"/>
          <w:sz w:val="32"/>
          <w:szCs w:val="32"/>
          <w:highlight w:val="none"/>
          <w:lang w:val="en-US" w:eastAsia="zh-CN" w:bidi="ar-SA"/>
        </w:rPr>
        <w:t>”</w:t>
      </w:r>
      <w:r>
        <w:rPr>
          <w:rFonts w:hint="eastAsia" w:ascii="Times New Roman" w:hAnsi="Times New Roman" w:eastAsia="仿宋_GB2312" w:cs="Calibri"/>
          <w:b w:val="0"/>
          <w:bCs w:val="0"/>
          <w:color w:val="auto"/>
          <w:kern w:val="0"/>
          <w:sz w:val="32"/>
          <w:szCs w:val="32"/>
          <w:highlight w:val="none"/>
          <w:lang w:val="en-US" w:eastAsia="zh-CN" w:bidi="ar-SA"/>
        </w:rPr>
        <w:t>工程为统领，打造红色小区、红色物业。增设既有多层住宅电梯1270台，1.5万余户、6万多居民获享上下楼便利，工作</w:t>
      </w:r>
      <w:r>
        <w:rPr>
          <w:rFonts w:hint="eastAsia" w:eastAsia="仿宋_GB2312" w:cs="Calibri"/>
          <w:b w:val="0"/>
          <w:bCs w:val="0"/>
          <w:color w:val="auto"/>
          <w:kern w:val="0"/>
          <w:sz w:val="32"/>
          <w:szCs w:val="32"/>
          <w:highlight w:val="none"/>
          <w:lang w:val="en-US" w:eastAsia="zh-CN" w:bidi="ar-SA"/>
        </w:rPr>
        <w:t>成果</w:t>
      </w:r>
      <w:r>
        <w:rPr>
          <w:rFonts w:hint="eastAsia" w:ascii="Times New Roman" w:hAnsi="Times New Roman" w:eastAsia="仿宋_GB2312" w:cs="Calibri"/>
          <w:b w:val="0"/>
          <w:bCs w:val="0"/>
          <w:color w:val="auto"/>
          <w:kern w:val="0"/>
          <w:sz w:val="32"/>
          <w:szCs w:val="32"/>
          <w:highlight w:val="none"/>
          <w:lang w:val="en-US" w:eastAsia="zh-CN" w:bidi="ar-SA"/>
        </w:rPr>
        <w:t>得到省政府主要领导肯定。实施老旧小区二次供水设施户表改造，新建、改造供水管网126.7公里，城市公共供水管网漏损率降至8.8</w:t>
      </w:r>
      <w:r>
        <w:rPr>
          <w:rFonts w:hint="eastAsia" w:eastAsia="仿宋_GB2312" w:cs="Calibri"/>
          <w:b w:val="0"/>
          <w:bCs w:val="0"/>
          <w:color w:val="auto"/>
          <w:kern w:val="0"/>
          <w:sz w:val="32"/>
          <w:szCs w:val="32"/>
          <w:highlight w:val="none"/>
          <w:lang w:val="en-US" w:eastAsia="zh-CN" w:bidi="ar-SA"/>
        </w:rPr>
        <w:t>0</w:t>
      </w:r>
      <w:r>
        <w:rPr>
          <w:rFonts w:hint="eastAsia" w:ascii="Times New Roman" w:hAnsi="Times New Roman" w:eastAsia="仿宋_GB2312" w:cs="Calibri"/>
          <w:b w:val="0"/>
          <w:bCs w:val="0"/>
          <w:color w:val="auto"/>
          <w:kern w:val="0"/>
          <w:sz w:val="32"/>
          <w:szCs w:val="32"/>
          <w:highlight w:val="none"/>
          <w:lang w:val="en-US" w:eastAsia="zh-CN" w:bidi="ar-SA"/>
        </w:rPr>
        <w:t>%。创新成立长沙市供水行政执法综合办公室，对用水违法行为进行高压打击。努力建设和美乡村，持续巩固19个市级特色小城镇，重点培育57个特色小村庄，完成34座乡镇污水处理厂智慧化提升，新建88公里乡镇污水管网。出台长沙市农村住房质量安全监督、住房建设竣工验收管理办法等指导性文件，培训乡村建设工匠610人次，农村危房保持</w:t>
      </w:r>
      <w:r>
        <w:rPr>
          <w:rFonts w:hint="eastAsia" w:eastAsia="仿宋_GB2312" w:cs="Calibri"/>
          <w:b w:val="0"/>
          <w:bCs w:val="0"/>
          <w:color w:val="auto"/>
          <w:kern w:val="0"/>
          <w:sz w:val="32"/>
          <w:szCs w:val="32"/>
          <w:highlight w:val="none"/>
          <w:lang w:val="en-US" w:eastAsia="zh-CN" w:bidi="ar-SA"/>
        </w:rPr>
        <w:t>“</w:t>
      </w:r>
      <w:r>
        <w:rPr>
          <w:rFonts w:hint="eastAsia" w:ascii="Times New Roman" w:hAnsi="Times New Roman" w:eastAsia="仿宋_GB2312" w:cs="Calibri"/>
          <w:b w:val="0"/>
          <w:bCs w:val="0"/>
          <w:color w:val="auto"/>
          <w:kern w:val="0"/>
          <w:sz w:val="32"/>
          <w:szCs w:val="32"/>
          <w:highlight w:val="none"/>
          <w:lang w:val="en-US" w:eastAsia="zh-CN" w:bidi="ar-SA"/>
        </w:rPr>
        <w:t>动态清零</w:t>
      </w:r>
      <w:r>
        <w:rPr>
          <w:rFonts w:hint="eastAsia" w:eastAsia="仿宋_GB2312" w:cs="Calibri"/>
          <w:b w:val="0"/>
          <w:bCs w:val="0"/>
          <w:color w:val="auto"/>
          <w:kern w:val="0"/>
          <w:sz w:val="32"/>
          <w:szCs w:val="32"/>
          <w:highlight w:val="none"/>
          <w:lang w:val="en-US" w:eastAsia="zh-CN" w:bidi="ar-SA"/>
        </w:rPr>
        <w:t>”</w:t>
      </w:r>
      <w:r>
        <w:rPr>
          <w:rFonts w:hint="eastAsia" w:ascii="Times New Roman" w:hAnsi="Times New Roman" w:eastAsia="仿宋_GB2312" w:cs="Calibri"/>
          <w:b w:val="0"/>
          <w:bCs w:val="0"/>
          <w:color w:val="auto"/>
          <w:kern w:val="0"/>
          <w:sz w:val="32"/>
          <w:szCs w:val="32"/>
          <w:highlight w:val="none"/>
          <w:lang w:val="en-US" w:eastAsia="zh-CN" w:bidi="ar-SA"/>
        </w:rPr>
        <w:t>。</w:t>
      </w:r>
    </w:p>
    <w:p>
      <w:pPr>
        <w:pStyle w:val="16"/>
        <w:keepNext w:val="0"/>
        <w:keepLines w:val="0"/>
        <w:pageBreakBefore w:val="0"/>
        <w:widowControl w:val="0"/>
        <w:kinsoku/>
        <w:wordWrap/>
        <w:overflowPunct/>
        <w:topLinePunct w:val="0"/>
        <w:autoSpaceDE/>
        <w:autoSpaceDN/>
        <w:bidi w:val="0"/>
        <w:adjustRightInd/>
        <w:snapToGrid/>
        <w:spacing w:after="0"/>
        <w:ind w:left="0" w:leftChars="0" w:firstLine="643" w:firstLineChars="200"/>
        <w:textAlignment w:val="baseline"/>
        <w:rPr>
          <w:rFonts w:hint="eastAsia"/>
          <w:color w:val="auto"/>
          <w:highlight w:val="none"/>
          <w:lang w:val="en-US" w:eastAsia="zh-CN"/>
        </w:rPr>
      </w:pPr>
      <w:r>
        <w:rPr>
          <w:rFonts w:hint="eastAsia" w:ascii="Times New Roman" w:hAnsi="Times New Roman" w:eastAsia="仿宋_GB2312" w:cs="Calibri"/>
          <w:b/>
          <w:bCs/>
          <w:color w:val="auto"/>
          <w:kern w:val="0"/>
          <w:sz w:val="32"/>
          <w:szCs w:val="32"/>
          <w:highlight w:val="none"/>
          <w:lang w:val="en-US" w:eastAsia="zh-CN" w:bidi="ar-SA"/>
        </w:rPr>
        <w:t>（</w:t>
      </w:r>
      <w:r>
        <w:rPr>
          <w:rFonts w:hint="eastAsia" w:eastAsia="仿宋_GB2312" w:cs="Calibri"/>
          <w:b/>
          <w:bCs/>
          <w:color w:val="auto"/>
          <w:kern w:val="0"/>
          <w:sz w:val="32"/>
          <w:szCs w:val="32"/>
          <w:highlight w:val="none"/>
          <w:lang w:val="en-US" w:eastAsia="zh-CN" w:bidi="ar-SA"/>
        </w:rPr>
        <w:t>7</w:t>
      </w:r>
      <w:r>
        <w:rPr>
          <w:rFonts w:hint="eastAsia" w:ascii="Times New Roman" w:hAnsi="Times New Roman" w:eastAsia="仿宋_GB2312" w:cs="Calibri"/>
          <w:b/>
          <w:bCs/>
          <w:color w:val="auto"/>
          <w:kern w:val="0"/>
          <w:sz w:val="32"/>
          <w:szCs w:val="32"/>
          <w:highlight w:val="none"/>
          <w:lang w:val="en-US" w:eastAsia="zh-CN" w:bidi="ar-SA"/>
        </w:rPr>
        <w:t>）党建引领小区治理。</w:t>
      </w:r>
      <w:r>
        <w:rPr>
          <w:rFonts w:hint="eastAsia" w:ascii="Times New Roman" w:hAnsi="Times New Roman" w:eastAsia="仿宋_GB2312" w:cs="Calibri"/>
          <w:b w:val="0"/>
          <w:bCs w:val="0"/>
          <w:color w:val="auto"/>
          <w:kern w:val="0"/>
          <w:sz w:val="32"/>
          <w:szCs w:val="32"/>
          <w:highlight w:val="none"/>
          <w:lang w:val="en-US" w:eastAsia="zh-CN" w:bidi="ar-SA"/>
        </w:rPr>
        <w:t>推进住建一体化诚信平台加强信用平台数据收集，建立了以物业企业自行填报，小区党组织、区县、市级可以动态评价的工作系统；运用红黑榜定期公布物业企业服务情况，建立以</w:t>
      </w:r>
      <w:r>
        <w:rPr>
          <w:rFonts w:hint="eastAsia" w:eastAsia="仿宋_GB2312" w:cs="Calibri"/>
          <w:b w:val="0"/>
          <w:bCs w:val="0"/>
          <w:color w:val="auto"/>
          <w:kern w:val="0"/>
          <w:sz w:val="32"/>
          <w:szCs w:val="32"/>
          <w:highlight w:val="none"/>
          <w:lang w:val="en-US" w:eastAsia="zh-CN" w:bidi="ar-SA"/>
        </w:rPr>
        <w:t>“</w:t>
      </w:r>
      <w:r>
        <w:rPr>
          <w:rFonts w:hint="eastAsia" w:ascii="Times New Roman" w:hAnsi="Times New Roman" w:eastAsia="仿宋_GB2312" w:cs="Calibri"/>
          <w:b w:val="0"/>
          <w:bCs w:val="0"/>
          <w:color w:val="auto"/>
          <w:kern w:val="0"/>
          <w:sz w:val="32"/>
          <w:szCs w:val="32"/>
          <w:highlight w:val="none"/>
          <w:lang w:val="en-US" w:eastAsia="zh-CN" w:bidi="ar-SA"/>
        </w:rPr>
        <w:t>信用</w:t>
      </w:r>
      <w:r>
        <w:rPr>
          <w:rFonts w:hint="eastAsia" w:eastAsia="仿宋_GB2312" w:cs="Calibri"/>
          <w:b w:val="0"/>
          <w:bCs w:val="0"/>
          <w:color w:val="auto"/>
          <w:kern w:val="0"/>
          <w:sz w:val="32"/>
          <w:szCs w:val="32"/>
          <w:highlight w:val="none"/>
          <w:lang w:val="en-US" w:eastAsia="zh-CN" w:bidi="ar-SA"/>
        </w:rPr>
        <w:t>”</w:t>
      </w:r>
      <w:r>
        <w:rPr>
          <w:rFonts w:hint="eastAsia" w:ascii="Times New Roman" w:hAnsi="Times New Roman" w:eastAsia="仿宋_GB2312" w:cs="Calibri"/>
          <w:b w:val="0"/>
          <w:bCs w:val="0"/>
          <w:color w:val="auto"/>
          <w:kern w:val="0"/>
          <w:sz w:val="32"/>
          <w:szCs w:val="32"/>
          <w:highlight w:val="none"/>
          <w:lang w:val="en-US" w:eastAsia="zh-CN" w:bidi="ar-SA"/>
        </w:rPr>
        <w:t>为核心的物业管理监管体系，营造诚实守信的物业管理市场环境。深化党建引领物业小区治理，加强社区物业党建联建，全面建立物业行业党委，建立健全党组织充分参与的物业行业诚信评价制约体系，培育一批党建引领物业管理优秀项目。全市共成立小区党支部2170个，党员人数10.71万人，搭建了</w:t>
      </w:r>
      <w:r>
        <w:rPr>
          <w:rFonts w:hint="eastAsia" w:eastAsia="仿宋_GB2312" w:cs="Calibri"/>
          <w:b w:val="0"/>
          <w:bCs w:val="0"/>
          <w:color w:val="auto"/>
          <w:kern w:val="0"/>
          <w:sz w:val="32"/>
          <w:szCs w:val="32"/>
          <w:highlight w:val="none"/>
          <w:lang w:val="en-US" w:eastAsia="zh-CN" w:bidi="ar-SA"/>
        </w:rPr>
        <w:t>“</w:t>
      </w:r>
      <w:r>
        <w:rPr>
          <w:rFonts w:hint="eastAsia" w:ascii="Times New Roman" w:hAnsi="Times New Roman" w:eastAsia="仿宋_GB2312" w:cs="Calibri"/>
          <w:b w:val="0"/>
          <w:bCs w:val="0"/>
          <w:color w:val="auto"/>
          <w:kern w:val="0"/>
          <w:sz w:val="32"/>
          <w:szCs w:val="32"/>
          <w:highlight w:val="none"/>
          <w:lang w:val="en-US" w:eastAsia="zh-CN" w:bidi="ar-SA"/>
        </w:rPr>
        <w:t>街道党工委+社区党总支+小区党支部+楼栋党小组</w:t>
      </w:r>
      <w:r>
        <w:rPr>
          <w:rFonts w:hint="eastAsia" w:eastAsia="仿宋_GB2312" w:cs="Calibri"/>
          <w:b w:val="0"/>
          <w:bCs w:val="0"/>
          <w:color w:val="auto"/>
          <w:kern w:val="0"/>
          <w:sz w:val="32"/>
          <w:szCs w:val="32"/>
          <w:highlight w:val="none"/>
          <w:lang w:val="en-US" w:eastAsia="zh-CN" w:bidi="ar-SA"/>
        </w:rPr>
        <w:t>”</w:t>
      </w:r>
      <w:r>
        <w:rPr>
          <w:rFonts w:hint="eastAsia" w:ascii="Times New Roman" w:hAnsi="Times New Roman" w:eastAsia="仿宋_GB2312" w:cs="Calibri"/>
          <w:b w:val="0"/>
          <w:bCs w:val="0"/>
          <w:color w:val="auto"/>
          <w:kern w:val="0"/>
          <w:sz w:val="32"/>
          <w:szCs w:val="32"/>
          <w:highlight w:val="none"/>
          <w:lang w:val="en-US" w:eastAsia="zh-CN" w:bidi="ar-SA"/>
        </w:rPr>
        <w:t>四级架构，形成以小区党支部为核心，物业企业、居委会、业委会参加的协调运行机制。指导文件已征求资规、城管等相关单位意见，于近期出台；已指导区县创建了垃圾分类精品小区20余个。</w:t>
      </w:r>
    </w:p>
    <w:p>
      <w:pPr>
        <w:spacing w:line="240" w:lineRule="auto"/>
        <w:ind w:firstLine="640" w:firstLineChars="200"/>
        <w:jc w:val="left"/>
        <w:rPr>
          <w:rFonts w:ascii="黑体" w:hAnsi="黑体" w:eastAsia="黑体"/>
          <w:color w:val="auto"/>
          <w:sz w:val="32"/>
          <w:szCs w:val="32"/>
          <w:highlight w:val="none"/>
        </w:rPr>
      </w:pPr>
      <w:r>
        <w:rPr>
          <w:rFonts w:hint="eastAsia" w:ascii="黑体" w:hAnsi="黑体" w:eastAsia="黑体" w:cs="黑体"/>
          <w:color w:val="auto"/>
          <w:sz w:val="32"/>
          <w:szCs w:val="32"/>
          <w:highlight w:val="none"/>
        </w:rPr>
        <w:t>九、存在的问题及原因分析</w:t>
      </w:r>
    </w:p>
    <w:p>
      <w:pPr>
        <w:pStyle w:val="18"/>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在全国财政</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仿宋_GB2312"/>
          <w:color w:val="auto"/>
          <w:sz w:val="32"/>
          <w:szCs w:val="32"/>
          <w:highlight w:val="none"/>
        </w:rPr>
        <w:t>过紧日子</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仿宋_GB2312"/>
          <w:color w:val="auto"/>
          <w:sz w:val="32"/>
          <w:szCs w:val="32"/>
          <w:highlight w:val="none"/>
        </w:rPr>
        <w:t>的大背景下、资金保障持续吃紧的情况下，</w:t>
      </w:r>
      <w:r>
        <w:rPr>
          <w:rFonts w:hint="eastAsia" w:ascii="Times New Roman" w:hAnsi="Times New Roman" w:eastAsia="仿宋_GB2312" w:cs="仿宋_GB2312"/>
          <w:color w:val="auto"/>
          <w:sz w:val="32"/>
          <w:szCs w:val="32"/>
          <w:highlight w:val="none"/>
          <w:lang w:eastAsia="zh-CN"/>
        </w:rPr>
        <w:t>本局</w:t>
      </w:r>
      <w:r>
        <w:rPr>
          <w:rFonts w:hint="eastAsia" w:ascii="Times New Roman" w:hAnsi="Times New Roman" w:eastAsia="仿宋_GB2312" w:cs="仿宋_GB2312"/>
          <w:color w:val="auto"/>
          <w:sz w:val="32"/>
          <w:szCs w:val="32"/>
          <w:highlight w:val="none"/>
        </w:rPr>
        <w:t>在较好完成</w:t>
      </w:r>
      <w:r>
        <w:rPr>
          <w:rFonts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年中心工作的同时，还存在以下</w:t>
      </w:r>
      <w:r>
        <w:rPr>
          <w:rFonts w:hint="eastAsia" w:ascii="Times New Roman" w:hAnsi="Times New Roman" w:eastAsia="仿宋_GB2312" w:cs="仿宋_GB2312"/>
          <w:color w:val="auto"/>
          <w:sz w:val="32"/>
          <w:szCs w:val="32"/>
          <w:highlight w:val="none"/>
          <w:lang w:val="en-US" w:eastAsia="zh-CN"/>
        </w:rPr>
        <w:t>方面的</w:t>
      </w:r>
      <w:r>
        <w:rPr>
          <w:rFonts w:hint="eastAsia" w:ascii="Times New Roman" w:hAnsi="Times New Roman" w:eastAsia="仿宋_GB2312" w:cs="仿宋_GB2312"/>
          <w:color w:val="auto"/>
          <w:sz w:val="32"/>
          <w:szCs w:val="32"/>
          <w:highlight w:val="none"/>
        </w:rPr>
        <w:t>问题：</w:t>
      </w:r>
    </w:p>
    <w:p>
      <w:pPr>
        <w:pStyle w:val="18"/>
        <w:ind w:firstLine="643" w:firstLineChars="200"/>
        <w:rPr>
          <w:rFonts w:hint="default" w:ascii="Times New Roman" w:hAnsi="Times New Roman" w:eastAsia="楷体_GB2312" w:cs="Times New Roman"/>
          <w:b/>
          <w:bCs/>
          <w:color w:val="auto"/>
          <w:sz w:val="32"/>
          <w:szCs w:val="32"/>
          <w:lang w:val="en-US" w:eastAsia="zh-CN"/>
        </w:rPr>
      </w:pPr>
      <w:r>
        <w:rPr>
          <w:rFonts w:hint="eastAsia" w:ascii="Times New Roman" w:hAnsi="Times New Roman" w:eastAsia="楷体_GB2312" w:cs="Times New Roman"/>
          <w:b/>
          <w:bCs/>
          <w:color w:val="auto"/>
          <w:sz w:val="32"/>
          <w:szCs w:val="32"/>
          <w:lang w:eastAsia="zh-CN"/>
        </w:rPr>
        <w:t>（</w:t>
      </w:r>
      <w:r>
        <w:rPr>
          <w:rFonts w:hint="eastAsia" w:ascii="Times New Roman" w:hAnsi="Times New Roman" w:eastAsia="楷体_GB2312" w:cs="Times New Roman"/>
          <w:b/>
          <w:bCs/>
          <w:color w:val="auto"/>
          <w:sz w:val="32"/>
          <w:szCs w:val="32"/>
          <w:lang w:val="en-US" w:eastAsia="zh-CN"/>
        </w:rPr>
        <w:t>一</w:t>
      </w:r>
      <w:r>
        <w:rPr>
          <w:rFonts w:hint="eastAsia" w:ascii="Times New Roman" w:hAnsi="Times New Roman" w:eastAsia="楷体_GB2312" w:cs="Times New Roman"/>
          <w:b/>
          <w:bCs/>
          <w:color w:val="auto"/>
          <w:sz w:val="32"/>
          <w:szCs w:val="32"/>
          <w:lang w:eastAsia="zh-CN"/>
        </w:rPr>
        <w:t>）</w:t>
      </w:r>
      <w:r>
        <w:rPr>
          <w:rFonts w:hint="eastAsia" w:ascii="Times New Roman" w:hAnsi="Times New Roman" w:eastAsia="楷体_GB2312" w:cs="Times New Roman"/>
          <w:b/>
          <w:bCs/>
          <w:color w:val="auto"/>
          <w:sz w:val="32"/>
          <w:szCs w:val="32"/>
          <w:lang w:val="en-US" w:eastAsia="zh-CN"/>
        </w:rPr>
        <w:t>预算绩效管理方面</w:t>
      </w:r>
    </w:p>
    <w:p>
      <w:pPr>
        <w:pStyle w:val="18"/>
        <w:ind w:firstLine="643" w:firstLineChars="200"/>
        <w:rPr>
          <w:rFonts w:hint="eastAsia"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1.预算编制不精准，部分项目资金预算执行率较低</w:t>
      </w:r>
    </w:p>
    <w:p>
      <w:pPr>
        <w:pStyle w:val="18"/>
        <w:spacing w:line="240" w:lineRule="auto"/>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sz w:val="32"/>
          <w:szCs w:val="32"/>
          <w:highlight w:val="none"/>
          <w:lang w:val="en-US" w:eastAsia="zh-CN"/>
        </w:rPr>
        <w:t>2022年本局机关全年预算数为266,136.49万元，全年执行数为249,263.79万元，预算执行率为93.66%。主要原因系部分项目支出预算执行率不高，</w:t>
      </w:r>
      <w:r>
        <w:rPr>
          <w:rFonts w:hint="eastAsia" w:ascii="Times New Roman" w:hAnsi="Times New Roman" w:eastAsia="仿宋_GB2312" w:cs="Times New Roman"/>
          <w:color w:val="auto"/>
          <w:kern w:val="2"/>
          <w:sz w:val="32"/>
          <w:szCs w:val="32"/>
          <w:lang w:val="en-US" w:eastAsia="zh-CN" w:bidi="ar-SA"/>
        </w:rPr>
        <w:t>具体情况如下：</w:t>
      </w:r>
    </w:p>
    <w:p>
      <w:pPr>
        <w:pStyle w:val="18"/>
        <w:spacing w:line="240" w:lineRule="auto"/>
        <w:ind w:firstLine="480" w:firstLineChars="200"/>
        <w:jc w:val="right"/>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24"/>
          <w:szCs w:val="24"/>
          <w:lang w:val="en-US" w:eastAsia="zh-CN" w:bidi="ar-SA"/>
        </w:rPr>
        <w:t>单位：万元</w:t>
      </w: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3"/>
        <w:gridCol w:w="2002"/>
        <w:gridCol w:w="1133"/>
        <w:gridCol w:w="1162"/>
        <w:gridCol w:w="833"/>
        <w:gridCol w:w="29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blHead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序号</w:t>
            </w:r>
          </w:p>
        </w:tc>
        <w:tc>
          <w:tcPr>
            <w:tcW w:w="1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项目名称</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全年预算数</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年末决算数</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执行率</w:t>
            </w:r>
          </w:p>
        </w:tc>
        <w:tc>
          <w:tcPr>
            <w:tcW w:w="1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1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行政审批案卷档案整理专项经费</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60.00 </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26.32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43.87%</w:t>
            </w:r>
          </w:p>
        </w:tc>
        <w:tc>
          <w:tcPr>
            <w:tcW w:w="1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2022</w:t>
            </w:r>
            <w:r>
              <w:rPr>
                <w:rStyle w:val="28"/>
                <w:color w:val="auto"/>
                <w:lang w:val="en-US" w:eastAsia="zh-CN" w:bidi="ar"/>
              </w:rPr>
              <w:t>年市司法局案卷评查发现档案整理不规范，为规范档案整理，扣除</w:t>
            </w:r>
            <w:r>
              <w:rPr>
                <w:rStyle w:val="29"/>
                <w:rFonts w:eastAsia="宋体"/>
                <w:color w:val="auto"/>
                <w:lang w:val="en-US" w:eastAsia="zh-CN" w:bidi="ar"/>
              </w:rPr>
              <w:t>10</w:t>
            </w:r>
            <w:r>
              <w:rPr>
                <w:rStyle w:val="28"/>
                <w:color w:val="auto"/>
                <w:lang w:val="en-US" w:eastAsia="zh-CN" w:bidi="ar"/>
              </w:rPr>
              <w:t>万元待案卷整理机构整改落实后再予以支付。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w:t>
            </w:r>
          </w:p>
        </w:tc>
        <w:tc>
          <w:tcPr>
            <w:tcW w:w="1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法制建设及诉讼费</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28.00 </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10.06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35.93%</w:t>
            </w:r>
          </w:p>
        </w:tc>
        <w:tc>
          <w:tcPr>
            <w:tcW w:w="1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一是聘用法律顾问合同期限为</w:t>
            </w:r>
            <w:r>
              <w:rPr>
                <w:rStyle w:val="29"/>
                <w:rFonts w:eastAsia="宋体"/>
                <w:color w:val="auto"/>
                <w:lang w:val="en-US" w:eastAsia="zh-CN" w:bidi="ar"/>
              </w:rPr>
              <w:t>2022</w:t>
            </w:r>
            <w:r>
              <w:rPr>
                <w:rStyle w:val="28"/>
                <w:color w:val="auto"/>
                <w:lang w:val="en-US" w:eastAsia="zh-CN" w:bidi="ar"/>
              </w:rPr>
              <w:t>年</w:t>
            </w:r>
            <w:r>
              <w:rPr>
                <w:rStyle w:val="29"/>
                <w:rFonts w:eastAsia="宋体"/>
                <w:color w:val="auto"/>
                <w:lang w:val="en-US" w:eastAsia="zh-CN" w:bidi="ar"/>
              </w:rPr>
              <w:t>12</w:t>
            </w:r>
            <w:r>
              <w:rPr>
                <w:rStyle w:val="28"/>
                <w:color w:val="auto"/>
                <w:lang w:val="en-US" w:eastAsia="zh-CN" w:bidi="ar"/>
              </w:rPr>
              <w:t>月</w:t>
            </w:r>
            <w:r>
              <w:rPr>
                <w:rStyle w:val="29"/>
                <w:rFonts w:eastAsia="宋体"/>
                <w:color w:val="auto"/>
                <w:lang w:val="en-US" w:eastAsia="zh-CN" w:bidi="ar"/>
              </w:rPr>
              <w:t>22</w:t>
            </w:r>
            <w:r>
              <w:rPr>
                <w:rStyle w:val="28"/>
                <w:color w:val="auto"/>
                <w:lang w:val="en-US" w:eastAsia="zh-CN" w:bidi="ar"/>
              </w:rPr>
              <w:t>日至</w:t>
            </w:r>
            <w:r>
              <w:rPr>
                <w:rStyle w:val="29"/>
                <w:rFonts w:eastAsia="宋体"/>
                <w:color w:val="auto"/>
                <w:lang w:val="en-US" w:eastAsia="zh-CN" w:bidi="ar"/>
              </w:rPr>
              <w:t>2023</w:t>
            </w:r>
            <w:r>
              <w:rPr>
                <w:rStyle w:val="28"/>
                <w:color w:val="auto"/>
                <w:lang w:val="en-US" w:eastAsia="zh-CN" w:bidi="ar"/>
              </w:rPr>
              <w:t>年</w:t>
            </w:r>
            <w:r>
              <w:rPr>
                <w:rStyle w:val="29"/>
                <w:rFonts w:eastAsia="宋体"/>
                <w:color w:val="auto"/>
                <w:lang w:val="en-US" w:eastAsia="zh-CN" w:bidi="ar"/>
              </w:rPr>
              <w:t>12</w:t>
            </w:r>
            <w:r>
              <w:rPr>
                <w:rStyle w:val="28"/>
                <w:color w:val="auto"/>
                <w:lang w:val="en-US" w:eastAsia="zh-CN" w:bidi="ar"/>
              </w:rPr>
              <w:t>月</w:t>
            </w:r>
            <w:r>
              <w:rPr>
                <w:rStyle w:val="29"/>
                <w:rFonts w:eastAsia="宋体"/>
                <w:color w:val="auto"/>
                <w:lang w:val="en-US" w:eastAsia="zh-CN" w:bidi="ar"/>
              </w:rPr>
              <w:t>21</w:t>
            </w:r>
            <w:r>
              <w:rPr>
                <w:rStyle w:val="28"/>
                <w:color w:val="auto"/>
                <w:lang w:val="en-US" w:eastAsia="zh-CN" w:bidi="ar"/>
              </w:rPr>
              <w:t>日，第一笔付款期刚好处于年底；二是</w:t>
            </w:r>
            <w:r>
              <w:rPr>
                <w:rStyle w:val="29"/>
                <w:rFonts w:eastAsia="宋体"/>
                <w:color w:val="auto"/>
                <w:lang w:val="en-US" w:eastAsia="zh-CN" w:bidi="ar"/>
              </w:rPr>
              <w:t>2022</w:t>
            </w:r>
            <w:r>
              <w:rPr>
                <w:rStyle w:val="28"/>
                <w:color w:val="auto"/>
                <w:lang w:val="en-US" w:eastAsia="zh-CN" w:bidi="ar"/>
              </w:rPr>
              <w:t>年</w:t>
            </w:r>
            <w:r>
              <w:rPr>
                <w:rStyle w:val="29"/>
                <w:rFonts w:eastAsia="宋体"/>
                <w:color w:val="auto"/>
                <w:lang w:val="en-US" w:eastAsia="zh-CN" w:bidi="ar"/>
              </w:rPr>
              <w:t>12</w:t>
            </w:r>
            <w:r>
              <w:rPr>
                <w:rStyle w:val="28"/>
                <w:color w:val="auto"/>
                <w:lang w:val="en-US" w:eastAsia="zh-CN" w:bidi="ar"/>
              </w:rPr>
              <w:t>月</w:t>
            </w:r>
            <w:r>
              <w:rPr>
                <w:rStyle w:val="29"/>
                <w:rFonts w:eastAsia="宋体"/>
                <w:color w:val="auto"/>
                <w:lang w:val="en-US" w:eastAsia="zh-CN" w:bidi="ar"/>
              </w:rPr>
              <w:t>23</w:t>
            </w:r>
            <w:r>
              <w:rPr>
                <w:rStyle w:val="28"/>
                <w:color w:val="auto"/>
                <w:lang w:val="en-US" w:eastAsia="zh-CN" w:bidi="ar"/>
              </w:rPr>
              <w:t>日开具发票并提交了报</w:t>
            </w:r>
            <w:r>
              <w:rPr>
                <w:rStyle w:val="28"/>
                <w:rFonts w:hint="eastAsia"/>
                <w:color w:val="auto"/>
                <w:lang w:val="en-US" w:eastAsia="zh-CN" w:bidi="ar"/>
              </w:rPr>
              <w:t>账</w:t>
            </w:r>
            <w:r>
              <w:rPr>
                <w:rStyle w:val="28"/>
                <w:color w:val="auto"/>
                <w:lang w:val="en-US" w:eastAsia="zh-CN" w:bidi="ar"/>
              </w:rPr>
              <w:t>材料，突遇财政关账，拟支付的</w:t>
            </w:r>
            <w:r>
              <w:rPr>
                <w:rStyle w:val="29"/>
                <w:rFonts w:eastAsia="宋体"/>
                <w:color w:val="auto"/>
                <w:lang w:val="en-US" w:eastAsia="zh-CN" w:bidi="ar"/>
              </w:rPr>
              <w:t>17</w:t>
            </w:r>
            <w:r>
              <w:rPr>
                <w:rStyle w:val="28"/>
                <w:color w:val="auto"/>
                <w:lang w:val="en-US" w:eastAsia="zh-CN" w:bidi="ar"/>
              </w:rPr>
              <w:t>万元被收回。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w:t>
            </w:r>
          </w:p>
        </w:tc>
        <w:tc>
          <w:tcPr>
            <w:tcW w:w="1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w:t>
            </w:r>
            <w:r>
              <w:rPr>
                <w:rStyle w:val="30"/>
                <w:rFonts w:hint="eastAsia" w:ascii="宋体" w:hAnsi="宋体" w:eastAsia="宋体" w:cs="宋体"/>
                <w:color w:val="auto"/>
                <w:lang w:val="en-US" w:eastAsia="zh-CN" w:bidi="ar"/>
              </w:rPr>
              <w:t>年代精减下放人员救济费</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4.04 </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3.60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89.11%</w:t>
            </w:r>
          </w:p>
        </w:tc>
        <w:tc>
          <w:tcPr>
            <w:tcW w:w="1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存在60年代精减下放人员因去世停发救济费造成执行率偏低。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4</w:t>
            </w:r>
          </w:p>
        </w:tc>
        <w:tc>
          <w:tcPr>
            <w:tcW w:w="1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住房和城乡建设专项经费</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170.00 </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147.91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87.01%</w:t>
            </w:r>
          </w:p>
        </w:tc>
        <w:tc>
          <w:tcPr>
            <w:tcW w:w="1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由于去年年底疫情放开影响，工作人员都感染在家，加之财政关账，许多需支付的费用最终未能支付出去。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w:t>
            </w:r>
          </w:p>
        </w:tc>
        <w:tc>
          <w:tcPr>
            <w:tcW w:w="1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住房保障工作经费</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47.40 </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43.61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92.00%</w:t>
            </w:r>
          </w:p>
        </w:tc>
        <w:tc>
          <w:tcPr>
            <w:tcW w:w="1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受疫情影响减少了外出交流，导致住房保障工作经费执行率不高。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6</w:t>
            </w:r>
          </w:p>
        </w:tc>
        <w:tc>
          <w:tcPr>
            <w:tcW w:w="1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污水行业监管经费</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28.50 </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25.00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87.72%</w:t>
            </w:r>
          </w:p>
        </w:tc>
        <w:tc>
          <w:tcPr>
            <w:tcW w:w="1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年度预算按以往经验报批，但是每年经费实际使用情况有所不同，所以有结余。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7</w:t>
            </w:r>
          </w:p>
        </w:tc>
        <w:tc>
          <w:tcPr>
            <w:tcW w:w="1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派驻纪检监察组日常办公经费</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3.00 </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0.65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21.67%</w:t>
            </w:r>
          </w:p>
        </w:tc>
        <w:tc>
          <w:tcPr>
            <w:tcW w:w="1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由于去年年底疫情放开影响，工作人员都感染在家，加之财政关账，许多需支付的费用最终未能支付出去。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8</w:t>
            </w:r>
          </w:p>
        </w:tc>
        <w:tc>
          <w:tcPr>
            <w:tcW w:w="1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供水行业监管经费</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13.30 </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8.13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61.13%</w:t>
            </w:r>
          </w:p>
        </w:tc>
        <w:tc>
          <w:tcPr>
            <w:tcW w:w="1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iCs w:val="0"/>
                <w:color w:val="auto"/>
                <w:sz w:val="18"/>
                <w:szCs w:val="18"/>
                <w:u w:val="none"/>
              </w:rPr>
            </w:pPr>
            <w:r>
              <w:rPr>
                <w:rFonts w:hint="eastAsia" w:ascii="Times New Roman" w:hAnsi="Times New Roman" w:cs="Times New Roman"/>
                <w:i w:val="0"/>
                <w:iCs w:val="0"/>
                <w:color w:val="auto"/>
                <w:sz w:val="18"/>
                <w:szCs w:val="18"/>
                <w:u w:val="none"/>
                <w:lang w:val="en-US" w:eastAsia="zh-CN"/>
              </w:rPr>
              <w:t>一是因项目</w:t>
            </w:r>
            <w:r>
              <w:rPr>
                <w:rFonts w:hint="default" w:ascii="Times New Roman" w:hAnsi="Times New Roman" w:eastAsia="宋体" w:cs="Times New Roman"/>
                <w:i w:val="0"/>
                <w:iCs w:val="0"/>
                <w:color w:val="auto"/>
                <w:sz w:val="18"/>
                <w:szCs w:val="18"/>
                <w:u w:val="none"/>
              </w:rPr>
              <w:t>宣传周经费为30.8</w:t>
            </w:r>
            <w:r>
              <w:rPr>
                <w:rFonts w:hint="eastAsia" w:ascii="Times New Roman" w:hAnsi="Times New Roman" w:cs="Times New Roman"/>
                <w:i w:val="0"/>
                <w:iCs w:val="0"/>
                <w:color w:val="auto"/>
                <w:sz w:val="18"/>
                <w:szCs w:val="18"/>
                <w:u w:val="none"/>
                <w:lang w:val="en-US" w:eastAsia="zh-CN"/>
              </w:rPr>
              <w:t>0</w:t>
            </w:r>
            <w:r>
              <w:rPr>
                <w:rFonts w:hint="default" w:ascii="Times New Roman" w:hAnsi="Times New Roman" w:eastAsia="宋体" w:cs="Times New Roman"/>
                <w:i w:val="0"/>
                <w:iCs w:val="0"/>
                <w:color w:val="auto"/>
                <w:sz w:val="18"/>
                <w:szCs w:val="18"/>
                <w:u w:val="none"/>
              </w:rPr>
              <w:t>万元，我局仅承担5万元，剩余均由长沙水业集团承担</w:t>
            </w:r>
            <w:r>
              <w:rPr>
                <w:rFonts w:hint="eastAsia" w:ascii="Times New Roman" w:hAnsi="Times New Roman" w:cs="Times New Roman"/>
                <w:i w:val="0"/>
                <w:iCs w:val="0"/>
                <w:color w:val="auto"/>
                <w:sz w:val="18"/>
                <w:szCs w:val="18"/>
                <w:u w:val="none"/>
                <w:lang w:eastAsia="zh-CN"/>
              </w:rPr>
              <w:t>；</w:t>
            </w:r>
            <w:r>
              <w:rPr>
                <w:rFonts w:hint="eastAsia" w:ascii="Times New Roman" w:hAnsi="Times New Roman" w:cs="Times New Roman"/>
                <w:i w:val="0"/>
                <w:iCs w:val="0"/>
                <w:color w:val="auto"/>
                <w:sz w:val="18"/>
                <w:szCs w:val="18"/>
                <w:u w:val="none"/>
                <w:lang w:val="en-US" w:eastAsia="zh-CN"/>
              </w:rPr>
              <w:t>二是</w:t>
            </w:r>
            <w:r>
              <w:rPr>
                <w:rFonts w:hint="default" w:ascii="Times New Roman" w:hAnsi="Times New Roman" w:eastAsia="宋体" w:cs="Times New Roman"/>
                <w:i w:val="0"/>
                <w:iCs w:val="0"/>
                <w:color w:val="auto"/>
                <w:sz w:val="18"/>
                <w:szCs w:val="18"/>
                <w:u w:val="none"/>
              </w:rPr>
              <w:t>原计划2022年下半年开展《长沙市城市供水用水管理条例》宣</w:t>
            </w:r>
            <w:r>
              <w:rPr>
                <w:rFonts w:hint="eastAsia" w:ascii="Times New Roman" w:hAnsi="Times New Roman" w:cs="Times New Roman"/>
                <w:i w:val="0"/>
                <w:iCs w:val="0"/>
                <w:color w:val="auto"/>
                <w:sz w:val="18"/>
                <w:szCs w:val="18"/>
                <w:u w:val="none"/>
                <w:lang w:val="en-US" w:eastAsia="zh-CN"/>
              </w:rPr>
              <w:t>贯</w:t>
            </w:r>
            <w:r>
              <w:rPr>
                <w:rFonts w:hint="default" w:ascii="Times New Roman" w:hAnsi="Times New Roman" w:eastAsia="宋体" w:cs="Times New Roman"/>
                <w:i w:val="0"/>
                <w:iCs w:val="0"/>
                <w:color w:val="auto"/>
                <w:sz w:val="18"/>
                <w:szCs w:val="18"/>
                <w:u w:val="none"/>
              </w:rPr>
              <w:t>培训，受疫情防控影响未开展。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9</w:t>
            </w:r>
          </w:p>
        </w:tc>
        <w:tc>
          <w:tcPr>
            <w:tcW w:w="1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污水处理运行费</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193,872.54 </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179,296.74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92.48%</w:t>
            </w:r>
          </w:p>
        </w:tc>
        <w:tc>
          <w:tcPr>
            <w:tcW w:w="1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年底关账部分资金未支付出去。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10</w:t>
            </w:r>
          </w:p>
        </w:tc>
        <w:tc>
          <w:tcPr>
            <w:tcW w:w="1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村镇建设专项资金</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50.00 </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5.69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11.38%</w:t>
            </w:r>
          </w:p>
        </w:tc>
        <w:tc>
          <w:tcPr>
            <w:tcW w:w="1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因疫情影响，原计划开展的村镇干部培训未开展，该部分经费未支出。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11</w:t>
            </w:r>
          </w:p>
        </w:tc>
        <w:tc>
          <w:tcPr>
            <w:tcW w:w="1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精美长沙专项经费</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868.51 </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745.99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85.89%</w:t>
            </w:r>
          </w:p>
        </w:tc>
        <w:tc>
          <w:tcPr>
            <w:tcW w:w="1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kern w:val="0"/>
                <w:sz w:val="18"/>
                <w:szCs w:val="18"/>
                <w:u w:val="none"/>
                <w:lang w:val="en-US" w:eastAsia="zh-CN" w:bidi="ar"/>
              </w:rPr>
              <w:t>主要原因系</w:t>
            </w:r>
            <w:r>
              <w:rPr>
                <w:rFonts w:hint="eastAsia" w:ascii="宋体" w:hAnsi="宋体" w:eastAsia="宋体" w:cs="宋体"/>
                <w:i w:val="0"/>
                <w:iCs w:val="0"/>
                <w:color w:val="auto"/>
                <w:kern w:val="0"/>
                <w:sz w:val="18"/>
                <w:szCs w:val="18"/>
                <w:u w:val="none"/>
                <w:lang w:val="en-US" w:eastAsia="zh-CN" w:bidi="ar"/>
              </w:rPr>
              <w:t>“精美建筑”供应商</w:t>
            </w:r>
            <w:r>
              <w:rPr>
                <w:rFonts w:hint="eastAsia" w:ascii="宋体" w:hAnsi="宋体" w:cs="宋体"/>
                <w:i w:val="0"/>
                <w:iCs w:val="0"/>
                <w:color w:val="auto"/>
                <w:kern w:val="0"/>
                <w:sz w:val="18"/>
                <w:szCs w:val="18"/>
                <w:u w:val="none"/>
                <w:lang w:val="en-US" w:eastAsia="zh-CN" w:bidi="ar"/>
              </w:rPr>
              <w:t>变更</w:t>
            </w:r>
            <w:r>
              <w:rPr>
                <w:rFonts w:hint="eastAsia" w:ascii="宋体" w:hAnsi="宋体" w:eastAsia="宋体" w:cs="宋体"/>
                <w:i w:val="0"/>
                <w:iCs w:val="0"/>
                <w:color w:val="auto"/>
                <w:kern w:val="0"/>
                <w:sz w:val="18"/>
                <w:szCs w:val="18"/>
                <w:u w:val="none"/>
                <w:lang w:val="en-US" w:eastAsia="zh-CN" w:bidi="ar"/>
              </w:rPr>
              <w:t>单</w:t>
            </w:r>
            <w:r>
              <w:rPr>
                <w:rFonts w:hint="default" w:ascii="Times New Roman" w:hAnsi="Times New Roman" w:eastAsia="宋体" w:cs="Times New Roman"/>
                <w:i w:val="0"/>
                <w:iCs w:val="0"/>
                <w:color w:val="auto"/>
                <w:kern w:val="0"/>
                <w:sz w:val="18"/>
                <w:szCs w:val="18"/>
                <w:u w:val="none"/>
                <w:lang w:val="en-US" w:eastAsia="zh-CN" w:bidi="ar"/>
              </w:rPr>
              <w:t>位名称，导致120.12万元合同尾款无法支付到位和长沙市既有多层住宅加装电梯排查摸底购买服务项目招标代理费1.425万、专家评审费0.16万城科院</w:t>
            </w:r>
            <w:r>
              <w:rPr>
                <w:rFonts w:hint="default" w:ascii="Times New Roman" w:hAnsi="Times New Roman" w:cs="Times New Roman"/>
                <w:i w:val="0"/>
                <w:iCs w:val="0"/>
                <w:color w:val="auto"/>
                <w:kern w:val="0"/>
                <w:sz w:val="18"/>
                <w:szCs w:val="18"/>
                <w:u w:val="none"/>
                <w:lang w:val="en-US" w:eastAsia="zh-CN" w:bidi="ar"/>
              </w:rPr>
              <w:t>未及时报账</w:t>
            </w:r>
            <w:r>
              <w:rPr>
                <w:rFonts w:hint="eastAsia" w:ascii="宋体" w:hAnsi="宋体" w:eastAsia="宋体" w:cs="宋体"/>
                <w:i w:val="0"/>
                <w:iCs w:val="0"/>
                <w:color w:val="auto"/>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12</w:t>
            </w:r>
          </w:p>
        </w:tc>
        <w:tc>
          <w:tcPr>
            <w:tcW w:w="1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市排水事务中心泵站提标管网建设等项目经费</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3,900.95 </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3,293.65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84.43%</w:t>
            </w:r>
          </w:p>
        </w:tc>
        <w:tc>
          <w:tcPr>
            <w:tcW w:w="1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项目预算执行率偏低是由于部分标段办理进窗评审后，承包人与市财评一、二审对审缓慢，导致部分标段2022年底未完成市财评中心结算审核，未达到支付条件。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13</w:t>
            </w:r>
          </w:p>
        </w:tc>
        <w:tc>
          <w:tcPr>
            <w:tcW w:w="1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实施高精尖人才领跑工程购房补贴</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5,000.00 </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4,134.09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82.68%</w:t>
            </w:r>
          </w:p>
        </w:tc>
        <w:tc>
          <w:tcPr>
            <w:tcW w:w="1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人才引进受诸多因素影响，高精尖人才引进后购房与否存在不确定性，导致有偏差。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14</w:t>
            </w:r>
          </w:p>
        </w:tc>
        <w:tc>
          <w:tcPr>
            <w:tcW w:w="1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实施“长沙工匠”铸造工程购房补贴</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300.00 </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87.00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29.00%</w:t>
            </w:r>
          </w:p>
        </w:tc>
        <w:tc>
          <w:tcPr>
            <w:tcW w:w="1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人才引进受诸多因素影响，高技能人才引进后购房与否存在不确定性，导致有偏差。</w:t>
            </w:r>
          </w:p>
        </w:tc>
      </w:tr>
    </w:tbl>
    <w:p>
      <w:pPr>
        <w:pStyle w:val="18"/>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643" w:firstLineChars="200"/>
        <w:textAlignment w:val="auto"/>
        <w:rPr>
          <w:rFonts w:ascii="Times New Roman" w:hAnsi="Times New Roman" w:eastAsia="仿宋_GB2312"/>
          <w:b/>
          <w:bCs/>
          <w:color w:val="auto"/>
          <w:sz w:val="32"/>
          <w:szCs w:val="32"/>
          <w:highlight w:val="yellow"/>
        </w:rPr>
      </w:pPr>
      <w:r>
        <w:rPr>
          <w:rFonts w:hint="eastAsia" w:ascii="Times New Roman" w:hAnsi="Times New Roman" w:eastAsia="仿宋_GB2312" w:cs="仿宋_GB2312"/>
          <w:b/>
          <w:bCs/>
          <w:color w:val="auto"/>
          <w:sz w:val="32"/>
          <w:szCs w:val="32"/>
          <w:highlight w:val="none"/>
          <w:lang w:val="en-US" w:eastAsia="zh-CN"/>
        </w:rPr>
        <w:t>2.</w:t>
      </w:r>
      <w:r>
        <w:rPr>
          <w:rFonts w:hint="eastAsia" w:ascii="Times New Roman" w:hAnsi="Times New Roman" w:eastAsia="仿宋_GB2312" w:cs="仿宋_GB2312"/>
          <w:b/>
          <w:bCs/>
          <w:color w:val="auto"/>
          <w:sz w:val="32"/>
          <w:szCs w:val="32"/>
          <w:highlight w:val="none"/>
        </w:rPr>
        <w:t>绩效管理工作水平有待提高</w:t>
      </w:r>
    </w:p>
    <w:p>
      <w:pPr>
        <w:pStyle w:val="18"/>
        <w:numPr>
          <w:ilvl w:val="0"/>
          <w:numId w:val="0"/>
        </w:numPr>
        <w:ind w:firstLine="640" w:firstLineChars="200"/>
        <w:rPr>
          <w:rFonts w:ascii="Times New Roman" w:hAnsi="Times New Roman" w:eastAsia="仿宋_GB2312"/>
          <w:color w:val="auto"/>
          <w:sz w:val="32"/>
          <w:szCs w:val="32"/>
          <w:highlight w:val="yellow"/>
        </w:rPr>
      </w:pPr>
      <w:r>
        <w:rPr>
          <w:rFonts w:hint="eastAsia" w:ascii="Times New Roman" w:hAnsi="Times New Roman" w:eastAsia="仿宋_GB2312" w:cs="仿宋_GB2312"/>
          <w:color w:val="auto"/>
          <w:sz w:val="32"/>
          <w:szCs w:val="32"/>
          <w:highlight w:val="none"/>
          <w:lang w:eastAsia="zh-CN"/>
        </w:rPr>
        <w:t>本局</w:t>
      </w:r>
      <w:r>
        <w:rPr>
          <w:rFonts w:hint="eastAsia" w:ascii="Times New Roman" w:hAnsi="Times New Roman" w:eastAsia="仿宋_GB2312" w:cs="仿宋_GB2312"/>
          <w:color w:val="auto"/>
          <w:sz w:val="32"/>
          <w:szCs w:val="32"/>
          <w:highlight w:val="none"/>
        </w:rPr>
        <w:t>绩效管理工作开展以来，取得了一定的成效，但是仍然存在以下薄弱的地方：①绩效目标设置的水平有待提高。</w:t>
      </w:r>
      <w:r>
        <w:rPr>
          <w:rFonts w:hint="eastAsia" w:ascii="Times New Roman" w:hAnsi="Times New Roman" w:eastAsia="仿宋_GB2312" w:cs="仿宋_GB2312"/>
          <w:color w:val="auto"/>
          <w:sz w:val="32"/>
          <w:szCs w:val="32"/>
          <w:highlight w:val="none"/>
          <w:lang w:eastAsia="zh-CN"/>
        </w:rPr>
        <w:t>本局</w:t>
      </w:r>
      <w:r>
        <w:rPr>
          <w:rFonts w:hint="eastAsia" w:ascii="Times New Roman" w:hAnsi="Times New Roman" w:eastAsia="仿宋_GB2312" w:cs="仿宋_GB2312"/>
          <w:color w:val="auto"/>
          <w:sz w:val="32"/>
          <w:szCs w:val="32"/>
          <w:highlight w:val="none"/>
        </w:rPr>
        <w:t>绩效目标设置以财务人员和业务处室相关人员为主力，两者均属于非专业人士，造成了绩效目标编制不够科学、不能全面考核项目的实施效果，削弱了绩效考评的作用。②绩效管理工作重心需进一步优化调整。</w:t>
      </w:r>
      <w:r>
        <w:rPr>
          <w:rFonts w:hint="eastAsia" w:ascii="Times New Roman" w:hAnsi="Times New Roman" w:eastAsia="仿宋_GB2312" w:cs="仿宋_GB2312"/>
          <w:color w:val="auto"/>
          <w:sz w:val="32"/>
          <w:szCs w:val="32"/>
          <w:highlight w:val="none"/>
          <w:lang w:eastAsia="zh-CN"/>
        </w:rPr>
        <w:t>本局</w:t>
      </w:r>
      <w:r>
        <w:rPr>
          <w:rFonts w:hint="eastAsia" w:ascii="Times New Roman" w:hAnsi="Times New Roman" w:eastAsia="仿宋_GB2312" w:cs="仿宋_GB2312"/>
          <w:color w:val="auto"/>
          <w:sz w:val="32"/>
          <w:szCs w:val="32"/>
          <w:highlight w:val="none"/>
        </w:rPr>
        <w:t>在以往的绩效管理工作中，更加注重绩效结果的评价，在今后的绩效管理工作中，在开展好绩效结果评价的同时，应当加强绩效过程（运行监控）管理，以便及时发现问题，及时进行整改。</w:t>
      </w:r>
    </w:p>
    <w:p>
      <w:pPr>
        <w:pStyle w:val="4"/>
        <w:keepNext w:val="0"/>
        <w:keepLines w:val="0"/>
        <w:pageBreakBefore w:val="0"/>
        <w:widowControl/>
        <w:kinsoku/>
        <w:wordWrap/>
        <w:overflowPunct/>
        <w:topLinePunct w:val="0"/>
        <w:autoSpaceDE/>
        <w:autoSpaceDN/>
        <w:bidi w:val="0"/>
        <w:spacing w:after="0" w:line="240" w:lineRule="auto"/>
        <w:ind w:firstLine="643" w:firstLineChars="200"/>
        <w:jc w:val="both"/>
        <w:outlineLvl w:val="1"/>
        <w:rPr>
          <w:rFonts w:hint="default" w:ascii="Times New Roman" w:hAnsi="Times New Roman" w:eastAsia="楷体_GB2312" w:cs="Times New Roman"/>
          <w:b/>
          <w:bCs/>
          <w:color w:val="auto"/>
          <w:sz w:val="32"/>
          <w:szCs w:val="32"/>
          <w:lang w:val="en-US" w:eastAsia="zh-CN"/>
        </w:rPr>
      </w:pPr>
      <w:r>
        <w:rPr>
          <w:rFonts w:hint="eastAsia" w:ascii="Times New Roman" w:hAnsi="Times New Roman" w:eastAsia="楷体_GB2312" w:cs="Times New Roman"/>
          <w:b/>
          <w:bCs/>
          <w:color w:val="auto"/>
          <w:sz w:val="32"/>
          <w:szCs w:val="32"/>
          <w:lang w:eastAsia="zh-CN"/>
        </w:rPr>
        <w:t>（</w:t>
      </w:r>
      <w:r>
        <w:rPr>
          <w:rFonts w:hint="eastAsia" w:ascii="Times New Roman" w:hAnsi="Times New Roman" w:eastAsia="楷体_GB2312" w:cs="Times New Roman"/>
          <w:b/>
          <w:bCs/>
          <w:color w:val="auto"/>
          <w:sz w:val="32"/>
          <w:szCs w:val="32"/>
          <w:lang w:val="en-US" w:eastAsia="zh-CN"/>
        </w:rPr>
        <w:t>二</w:t>
      </w:r>
      <w:r>
        <w:rPr>
          <w:rFonts w:hint="eastAsia" w:ascii="Times New Roman" w:hAnsi="Times New Roman" w:eastAsia="楷体_GB2312" w:cs="Times New Roman"/>
          <w:b/>
          <w:bCs/>
          <w:color w:val="auto"/>
          <w:sz w:val="32"/>
          <w:szCs w:val="32"/>
          <w:lang w:eastAsia="zh-CN"/>
        </w:rPr>
        <w:t>）</w:t>
      </w:r>
      <w:r>
        <w:rPr>
          <w:rFonts w:hint="eastAsia" w:ascii="Times New Roman" w:hAnsi="Times New Roman" w:eastAsia="楷体_GB2312" w:cs="Times New Roman"/>
          <w:b/>
          <w:bCs/>
          <w:color w:val="auto"/>
          <w:sz w:val="32"/>
          <w:szCs w:val="32"/>
          <w:lang w:val="en-US" w:eastAsia="zh-CN"/>
        </w:rPr>
        <w:t>资金管理方面</w:t>
      </w:r>
    </w:p>
    <w:p>
      <w:pPr>
        <w:bidi w:val="0"/>
        <w:ind w:firstLine="643" w:firstLineChars="20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资金支付不及时。</w:t>
      </w:r>
      <w:r>
        <w:rPr>
          <w:rFonts w:hint="eastAsia" w:ascii="Times New Roman" w:hAnsi="Times New Roman" w:eastAsia="仿宋_GB2312" w:cs="仿宋_GB2312"/>
          <w:color w:val="auto"/>
          <w:kern w:val="2"/>
          <w:sz w:val="32"/>
          <w:szCs w:val="32"/>
          <w:highlight w:val="none"/>
          <w:lang w:val="en-US" w:eastAsia="zh-CN" w:bidi="ar-SA"/>
        </w:rPr>
        <w:t>2021年实施的既有小区品质提升项目奖补资金因疫情防控，导致许多工作无法开展，延误了2021年既有小区奖补资金的核算工作，2022年度未及时将市级奖补资金拨付至区县，后于2023年3月拨付。</w:t>
      </w:r>
    </w:p>
    <w:p>
      <w:pPr>
        <w:pStyle w:val="4"/>
        <w:keepNext w:val="0"/>
        <w:keepLines w:val="0"/>
        <w:pageBreakBefore w:val="0"/>
        <w:widowControl/>
        <w:kinsoku/>
        <w:wordWrap/>
        <w:overflowPunct/>
        <w:topLinePunct w:val="0"/>
        <w:autoSpaceDE/>
        <w:autoSpaceDN/>
        <w:bidi w:val="0"/>
        <w:spacing w:after="0" w:line="240" w:lineRule="auto"/>
        <w:ind w:firstLine="643" w:firstLineChars="200"/>
        <w:jc w:val="both"/>
        <w:outlineLvl w:val="1"/>
        <w:rPr>
          <w:rFonts w:hint="eastAsia" w:ascii="Times New Roman" w:hAnsi="Times New Roman" w:eastAsia="楷体_GB2312" w:cs="Times New Roman"/>
          <w:b/>
          <w:bCs/>
          <w:color w:val="auto"/>
          <w:sz w:val="32"/>
          <w:szCs w:val="32"/>
          <w:lang w:val="en-US" w:eastAsia="zh-CN"/>
        </w:rPr>
      </w:pPr>
      <w:r>
        <w:rPr>
          <w:rFonts w:hint="eastAsia" w:ascii="Times New Roman" w:hAnsi="Times New Roman" w:eastAsia="楷体_GB2312" w:cs="Times New Roman"/>
          <w:b/>
          <w:bCs/>
          <w:color w:val="auto"/>
          <w:sz w:val="32"/>
          <w:szCs w:val="32"/>
          <w:lang w:eastAsia="zh-CN"/>
        </w:rPr>
        <w:t>（</w:t>
      </w:r>
      <w:r>
        <w:rPr>
          <w:rFonts w:hint="eastAsia" w:ascii="Times New Roman" w:hAnsi="Times New Roman" w:eastAsia="楷体_GB2312" w:cs="Times New Roman"/>
          <w:b/>
          <w:bCs/>
          <w:color w:val="auto"/>
          <w:sz w:val="32"/>
          <w:szCs w:val="32"/>
          <w:lang w:val="en-US" w:eastAsia="zh-CN"/>
        </w:rPr>
        <w:t>三</w:t>
      </w:r>
      <w:r>
        <w:rPr>
          <w:rFonts w:hint="eastAsia" w:ascii="Times New Roman" w:hAnsi="Times New Roman" w:eastAsia="楷体_GB2312" w:cs="Times New Roman"/>
          <w:b/>
          <w:bCs/>
          <w:color w:val="auto"/>
          <w:sz w:val="32"/>
          <w:szCs w:val="32"/>
          <w:lang w:eastAsia="zh-CN"/>
        </w:rPr>
        <w:t>）</w:t>
      </w:r>
      <w:r>
        <w:rPr>
          <w:rFonts w:hint="eastAsia" w:ascii="Times New Roman" w:hAnsi="Times New Roman" w:eastAsia="楷体_GB2312" w:cs="Times New Roman"/>
          <w:b/>
          <w:bCs/>
          <w:color w:val="auto"/>
          <w:sz w:val="32"/>
          <w:szCs w:val="32"/>
          <w:lang w:val="en-US" w:eastAsia="zh-CN"/>
        </w:rPr>
        <w:t>项目管理方面</w:t>
      </w:r>
    </w:p>
    <w:p>
      <w:pPr>
        <w:pStyle w:val="4"/>
        <w:keepNext w:val="0"/>
        <w:keepLines w:val="0"/>
        <w:pageBreakBefore w:val="0"/>
        <w:widowControl/>
        <w:kinsoku/>
        <w:wordWrap/>
        <w:overflowPunct/>
        <w:topLinePunct w:val="0"/>
        <w:autoSpaceDE/>
        <w:autoSpaceDN/>
        <w:bidi w:val="0"/>
        <w:spacing w:after="0" w:line="240" w:lineRule="auto"/>
        <w:ind w:firstLine="643" w:firstLineChars="200"/>
        <w:jc w:val="both"/>
        <w:outlineLvl w:val="1"/>
        <w:rPr>
          <w:rFonts w:hint="default"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1.既有住宅安装电梯市级补助项目市级资金与区县配套资金未及时进行结算</w:t>
      </w:r>
    </w:p>
    <w:p>
      <w:pPr>
        <w:spacing w:line="240" w:lineRule="auto"/>
        <w:ind w:firstLine="640" w:firstLineChars="200"/>
        <w:jc w:val="left"/>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长沙市既有多层住宅增设电梯办理细则》（长住建发〔2019〕81号）和《关于明确既有多层住宅增设电梯财政补助等有关事项的函》（长财建〔2021〕44号）等文件要求，经相关单位验收合格后的既有多层住宅增设电梯项目，每部电梯给予10万元的补助，2019年8月1日—2020年7月31日，每部电梯市级补贴50%（长沙市既有多层住宅增设电梯管理规定实施之日（2018年2月1日）至2019年7月31日安装的，市级也按此标准补贴）；2020年8月1日—2021年7月31日，每部电梯市级补贴40%；2021年8月1日—2022年7月31日，每部电梯市级补贴30%；区级财政按阶段对应补齐差额。因区县在资金使用时统筹使用，未严格按比例进行配套，优先使用市级资金，项目又为延续性项目，每个项目年度未进行结算，导致两级资金实际使用金额结算存在难度，截至评价工作日两级资金仍未完成结算。</w:t>
      </w:r>
    </w:p>
    <w:p>
      <w:pPr>
        <w:spacing w:line="240" w:lineRule="auto"/>
        <w:ind w:firstLine="643" w:firstLineChars="200"/>
        <w:jc w:val="left"/>
        <w:rPr>
          <w:rFonts w:hint="eastAsia" w:ascii="黑体" w:hAnsi="黑体" w:eastAsia="黑体" w:cs="黑体"/>
          <w:color w:val="auto"/>
          <w:sz w:val="32"/>
          <w:szCs w:val="32"/>
          <w:highlight w:val="yellow"/>
        </w:rPr>
      </w:pPr>
      <w:r>
        <w:rPr>
          <w:rFonts w:hint="eastAsia" w:ascii="Times New Roman" w:hAnsi="Times New Roman" w:eastAsia="仿宋_GB2312" w:cs="仿宋_GB2312"/>
          <w:b/>
          <w:bCs/>
          <w:color w:val="auto"/>
          <w:kern w:val="2"/>
          <w:sz w:val="32"/>
          <w:szCs w:val="32"/>
          <w:highlight w:val="none"/>
          <w:lang w:val="en-US" w:eastAsia="zh-CN" w:bidi="ar-SA"/>
        </w:rPr>
        <w:t>2.全年污水处理量不足</w:t>
      </w:r>
    </w:p>
    <w:p>
      <w:pPr>
        <w:spacing w:line="240" w:lineRule="auto"/>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敢胜垸及苏托垸污水处理厂的实际处理污水量均未达到设计规模。根据PPP项目特许经营协议，敢胜垸特许经营期第三年及以后按照9万吨/日计量，2022年为特许经营期第四年，全年污水处理量为1361万吨，污水处理量完成率为41.43%；苏托垸运营期第1年基本水量为3万吨/日，第2年为4万吨/日，苏托垸于2021年6月正式投入运营，2022年全年污水处理量为1161.92万吨，污水处理量完成率79.58%。敢胜垸污水处理量完成率偏低的主要原因一是服务人口未达到规划要求，二是管网不完善；苏托垸污水处理量完成率偏低的主要原因管网纳污范围内污水量较小。</w:t>
      </w:r>
    </w:p>
    <w:p>
      <w:pPr>
        <w:spacing w:line="240" w:lineRule="auto"/>
        <w:ind w:firstLine="643" w:firstLineChars="200"/>
        <w:jc w:val="left"/>
        <w:rPr>
          <w:rFonts w:hint="default"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w:t>
      </w:r>
      <w:r>
        <w:rPr>
          <w:rFonts w:hint="eastAsia" w:ascii="Times New Roman" w:hAnsi="Times New Roman" w:eastAsia="仿宋_GB2312" w:cs="Times New Roman"/>
          <w:b/>
          <w:bCs/>
          <w:color w:val="auto"/>
          <w:kern w:val="2"/>
          <w:sz w:val="32"/>
          <w:szCs w:val="32"/>
          <w:lang w:val="en-US" w:eastAsia="zh-CN" w:bidi="ar-SA"/>
        </w:rPr>
        <w:t>污水处理厂进水浓度偏低</w:t>
      </w:r>
    </w:p>
    <w:p>
      <w:pPr>
        <w:spacing w:line="240" w:lineRule="auto"/>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根据湖南省生活污水处理厂运行管理评价标准，污水处理厂年平均进水BOD5浓度应达到100mg/L。2022年度敢胜垸</w:t>
      </w:r>
      <w:r>
        <w:rPr>
          <w:rFonts w:hint="eastAsia" w:ascii="Times New Roman" w:hAnsi="Times New Roman" w:eastAsia="仿宋_GB2312" w:cs="Times New Roman"/>
          <w:color w:val="auto"/>
          <w:kern w:val="2"/>
          <w:sz w:val="32"/>
          <w:szCs w:val="32"/>
          <w:highlight w:val="none"/>
          <w:lang w:val="en-US" w:eastAsia="zh-CN" w:bidi="ar-SA"/>
        </w:rPr>
        <w:t>污水处理厂年平均进水BOD5浓度21.17mg/L、苏托垸污水处理厂年平均进水BOD5浓度70.48mg/L、金霞污水处理厂年平均进水BOD5浓度55.86mg/L、湘湖污水处理厂年平均进水BOD5浓度65.50mg/L、开福污水处理厂年平均进水BOD5浓度78.23mg/L、岳麓污水处理厂年平均进水BOD5浓度75.93mg/L、坪塘污水处理厂年平均进水BOD5浓度95.78mg/L、新开铺污水处理厂年平均进水BOD5浓度73.95mg/L、暮云污水处理厂年平均进水BOD5浓度45.68 mg/L、新港污水处理厂年平均进水BOD5浓度76.78mg/L、雨花污水处理厂年平均进水BOD5浓度62.90mg/L、梅溪湖污水处理厂75.45mg/L</w:t>
      </w:r>
      <w:r>
        <w:rPr>
          <w:rFonts w:hint="eastAsia" w:ascii="Times New Roman" w:hAnsi="Times New Roman" w:eastAsia="仿宋_GB2312" w:cs="仿宋_GB2312"/>
          <w:color w:val="auto"/>
          <w:kern w:val="2"/>
          <w:sz w:val="32"/>
          <w:szCs w:val="32"/>
          <w:highlight w:val="none"/>
          <w:lang w:val="en-US" w:eastAsia="zh-CN" w:bidi="ar-SA"/>
        </w:rPr>
        <w:t>。BOD5浓度不高主要受雨污分流改造、污水管网建设运营情况的影响。</w:t>
      </w:r>
    </w:p>
    <w:p>
      <w:pPr>
        <w:spacing w:line="240" w:lineRule="auto"/>
        <w:ind w:firstLine="643" w:firstLineChars="200"/>
        <w:jc w:val="left"/>
        <w:rPr>
          <w:rFonts w:hint="default"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4.部分项目未按计划完成验收</w:t>
      </w:r>
    </w:p>
    <w:p>
      <w:pPr>
        <w:spacing w:line="240" w:lineRule="auto"/>
        <w:ind w:firstLine="640" w:firstLineChars="200"/>
        <w:jc w:val="both"/>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长沙市中心城区泵站提标改造项目年度目标为2022年上半年第一、二、三、四标段完成工程竣工验收。根据《阜埠河、赵州港合建泵站提标改造设计变更技术审查意见》（长住建市政技审〔2022〕11号），市排水事务中心对阜埠河、赵州港合建泵站的路面及绿化进行设计变更，并纳入市中心城区泵站提标改造第三标段范围，从而导致第三标段竣工验收延后，未按计划完成验收。</w:t>
      </w:r>
    </w:p>
    <w:p>
      <w:pPr>
        <w:spacing w:line="240" w:lineRule="auto"/>
        <w:ind w:firstLine="643" w:firstLineChars="200"/>
        <w:jc w:val="left"/>
        <w:rPr>
          <w:rFonts w:hint="default"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5.项目管理制度更新进度滞后</w:t>
      </w:r>
    </w:p>
    <w:p>
      <w:pPr>
        <w:spacing w:line="240" w:lineRule="auto"/>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市财政局、市住建局于2017年3月16日联合印发了《长沙市建筑节能与绿色建筑专项资金管理办法》，主要是用于推动我市建筑节能与绿色建筑发展，重点支持建筑节能与绿色建筑示范项目建设、既有建筑节能改造、公共建筑节能监管体系建设、绿色建筑技术研发与推广及科技创新、建筑节能和绿色建筑宣传培训等工作，专项资金由市住建局会同市财政局共同管理，每年项目预算为500万元，有效期5年，于2022年3月到期。2022年3月23日，本局向市政府报送了《关于修订&lt;长沙市建筑节能与绿色建筑专项资金管理办法&gt;的请示》（长住建字〔2022〕18号），拟对原《长沙市建筑节能与绿色建筑专项资金管理办法》进行修订，在初步与市财政局进行协商后，草拟了《长沙市建设领域碳达峰碳中和专项资金管理办法》（送审稿），恳请市政府同意本局与市财政局联合修订并印发《长沙市建设领域碳达峰碳中和专项资金管理办法》（送审稿）。因我市建筑领域“双碳”工作方案仍在制定中，市领导要求在“双碳”方案发布后，重新调整资金管理办法内容，导致新制度仍未出台。</w:t>
      </w:r>
    </w:p>
    <w:p>
      <w:pPr>
        <w:spacing w:line="240" w:lineRule="auto"/>
        <w:ind w:firstLine="643" w:firstLineChars="200"/>
        <w:jc w:val="left"/>
        <w:rPr>
          <w:rFonts w:hint="default"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6.部分项目绩效目标未达预期</w:t>
      </w:r>
    </w:p>
    <w:p>
      <w:pPr>
        <w:spacing w:line="240" w:lineRule="auto"/>
        <w:ind w:firstLine="640" w:firstLineChars="200"/>
        <w:jc w:val="both"/>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（1）部分档案整理质量未达标</w:t>
      </w:r>
    </w:p>
    <w:p>
      <w:pPr>
        <w:pStyle w:val="4"/>
        <w:keepNext w:val="0"/>
        <w:keepLines w:val="0"/>
        <w:pageBreakBefore w:val="0"/>
        <w:widowControl w:val="0"/>
        <w:kinsoku/>
        <w:wordWrap/>
        <w:overflowPunct/>
        <w:topLinePunct w:val="0"/>
        <w:autoSpaceDE/>
        <w:autoSpaceDN/>
        <w:bidi w:val="0"/>
        <w:adjustRightInd/>
        <w:snapToGrid/>
        <w:spacing w:after="0"/>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行政审批案卷档案整理专项经费项目质量目标为整理的档案符合档案案卷管理标准，2022年市司法局案卷评查发现档案整理不规范，扣除10万元待案卷整理机构整改落实后再予以支付。</w:t>
      </w:r>
    </w:p>
    <w:p>
      <w:pPr>
        <w:pStyle w:val="4"/>
        <w:keepNext w:val="0"/>
        <w:keepLines w:val="0"/>
        <w:pageBreakBefore w:val="0"/>
        <w:widowControl w:val="0"/>
        <w:kinsoku/>
        <w:wordWrap/>
        <w:overflowPunct/>
        <w:topLinePunct w:val="0"/>
        <w:autoSpaceDE/>
        <w:autoSpaceDN/>
        <w:bidi w:val="0"/>
        <w:adjustRightInd/>
        <w:snapToGrid/>
        <w:spacing w:after="0" w:line="240" w:lineRule="auto"/>
        <w:ind w:firstLine="640" w:firstLineChars="200"/>
        <w:textAlignment w:val="auto"/>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（2）私房改造化解工作部分未完成</w:t>
      </w:r>
    </w:p>
    <w:p>
      <w:pPr>
        <w:spacing w:line="240" w:lineRule="auto"/>
        <w:ind w:firstLine="640" w:firstLineChars="200"/>
        <w:jc w:val="lef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处理私房改造遗留问题工作经费项目2022年度目标为化解16户突出上访问题，实际完成10户，还存在6户的化解工作未完成。主要原因系私房改造遗留问题涉及对象的住房利益，改造遗留问题工作政策性强、情况复杂、内容敏感、上访矛盾尖锐突出，上访人对政策不理解，化解工作难度较大。</w:t>
      </w:r>
    </w:p>
    <w:p>
      <w:pPr>
        <w:pStyle w:val="4"/>
        <w:keepNext w:val="0"/>
        <w:keepLines w:val="0"/>
        <w:pageBreakBefore w:val="0"/>
        <w:widowControl w:val="0"/>
        <w:kinsoku/>
        <w:wordWrap/>
        <w:overflowPunct/>
        <w:topLinePunct w:val="0"/>
        <w:autoSpaceDE/>
        <w:autoSpaceDN/>
        <w:bidi w:val="0"/>
        <w:adjustRightInd/>
        <w:snapToGrid/>
        <w:spacing w:after="0" w:line="240" w:lineRule="auto"/>
        <w:ind w:firstLine="640" w:firstLineChars="200"/>
        <w:textAlignment w:val="auto"/>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（3）建筑业产值年增长率未达预期目标</w:t>
      </w:r>
    </w:p>
    <w:p>
      <w:pPr>
        <w:spacing w:line="240" w:lineRule="auto"/>
        <w:ind w:firstLine="640" w:firstLineChars="200"/>
        <w:jc w:val="both"/>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建筑行业引导专项资金项目2022年度经济效益目标为建筑业产值年增长率不低于10%、建筑业税收年增长率不低于10%。2022年全市建筑业产值为7,362.56亿元，同比增长7.90%；2022年全市建筑业完成税收102.25亿元，同比下降8.33%；未达预期目标。造成上述问题的主要原因系2022年四季度全国疫情蔓延，农民工无法现场施工，大部分项目提前停工，非人力可控因素，对建筑业产值和税收影响巨大。</w:t>
      </w:r>
    </w:p>
    <w:p>
      <w:pPr>
        <w:pStyle w:val="4"/>
        <w:keepNext w:val="0"/>
        <w:keepLines w:val="0"/>
        <w:pageBreakBefore w:val="0"/>
        <w:widowControl w:val="0"/>
        <w:kinsoku/>
        <w:wordWrap/>
        <w:overflowPunct/>
        <w:topLinePunct w:val="0"/>
        <w:autoSpaceDE/>
        <w:autoSpaceDN/>
        <w:bidi w:val="0"/>
        <w:adjustRightInd/>
        <w:snapToGrid/>
        <w:spacing w:after="0" w:line="240" w:lineRule="auto"/>
        <w:ind w:firstLine="640" w:firstLineChars="200"/>
        <w:textAlignment w:val="auto"/>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Times New Roman"/>
          <w:color w:val="auto"/>
          <w:sz w:val="32"/>
          <w:szCs w:val="32"/>
          <w:lang w:val="en-US" w:eastAsia="zh-CN"/>
        </w:rPr>
        <w:t>人才引进任务未</w:t>
      </w:r>
      <w:r>
        <w:rPr>
          <w:rFonts w:hint="eastAsia" w:ascii="Times New Roman" w:hAnsi="Times New Roman" w:eastAsia="仿宋_GB2312" w:cs="Times New Roman"/>
          <w:color w:val="auto"/>
          <w:sz w:val="32"/>
          <w:szCs w:val="32"/>
          <w:lang w:val="en-US" w:eastAsia="zh-CN"/>
        </w:rPr>
        <w:t>达预期</w:t>
      </w:r>
    </w:p>
    <w:p>
      <w:pPr>
        <w:spacing w:line="240" w:lineRule="auto"/>
        <w:ind w:firstLine="640" w:firstLineChars="200"/>
        <w:jc w:val="left"/>
        <w:rPr>
          <w:rFonts w:hint="eastAsia" w:ascii="Times New Roman" w:hAnsi="Times New Roman" w:eastAsia="仿宋_GB2312" w:cs="仿宋_GB2312"/>
          <w:b/>
          <w:bCs/>
          <w:color w:val="auto"/>
          <w:kern w:val="2"/>
          <w:sz w:val="32"/>
          <w:szCs w:val="32"/>
          <w:highlight w:val="none"/>
          <w:lang w:val="en-US" w:eastAsia="zh-CN" w:bidi="ar-SA"/>
        </w:rPr>
      </w:pPr>
      <w:r>
        <w:rPr>
          <w:rFonts w:hint="default" w:ascii="Times New Roman" w:hAnsi="Times New Roman" w:eastAsia="仿宋_GB2312" w:cs="Times New Roman"/>
          <w:color w:val="auto"/>
          <w:sz w:val="32"/>
          <w:szCs w:val="32"/>
          <w:lang w:val="en-US" w:eastAsia="zh-CN"/>
        </w:rPr>
        <w:t>市房屋交易中心202</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年度高技能人才引进任务未完成，</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长沙工匠</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铸造工程购房补贴202</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年度绩效目标为引进培育高技能人才60</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100名，202</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年实际</w:t>
      </w:r>
      <w:r>
        <w:rPr>
          <w:rFonts w:hint="eastAsia" w:ascii="Times New Roman" w:hAnsi="Times New Roman" w:eastAsia="仿宋_GB2312" w:cs="Times New Roman"/>
          <w:color w:val="auto"/>
          <w:sz w:val="32"/>
          <w:szCs w:val="32"/>
          <w:lang w:val="en-US" w:eastAsia="zh-CN"/>
        </w:rPr>
        <w:t>完成29</w:t>
      </w:r>
      <w:r>
        <w:rPr>
          <w:rFonts w:hint="default" w:ascii="Times New Roman" w:hAnsi="Times New Roman" w:eastAsia="仿宋_GB2312" w:cs="Times New Roman"/>
          <w:color w:val="auto"/>
          <w:sz w:val="32"/>
          <w:szCs w:val="32"/>
          <w:lang w:val="en-US" w:eastAsia="zh-CN"/>
        </w:rPr>
        <w:t>名，</w:t>
      </w:r>
      <w:r>
        <w:rPr>
          <w:rFonts w:hint="eastAsia" w:ascii="Times New Roman" w:hAnsi="Times New Roman" w:eastAsia="仿宋_GB2312" w:cs="Times New Roman"/>
          <w:color w:val="auto"/>
          <w:sz w:val="32"/>
          <w:szCs w:val="32"/>
          <w:lang w:val="en-US" w:eastAsia="zh-CN"/>
        </w:rPr>
        <w:t>未达预期目标</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仿宋_GB2312"/>
          <w:color w:val="auto"/>
          <w:kern w:val="2"/>
          <w:sz w:val="32"/>
          <w:szCs w:val="32"/>
          <w:highlight w:val="none"/>
          <w:lang w:val="en-US" w:eastAsia="zh-CN" w:bidi="ar-SA"/>
        </w:rPr>
        <w:t>造成上述问题的</w:t>
      </w:r>
      <w:r>
        <w:rPr>
          <w:rFonts w:hint="default" w:ascii="Times New Roman" w:hAnsi="Times New Roman" w:eastAsia="仿宋_GB2312" w:cs="Times New Roman"/>
          <w:color w:val="auto"/>
          <w:sz w:val="32"/>
          <w:szCs w:val="32"/>
          <w:lang w:val="en-US" w:eastAsia="zh-CN"/>
        </w:rPr>
        <w:t>主要原因系人才引进受诸多因素影响，存在不确定性，202</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年国际形势复杂严峻、国内外疫情散发，人才引进工作难度提升。</w:t>
      </w:r>
    </w:p>
    <w:p>
      <w:pPr>
        <w:spacing w:line="240" w:lineRule="auto"/>
        <w:ind w:firstLine="643" w:firstLineChars="200"/>
        <w:jc w:val="left"/>
        <w:rPr>
          <w:rFonts w:hint="default"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（四）服务对象满意度待提高</w:t>
      </w:r>
    </w:p>
    <w:p>
      <w:pPr>
        <w:spacing w:line="240" w:lineRule="auto"/>
        <w:ind w:firstLine="640" w:firstLineChars="200"/>
        <w:jc w:val="both"/>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lang w:val="en-US" w:eastAsia="zh-CN" w:bidi="ar-SA"/>
        </w:rPr>
        <w:t>通过向</w:t>
      </w:r>
      <w:r>
        <w:rPr>
          <w:rFonts w:hint="eastAsia" w:ascii="Times New Roman" w:hAnsi="Times New Roman" w:eastAsia="仿宋_GB2312" w:cs="仿宋_GB2312"/>
          <w:color w:val="auto"/>
          <w:kern w:val="2"/>
          <w:sz w:val="32"/>
          <w:szCs w:val="32"/>
          <w:highlight w:val="none"/>
          <w:lang w:val="en-US" w:eastAsia="zh-CN" w:bidi="ar-SA"/>
        </w:rPr>
        <w:t>第二批信创产品专项经费项目的</w:t>
      </w:r>
      <w:r>
        <w:rPr>
          <w:rFonts w:hint="eastAsia" w:ascii="Times New Roman" w:hAnsi="Times New Roman" w:eastAsia="仿宋_GB2312" w:cs="Times New Roman"/>
          <w:color w:val="auto"/>
          <w:kern w:val="2"/>
          <w:sz w:val="32"/>
          <w:szCs w:val="32"/>
          <w:lang w:val="en-US" w:eastAsia="zh-CN" w:bidi="ar-SA"/>
        </w:rPr>
        <w:t>受益对象进行项目实施满意度调查，</w:t>
      </w:r>
      <w:r>
        <w:rPr>
          <w:rFonts w:hint="eastAsia" w:ascii="Times New Roman" w:hAnsi="Times New Roman" w:eastAsia="仿宋_GB2312" w:cs="仿宋_GB2312"/>
          <w:color w:val="auto"/>
          <w:kern w:val="2"/>
          <w:sz w:val="32"/>
          <w:szCs w:val="32"/>
          <w:highlight w:val="none"/>
          <w:lang w:val="en-US" w:eastAsia="zh-CN" w:bidi="ar-SA"/>
        </w:rPr>
        <w:t>使用对象满意度为85%。满意度不高的主要原因系第二批信创产品使用对象对产品使用性能还未完全了解，使用习惯还需培养，且产品的适配软件有限。</w:t>
      </w:r>
    </w:p>
    <w:p>
      <w:pPr>
        <w:spacing w:line="240" w:lineRule="auto"/>
        <w:ind w:firstLine="640" w:firstLineChars="200"/>
        <w:jc w:val="left"/>
        <w:rPr>
          <w:rFonts w:ascii="黑体" w:hAnsi="黑体" w:eastAsia="黑体"/>
          <w:color w:val="auto"/>
          <w:sz w:val="32"/>
          <w:szCs w:val="32"/>
          <w:highlight w:val="none"/>
        </w:rPr>
      </w:pPr>
      <w:r>
        <w:rPr>
          <w:rFonts w:hint="eastAsia" w:ascii="黑体" w:hAnsi="黑体" w:eastAsia="黑体" w:cs="黑体"/>
          <w:color w:val="auto"/>
          <w:sz w:val="32"/>
          <w:szCs w:val="32"/>
          <w:highlight w:val="none"/>
        </w:rPr>
        <w:t>十、下一步改进措施</w:t>
      </w:r>
    </w:p>
    <w:p>
      <w:pPr>
        <w:keepNext w:val="0"/>
        <w:keepLines w:val="0"/>
        <w:pageBreakBefore w:val="0"/>
        <w:numPr>
          <w:ilvl w:val="0"/>
          <w:numId w:val="3"/>
        </w:numPr>
        <w:tabs>
          <w:tab w:val="left" w:pos="763"/>
        </w:tabs>
        <w:kinsoku/>
        <w:wordWrap/>
        <w:overflowPunct/>
        <w:topLinePunct w:val="0"/>
        <w:autoSpaceDE/>
        <w:autoSpaceDN/>
        <w:bidi w:val="0"/>
        <w:spacing w:line="240" w:lineRule="auto"/>
        <w:ind w:firstLine="643" w:firstLineChars="200"/>
        <w:outlineLvl w:val="1"/>
        <w:rPr>
          <w:rFonts w:eastAsia="楷体_GB2312"/>
          <w:b/>
          <w:bCs/>
          <w:color w:val="auto"/>
          <w:sz w:val="32"/>
          <w:szCs w:val="32"/>
        </w:rPr>
      </w:pPr>
      <w:r>
        <w:rPr>
          <w:rFonts w:hint="eastAsia" w:eastAsia="楷体_GB2312"/>
          <w:b/>
          <w:bCs/>
          <w:color w:val="auto"/>
          <w:sz w:val="32"/>
          <w:szCs w:val="32"/>
        </w:rPr>
        <w:t>加强预算</w:t>
      </w:r>
      <w:r>
        <w:rPr>
          <w:rFonts w:hint="eastAsia" w:eastAsia="楷体_GB2312"/>
          <w:b/>
          <w:bCs/>
          <w:color w:val="auto"/>
          <w:sz w:val="32"/>
          <w:szCs w:val="32"/>
          <w:lang w:val="en-US" w:eastAsia="zh-CN"/>
        </w:rPr>
        <w:t>绩效</w:t>
      </w:r>
      <w:r>
        <w:rPr>
          <w:rFonts w:hint="eastAsia" w:eastAsia="楷体_GB2312"/>
          <w:b/>
          <w:bCs/>
          <w:color w:val="auto"/>
          <w:sz w:val="32"/>
          <w:szCs w:val="32"/>
        </w:rPr>
        <w:t>管理，提高预算编制的科学性</w:t>
      </w:r>
    </w:p>
    <w:p>
      <w:pPr>
        <w:pStyle w:val="4"/>
        <w:spacing w:after="0" w:line="240" w:lineRule="auto"/>
        <w:ind w:firstLine="641"/>
        <w:jc w:val="both"/>
        <w:rPr>
          <w:rFonts w:hint="eastAsia" w:ascii="黑体" w:hAnsi="黑体" w:eastAsia="黑体" w:cs="黑体"/>
          <w:color w:val="auto"/>
          <w:sz w:val="32"/>
          <w:szCs w:val="32"/>
          <w:highlight w:val="none"/>
        </w:rPr>
      </w:pPr>
      <w:r>
        <w:rPr>
          <w:rFonts w:hint="eastAsia" w:ascii="Times New Roman" w:hAnsi="Times New Roman" w:eastAsia="仿宋_GB2312" w:cs="Times New Roman"/>
          <w:color w:val="auto"/>
          <w:kern w:val="2"/>
          <w:sz w:val="32"/>
          <w:szCs w:val="32"/>
          <w:lang w:val="en-US" w:eastAsia="zh-CN" w:bidi="ar-SA"/>
        </w:rPr>
        <w:t>一是本局将根据上年度项目进度及专项资金支付情况编制预算，同时要求财务处和各业务处室充分参与，确保预算编制科学合理；</w:t>
      </w:r>
      <w:r>
        <w:rPr>
          <w:rFonts w:hint="default" w:ascii="Times New Roman" w:hAnsi="Times New Roman" w:eastAsia="仿宋_GB2312" w:cs="Times New Roman"/>
          <w:color w:val="auto"/>
          <w:sz w:val="32"/>
          <w:szCs w:val="32"/>
        </w:rPr>
        <w:t>加强绩效资金的分配和管理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把控好项目</w:t>
      </w:r>
      <w:r>
        <w:rPr>
          <w:rFonts w:hint="default" w:ascii="Times New Roman" w:hAnsi="Times New Roman" w:eastAsia="仿宋_GB2312" w:cs="Times New Roman"/>
          <w:color w:val="auto"/>
          <w:sz w:val="32"/>
          <w:szCs w:val="32"/>
          <w:lang w:eastAsia="zh-CN"/>
        </w:rPr>
        <w:t>资金支付</w:t>
      </w:r>
      <w:r>
        <w:rPr>
          <w:rFonts w:hint="default" w:ascii="Times New Roman" w:hAnsi="Times New Roman" w:eastAsia="仿宋_GB2312" w:cs="Times New Roman"/>
          <w:color w:val="auto"/>
          <w:sz w:val="32"/>
          <w:szCs w:val="32"/>
        </w:rPr>
        <w:t>进度</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提高财政资金利用率</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充分发挥专项资金的效益</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二是本局将根据《项目支出绩效评价管理办法》要求加强绩效目标申报管理，组织开展绩效自评工作。绩效目标按照“谁申请资金，谁编制目标”的原则，项目实施单位应围绕中心、突出重点，认真梳理年度工作任务，针对目标任务，提出细化、量化、可衡量的指标；项目主管单位应针对各项目实施单位设定的绩效目标，加强监督管理，制定年度管理目标，并在项目实施过程中进行绩效全过程监控管理，对未完成绩效目标或偏离绩效目标较大的项目进行原因分析，并提出改进措施。</w:t>
      </w:r>
    </w:p>
    <w:p>
      <w:pPr>
        <w:keepNext w:val="0"/>
        <w:keepLines w:val="0"/>
        <w:pageBreakBefore w:val="0"/>
        <w:kinsoku/>
        <w:wordWrap/>
        <w:overflowPunct/>
        <w:topLinePunct w:val="0"/>
        <w:autoSpaceDE/>
        <w:autoSpaceDN/>
        <w:bidi w:val="0"/>
        <w:spacing w:line="240" w:lineRule="auto"/>
        <w:ind w:firstLine="643" w:firstLineChars="200"/>
        <w:outlineLvl w:val="1"/>
        <w:rPr>
          <w:rFonts w:hint="default" w:ascii="楷体_GB2312" w:hAnsi="楷体_GB2312" w:eastAsia="楷体_GB2312" w:cs="楷体_GB2312"/>
          <w:b/>
          <w:bCs/>
          <w:color w:val="auto"/>
          <w:sz w:val="32"/>
          <w:szCs w:val="32"/>
          <w:lang w:val="en-US" w:eastAsia="zh-CN"/>
        </w:rPr>
      </w:pPr>
      <w:bookmarkStart w:id="0" w:name="_Toc32508"/>
      <w:bookmarkStart w:id="1" w:name="_Toc6416"/>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二</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提高资金使用效率，切实发挥财政资金使用效益</w:t>
      </w:r>
    </w:p>
    <w:p>
      <w:pPr>
        <w:keepNext w:val="0"/>
        <w:keepLines w:val="0"/>
        <w:pageBreakBefore w:val="0"/>
        <w:kinsoku/>
        <w:wordWrap/>
        <w:overflowPunct/>
        <w:topLinePunct w:val="0"/>
        <w:autoSpaceDE/>
        <w:autoSpaceDN/>
        <w:bidi w:val="0"/>
        <w:spacing w:line="240" w:lineRule="auto"/>
        <w:ind w:firstLine="640" w:firstLineChars="200"/>
        <w:outlineLvl w:val="1"/>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本局将加快推进</w:t>
      </w:r>
      <w:r>
        <w:rPr>
          <w:rFonts w:hint="eastAsia" w:ascii="Times New Roman" w:hAnsi="Times New Roman" w:eastAsia="仿宋_GB2312" w:cs="仿宋_GB2312"/>
          <w:color w:val="auto"/>
          <w:kern w:val="2"/>
          <w:sz w:val="32"/>
          <w:szCs w:val="32"/>
          <w:highlight w:val="none"/>
          <w:lang w:val="en-US" w:eastAsia="zh-CN" w:bidi="ar-SA"/>
        </w:rPr>
        <w:t>既有小区品质提升项目奖补资金申报、审核工作，加强项目进度的跟踪，</w:t>
      </w:r>
      <w:r>
        <w:rPr>
          <w:rFonts w:hint="eastAsia" w:ascii="Times New Roman" w:hAnsi="Times New Roman" w:eastAsia="仿宋_GB2312" w:cs="Times New Roman"/>
          <w:color w:val="auto"/>
          <w:kern w:val="2"/>
          <w:sz w:val="32"/>
          <w:szCs w:val="32"/>
          <w:lang w:val="en-US" w:eastAsia="zh-CN" w:bidi="ar-SA"/>
        </w:rPr>
        <w:t>优化资金拨付流程，加快资金拨付进度，避免资金在各级财政账户沉淀，切实发挥财政资金的使用效益。</w:t>
      </w:r>
    </w:p>
    <w:p>
      <w:pPr>
        <w:keepNext w:val="0"/>
        <w:keepLines w:val="0"/>
        <w:pageBreakBefore w:val="0"/>
        <w:kinsoku/>
        <w:wordWrap/>
        <w:overflowPunct/>
        <w:topLinePunct w:val="0"/>
        <w:autoSpaceDE/>
        <w:autoSpaceDN/>
        <w:bidi w:val="0"/>
        <w:spacing w:line="240" w:lineRule="auto"/>
        <w:ind w:firstLine="643" w:firstLineChars="200"/>
        <w:outlineLvl w:val="1"/>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三</w:t>
      </w:r>
      <w:r>
        <w:rPr>
          <w:rFonts w:hint="eastAsia" w:ascii="楷体_GB2312" w:hAnsi="楷体_GB2312" w:eastAsia="楷体_GB2312" w:cs="楷体_GB2312"/>
          <w:b/>
          <w:bCs/>
          <w:color w:val="auto"/>
          <w:sz w:val="32"/>
          <w:szCs w:val="32"/>
          <w:lang w:eastAsia="zh-CN"/>
        </w:rPr>
        <w:t>）</w:t>
      </w:r>
      <w:r>
        <w:rPr>
          <w:rFonts w:hint="eastAsia" w:eastAsia="楷体_GB2312"/>
          <w:b/>
          <w:bCs/>
          <w:color w:val="auto"/>
          <w:sz w:val="32"/>
          <w:szCs w:val="32"/>
        </w:rPr>
        <w:t>强化日常监督，规范项目管理</w:t>
      </w:r>
    </w:p>
    <w:p>
      <w:pPr>
        <w:spacing w:line="240" w:lineRule="auto"/>
        <w:ind w:firstLineChars="200"/>
        <w:jc w:val="left"/>
        <w:rPr>
          <w:rFonts w:hint="default" w:ascii="Times New Roman" w:hAnsi="Times New Roman" w:eastAsia="仿宋_GB2312" w:cs="仿宋_GB2312"/>
          <w:b/>
          <w:bCs/>
          <w:color w:val="auto"/>
          <w:sz w:val="32"/>
          <w:szCs w:val="32"/>
          <w:highlight w:val="none"/>
          <w:lang w:val="en-US" w:eastAsia="zh-CN"/>
        </w:rPr>
      </w:pPr>
      <w:r>
        <w:rPr>
          <w:rFonts w:hint="eastAsia" w:ascii="Times New Roman" w:hAnsi="Times New Roman" w:eastAsia="仿宋_GB2312" w:cs="仿宋_GB2312"/>
          <w:b/>
          <w:bCs/>
          <w:color w:val="auto"/>
          <w:sz w:val="32"/>
          <w:szCs w:val="32"/>
          <w:highlight w:val="none"/>
          <w:lang w:val="en-US" w:eastAsia="zh-CN"/>
        </w:rPr>
        <w:t>1.加快市级财政与区县财政项目资金结算进度</w:t>
      </w:r>
    </w:p>
    <w:p>
      <w:pPr>
        <w:spacing w:line="240" w:lineRule="auto"/>
        <w:ind w:firstLine="640" w:firstLineChars="200"/>
        <w:outlineLvl w:val="1"/>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本局将按照</w:t>
      </w:r>
      <w:r>
        <w:rPr>
          <w:rFonts w:hint="eastAsia" w:ascii="Times New Roman" w:hAnsi="Times New Roman" w:eastAsia="仿宋_GB2312" w:cs="Times New Roman"/>
          <w:color w:val="auto"/>
          <w:kern w:val="2"/>
          <w:sz w:val="32"/>
          <w:szCs w:val="32"/>
          <w:lang w:val="en-US" w:eastAsia="zh-CN" w:bidi="ar-SA"/>
        </w:rPr>
        <w:t>《长沙市既有多层住宅增设电梯办理细则》等文件要求，按照市级与区县规定的承担比例进行</w:t>
      </w:r>
      <w:r>
        <w:rPr>
          <w:rFonts w:hint="eastAsia" w:ascii="Times New Roman" w:hAnsi="Times New Roman" w:eastAsia="仿宋_GB2312" w:cs="仿宋_GB2312"/>
          <w:color w:val="auto"/>
          <w:kern w:val="2"/>
          <w:sz w:val="32"/>
          <w:szCs w:val="32"/>
          <w:highlight w:val="none"/>
          <w:lang w:val="en-US" w:eastAsia="zh-CN" w:bidi="ar-SA"/>
        </w:rPr>
        <w:t>既有多层住宅增设电梯财政补助</w:t>
      </w:r>
      <w:r>
        <w:rPr>
          <w:rFonts w:hint="eastAsia" w:ascii="Times New Roman" w:hAnsi="Times New Roman" w:eastAsia="仿宋_GB2312" w:cs="Times New Roman"/>
          <w:color w:val="auto"/>
          <w:kern w:val="2"/>
          <w:sz w:val="32"/>
          <w:szCs w:val="32"/>
          <w:lang w:val="en-US" w:eastAsia="zh-CN" w:bidi="ar-SA"/>
        </w:rPr>
        <w:t>资金核算，加快与各区县的资金核对进度，及时完成结算工作。</w:t>
      </w:r>
    </w:p>
    <w:p>
      <w:pPr>
        <w:spacing w:line="240" w:lineRule="auto"/>
        <w:ind w:firstLineChars="200"/>
        <w:jc w:val="left"/>
        <w:rPr>
          <w:rFonts w:hint="default" w:ascii="Times New Roman" w:hAnsi="Times New Roman" w:eastAsia="仿宋_GB2312" w:cs="仿宋_GB2312"/>
          <w:b/>
          <w:bCs/>
          <w:color w:val="auto"/>
          <w:sz w:val="32"/>
          <w:szCs w:val="32"/>
          <w:highlight w:val="none"/>
          <w:lang w:val="en-US"/>
        </w:rPr>
      </w:pPr>
      <w:r>
        <w:rPr>
          <w:rFonts w:hint="eastAsia" w:ascii="Times New Roman" w:hAnsi="Times New Roman" w:eastAsia="仿宋_GB2312" w:cs="仿宋_GB2312"/>
          <w:b/>
          <w:bCs/>
          <w:color w:val="auto"/>
          <w:sz w:val="32"/>
          <w:szCs w:val="32"/>
          <w:highlight w:val="none"/>
        </w:rPr>
        <w:t>2</w:t>
      </w: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rPr>
        <w:t>完善管网建设，系统提升城镇污水收集效能</w:t>
      </w:r>
      <w:r>
        <w:rPr>
          <w:rFonts w:hint="eastAsia" w:ascii="Times New Roman" w:hAnsi="Times New Roman" w:eastAsia="仿宋_GB2312" w:cs="仿宋_GB2312"/>
          <w:b/>
          <w:bCs/>
          <w:color w:val="auto"/>
          <w:sz w:val="32"/>
          <w:szCs w:val="32"/>
          <w:highlight w:val="none"/>
          <w:lang w:val="en-US" w:eastAsia="zh-CN"/>
        </w:rPr>
        <w:t>及运行效率</w:t>
      </w:r>
    </w:p>
    <w:p>
      <w:pPr>
        <w:spacing w:line="240" w:lineRule="auto"/>
        <w:ind w:firstLineChars="200"/>
        <w:jc w:val="left"/>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本局</w:t>
      </w:r>
      <w:r>
        <w:rPr>
          <w:rFonts w:hint="eastAsia" w:ascii="Times New Roman" w:hAnsi="Times New Roman" w:eastAsia="仿宋_GB2312" w:cs="Times New Roman"/>
          <w:b w:val="0"/>
          <w:bCs w:val="0"/>
          <w:color w:val="auto"/>
          <w:sz w:val="32"/>
          <w:szCs w:val="32"/>
          <w:lang w:val="en-US" w:eastAsia="zh-CN"/>
        </w:rPr>
        <w:t>及项目单位</w:t>
      </w:r>
      <w:r>
        <w:rPr>
          <w:rFonts w:hint="eastAsia" w:ascii="Times New Roman" w:hAnsi="Times New Roman" w:eastAsia="仿宋_GB2312" w:cs="Times New Roman"/>
          <w:color w:val="auto"/>
          <w:sz w:val="32"/>
          <w:szCs w:val="32"/>
          <w:lang w:val="en-US" w:eastAsia="zh-CN"/>
        </w:rPr>
        <w:t>将</w:t>
      </w:r>
      <w:r>
        <w:rPr>
          <w:rFonts w:hint="eastAsia" w:ascii="Times New Roman" w:hAnsi="Times New Roman" w:eastAsia="仿宋_GB2312" w:cs="Times New Roman"/>
          <w:color w:val="auto"/>
          <w:sz w:val="32"/>
          <w:szCs w:val="32"/>
        </w:rPr>
        <w:t>加快雨污分流改造步伐，建立完善的污水处理系统及配套管网，扩大污水收集覆盖面，增强污水处理设施运营效益，强化污水处理厂日常监管，对建成的污水处理厂要优先安排资金建设配套管网，提高污水处理厂运行负荷率和城镇污水管网覆盖率。同时，加大对雨污分流工程改造、建设的投资，实现雨水和污水分流，保障污水处理厂稳定运行。</w:t>
      </w:r>
    </w:p>
    <w:p>
      <w:pPr>
        <w:spacing w:line="240" w:lineRule="auto"/>
        <w:ind w:firstLineChars="200"/>
        <w:jc w:val="left"/>
        <w:rPr>
          <w:rFonts w:hint="default" w:ascii="Times New Roman" w:hAnsi="Times New Roman" w:eastAsia="仿宋_GB2312" w:cs="仿宋_GB2312"/>
          <w:b/>
          <w:bCs/>
          <w:color w:val="auto"/>
          <w:sz w:val="32"/>
          <w:szCs w:val="32"/>
          <w:highlight w:val="none"/>
          <w:lang w:val="en-US" w:eastAsia="zh-CN"/>
        </w:rPr>
      </w:pPr>
      <w:r>
        <w:rPr>
          <w:rFonts w:hint="eastAsia" w:ascii="Times New Roman" w:hAnsi="Times New Roman" w:eastAsia="仿宋_GB2312" w:cs="仿宋_GB2312"/>
          <w:b/>
          <w:bCs/>
          <w:color w:val="auto"/>
          <w:sz w:val="32"/>
          <w:szCs w:val="32"/>
          <w:highlight w:val="none"/>
          <w:lang w:val="en-US" w:eastAsia="zh-CN"/>
        </w:rPr>
        <w:t>3.加强进水监管，提升污水处理厂</w:t>
      </w:r>
      <w:r>
        <w:rPr>
          <w:rFonts w:hint="eastAsia" w:ascii="Times New Roman" w:hAnsi="Times New Roman" w:eastAsia="仿宋_GB2312" w:cs="Times New Roman"/>
          <w:b/>
          <w:bCs/>
          <w:color w:val="auto"/>
          <w:kern w:val="2"/>
          <w:sz w:val="32"/>
          <w:szCs w:val="32"/>
          <w:lang w:val="en-US" w:eastAsia="zh-CN" w:bidi="ar-SA"/>
        </w:rPr>
        <w:t>运行效能</w:t>
      </w:r>
    </w:p>
    <w:p>
      <w:pPr>
        <w:spacing w:line="240" w:lineRule="auto"/>
        <w:ind w:firstLineChars="200"/>
        <w:jc w:val="both"/>
        <w:rPr>
          <w:rFonts w:hint="eastAsia" w:ascii="Times New Roman" w:hAnsi="Times New Roman" w:eastAsia="仿宋_GB2312" w:cs="仿宋_GB2312"/>
          <w:b/>
          <w:bCs/>
          <w:color w:val="auto"/>
          <w:sz w:val="32"/>
          <w:szCs w:val="32"/>
          <w:highlight w:val="none"/>
          <w:lang w:val="en-US" w:eastAsia="zh-CN"/>
        </w:rPr>
      </w:pPr>
      <w:r>
        <w:rPr>
          <w:rFonts w:hint="eastAsia" w:ascii="Times New Roman" w:hAnsi="Times New Roman" w:eastAsia="仿宋_GB2312" w:cs="Times New Roman"/>
          <w:b w:val="0"/>
          <w:bCs w:val="0"/>
          <w:color w:val="auto"/>
          <w:sz w:val="32"/>
          <w:szCs w:val="32"/>
          <w:lang w:val="en-US" w:eastAsia="zh-CN"/>
        </w:rPr>
        <w:t>本局及项目单位将建立污水管网排查和周期性检测制度，全面推进生活污水收集处理设施改造和建设，健全管网建设质量管控机制和污水接入服务和管理制度。要求各项目实施单位就进水浓度低的问题开展专项调查，并制定出提高进水浓度的工作方案和“一厂一策”，逐步解决进水浓度问题。</w:t>
      </w:r>
    </w:p>
    <w:p>
      <w:pPr>
        <w:spacing w:line="240" w:lineRule="auto"/>
        <w:ind w:firstLineChars="200"/>
        <w:jc w:val="left"/>
        <w:rPr>
          <w:rFonts w:hint="default" w:ascii="Times New Roman" w:hAnsi="Times New Roman" w:eastAsia="仿宋_GB2312" w:cs="仿宋_GB2312"/>
          <w:b/>
          <w:bCs/>
          <w:color w:val="auto"/>
          <w:sz w:val="32"/>
          <w:szCs w:val="32"/>
          <w:highlight w:val="none"/>
        </w:rPr>
      </w:pPr>
      <w:bookmarkStart w:id="2" w:name="_Toc18046"/>
      <w:bookmarkStart w:id="3" w:name="_Toc6689"/>
      <w:r>
        <w:rPr>
          <w:rFonts w:hint="eastAsia" w:ascii="Times New Roman" w:hAnsi="Times New Roman" w:eastAsia="仿宋_GB2312" w:cs="仿宋_GB2312"/>
          <w:b/>
          <w:bCs/>
          <w:color w:val="auto"/>
          <w:sz w:val="32"/>
          <w:szCs w:val="32"/>
          <w:highlight w:val="none"/>
          <w:lang w:val="en-US" w:eastAsia="zh-CN"/>
        </w:rPr>
        <w:t>4</w:t>
      </w:r>
      <w:r>
        <w:rPr>
          <w:rFonts w:hint="eastAsia" w:ascii="Times New Roman" w:hAnsi="Times New Roman" w:eastAsia="仿宋_GB2312" w:cs="仿宋_GB2312"/>
          <w:b/>
          <w:bCs/>
          <w:color w:val="auto"/>
          <w:sz w:val="32"/>
          <w:szCs w:val="32"/>
          <w:highlight w:val="none"/>
          <w:lang w:eastAsia="zh-CN"/>
        </w:rPr>
        <w:t>.强化</w:t>
      </w:r>
      <w:r>
        <w:rPr>
          <w:rFonts w:hint="eastAsia" w:ascii="Times New Roman" w:hAnsi="Times New Roman" w:eastAsia="仿宋_GB2312" w:cs="仿宋_GB2312"/>
          <w:b/>
          <w:bCs/>
          <w:color w:val="auto"/>
          <w:sz w:val="32"/>
          <w:szCs w:val="32"/>
          <w:highlight w:val="none"/>
        </w:rPr>
        <w:t>项目</w:t>
      </w:r>
      <w:r>
        <w:rPr>
          <w:rFonts w:hint="eastAsia" w:ascii="Times New Roman" w:hAnsi="Times New Roman" w:eastAsia="仿宋_GB2312" w:cs="仿宋_GB2312"/>
          <w:b/>
          <w:bCs/>
          <w:color w:val="auto"/>
          <w:sz w:val="32"/>
          <w:szCs w:val="32"/>
          <w:highlight w:val="none"/>
          <w:lang w:val="en-US" w:eastAsia="zh-CN"/>
        </w:rPr>
        <w:t>前期</w:t>
      </w:r>
      <w:r>
        <w:rPr>
          <w:rFonts w:hint="eastAsia" w:ascii="Times New Roman" w:hAnsi="Times New Roman" w:eastAsia="仿宋_GB2312" w:cs="仿宋_GB2312"/>
          <w:b/>
          <w:bCs/>
          <w:color w:val="auto"/>
          <w:sz w:val="32"/>
          <w:szCs w:val="32"/>
          <w:highlight w:val="none"/>
        </w:rPr>
        <w:t>管理</w:t>
      </w: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rPr>
        <w:t>确保项目</w:t>
      </w:r>
      <w:bookmarkEnd w:id="2"/>
      <w:bookmarkEnd w:id="3"/>
      <w:r>
        <w:rPr>
          <w:rFonts w:hint="eastAsia" w:ascii="Times New Roman" w:hAnsi="Times New Roman" w:eastAsia="仿宋_GB2312" w:cs="仿宋_GB2312"/>
          <w:b/>
          <w:bCs/>
          <w:color w:val="auto"/>
          <w:sz w:val="32"/>
          <w:szCs w:val="32"/>
          <w:highlight w:val="none"/>
          <w:lang w:val="en-US" w:eastAsia="zh-CN"/>
        </w:rPr>
        <w:t>按时完成验收</w:t>
      </w:r>
    </w:p>
    <w:p>
      <w:pPr>
        <w:pStyle w:val="4"/>
        <w:keepNext w:val="0"/>
        <w:keepLines w:val="0"/>
        <w:pageBreakBefore w:val="0"/>
        <w:kinsoku/>
        <w:wordWrap/>
        <w:topLinePunct w:val="0"/>
        <w:bidi w:val="0"/>
        <w:spacing w:line="240" w:lineRule="auto"/>
        <w:ind w:firstLine="640"/>
        <w:jc w:val="both"/>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本局将</w:t>
      </w:r>
      <w:r>
        <w:rPr>
          <w:rFonts w:hint="default" w:ascii="Times New Roman" w:hAnsi="Times New Roman" w:eastAsia="仿宋_GB2312" w:cs="Times New Roman"/>
          <w:color w:val="auto"/>
          <w:sz w:val="32"/>
          <w:szCs w:val="32"/>
          <w:lang w:eastAsia="zh-CN"/>
        </w:rPr>
        <w:t>强化项目</w:t>
      </w:r>
      <w:r>
        <w:rPr>
          <w:rFonts w:hint="eastAsia" w:ascii="Times New Roman" w:hAnsi="Times New Roman" w:eastAsia="仿宋_GB2312" w:cs="Times New Roman"/>
          <w:color w:val="auto"/>
          <w:sz w:val="32"/>
          <w:szCs w:val="32"/>
          <w:lang w:val="en-US" w:eastAsia="zh-CN"/>
        </w:rPr>
        <w:t>前期</w:t>
      </w:r>
      <w:r>
        <w:rPr>
          <w:rFonts w:hint="default" w:ascii="Times New Roman" w:hAnsi="Times New Roman" w:eastAsia="仿宋_GB2312" w:cs="Times New Roman"/>
          <w:color w:val="auto"/>
          <w:sz w:val="32"/>
          <w:szCs w:val="32"/>
          <w:lang w:eastAsia="zh-CN"/>
        </w:rPr>
        <w:t>工作管理</w:t>
      </w:r>
      <w:r>
        <w:rPr>
          <w:rFonts w:hint="eastAsia" w:ascii="Times New Roman" w:hAnsi="Times New Roman" w:cs="Times New Roman"/>
          <w:color w:val="auto"/>
          <w:sz w:val="32"/>
          <w:szCs w:val="32"/>
          <w:lang w:eastAsia="zh-CN"/>
        </w:rPr>
        <w:t>，</w:t>
      </w:r>
      <w:r>
        <w:rPr>
          <w:rFonts w:hint="eastAsia" w:ascii="Times New Roman" w:hAnsi="Times New Roman" w:cs="Times New Roman"/>
          <w:color w:val="auto"/>
          <w:sz w:val="32"/>
          <w:szCs w:val="32"/>
          <w:lang w:val="en-US" w:eastAsia="zh-CN"/>
        </w:rPr>
        <w:t>建设</w:t>
      </w:r>
      <w:r>
        <w:rPr>
          <w:rFonts w:hint="default" w:ascii="Times New Roman" w:hAnsi="Times New Roman" w:eastAsia="仿宋_GB2312" w:cs="Times New Roman"/>
          <w:color w:val="auto"/>
          <w:sz w:val="32"/>
          <w:szCs w:val="32"/>
          <w:lang w:eastAsia="zh-CN"/>
        </w:rPr>
        <w:t>项目</w:t>
      </w:r>
      <w:r>
        <w:rPr>
          <w:rFonts w:hint="eastAsia" w:ascii="Times New Roman" w:hAnsi="Times New Roman" w:eastAsia="仿宋_GB2312" w:cs="Times New Roman"/>
          <w:color w:val="auto"/>
          <w:sz w:val="32"/>
          <w:szCs w:val="32"/>
          <w:lang w:val="en-US" w:eastAsia="zh-CN"/>
        </w:rPr>
        <w:t>实施前</w:t>
      </w:r>
      <w:r>
        <w:rPr>
          <w:rFonts w:hint="default" w:ascii="Times New Roman" w:hAnsi="Times New Roman" w:eastAsia="仿宋_GB2312" w:cs="Times New Roman"/>
          <w:color w:val="auto"/>
          <w:sz w:val="32"/>
          <w:szCs w:val="32"/>
          <w:lang w:eastAsia="zh-CN"/>
        </w:rPr>
        <w:t>开展充分的实地勘查及调研</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lang w:eastAsia="zh-CN"/>
        </w:rPr>
        <w:t>并深入了解项目建设及后期运营管理情况</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lang w:eastAsia="zh-CN"/>
        </w:rPr>
        <w:t>充分考虑项目实施的必要性和可能存在的问题</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lang w:eastAsia="zh-CN"/>
        </w:rPr>
        <w:t>聘请专业机构对项目开展可行性研究</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lang w:eastAsia="zh-CN"/>
        </w:rPr>
        <w:t>在此基础上编制科学</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lang w:eastAsia="zh-CN"/>
        </w:rPr>
        <w:t>合理的可行性研究报告和勘察</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lang w:eastAsia="zh-CN"/>
        </w:rPr>
        <w:t>设计方案</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lang w:eastAsia="zh-CN"/>
        </w:rPr>
        <w:t>尽量减少设计和施工变更</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lang w:eastAsia="zh-CN"/>
        </w:rPr>
        <w:t>以实现加快项目</w:t>
      </w:r>
      <w:r>
        <w:rPr>
          <w:rFonts w:hint="eastAsia" w:ascii="Times New Roman" w:hAnsi="Times New Roman" w:eastAsia="仿宋_GB2312" w:cs="Times New Roman"/>
          <w:color w:val="auto"/>
          <w:sz w:val="32"/>
          <w:szCs w:val="32"/>
          <w:lang w:val="en-US" w:eastAsia="zh-CN"/>
        </w:rPr>
        <w:t>完</w:t>
      </w:r>
      <w:r>
        <w:rPr>
          <w:rFonts w:hint="default" w:ascii="Times New Roman" w:hAnsi="Times New Roman" w:eastAsia="仿宋_GB2312" w:cs="Times New Roman"/>
          <w:color w:val="auto"/>
          <w:sz w:val="32"/>
          <w:szCs w:val="32"/>
          <w:lang w:eastAsia="zh-CN"/>
        </w:rPr>
        <w:t>工进度</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lang w:eastAsia="zh-CN"/>
        </w:rPr>
        <w:t>节约工程成本的目的</w:t>
      </w:r>
      <w:r>
        <w:rPr>
          <w:rFonts w:hint="eastAsia" w:ascii="Times New Roman" w:hAnsi="Times New Roman" w:cs="Times New Roman"/>
          <w:color w:val="auto"/>
          <w:sz w:val="32"/>
          <w:szCs w:val="32"/>
          <w:lang w:eastAsia="zh-CN"/>
        </w:rPr>
        <w:t>。</w:t>
      </w:r>
    </w:p>
    <w:p>
      <w:pPr>
        <w:spacing w:line="240" w:lineRule="auto"/>
        <w:ind w:firstLineChars="200"/>
        <w:jc w:val="left"/>
        <w:rPr>
          <w:rFonts w:hint="default" w:ascii="Times New Roman" w:hAnsi="Times New Roman" w:eastAsia="仿宋_GB2312" w:cs="仿宋_GB2312"/>
          <w:b/>
          <w:bCs/>
          <w:color w:val="auto"/>
          <w:sz w:val="32"/>
          <w:szCs w:val="32"/>
          <w:highlight w:val="none"/>
          <w:lang w:val="en-US" w:eastAsia="zh-CN"/>
        </w:rPr>
      </w:pPr>
      <w:r>
        <w:rPr>
          <w:rFonts w:hint="eastAsia" w:ascii="Times New Roman" w:hAnsi="Times New Roman" w:eastAsia="仿宋_GB2312" w:cs="仿宋_GB2312"/>
          <w:b/>
          <w:bCs/>
          <w:color w:val="auto"/>
          <w:sz w:val="32"/>
          <w:szCs w:val="32"/>
          <w:highlight w:val="none"/>
          <w:lang w:val="en-US" w:eastAsia="zh-CN"/>
        </w:rPr>
        <w:t>5.加快项目制度修订进度，促进项目可持续发展</w:t>
      </w:r>
    </w:p>
    <w:p>
      <w:pPr>
        <w:spacing w:line="240" w:lineRule="auto"/>
        <w:ind w:firstLineChars="200"/>
        <w:jc w:val="left"/>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val="en-US" w:eastAsia="zh-CN"/>
        </w:rPr>
        <w:t>本局将</w:t>
      </w:r>
      <w:r>
        <w:rPr>
          <w:rFonts w:hint="eastAsia" w:ascii="Times New Roman" w:hAnsi="Times New Roman" w:eastAsia="仿宋_GB2312" w:cs="Times New Roman"/>
          <w:b w:val="0"/>
          <w:bCs w:val="0"/>
          <w:color w:val="auto"/>
          <w:sz w:val="32"/>
          <w:szCs w:val="32"/>
        </w:rPr>
        <w:t>根据建筑节能与绿色建筑支持方向，</w:t>
      </w:r>
      <w:r>
        <w:rPr>
          <w:rFonts w:hint="eastAsia" w:ascii="Times New Roman" w:hAnsi="Times New Roman" w:eastAsia="仿宋_GB2312" w:cs="Times New Roman"/>
          <w:b w:val="0"/>
          <w:bCs w:val="0"/>
          <w:color w:val="auto"/>
          <w:sz w:val="32"/>
          <w:szCs w:val="32"/>
          <w:lang w:val="en-US" w:eastAsia="zh-CN"/>
        </w:rPr>
        <w:t>加快</w:t>
      </w:r>
      <w:r>
        <w:rPr>
          <w:rFonts w:hint="eastAsia" w:ascii="Times New Roman" w:hAnsi="Times New Roman" w:eastAsia="仿宋_GB2312" w:cs="Times New Roman"/>
          <w:b w:val="0"/>
          <w:bCs w:val="0"/>
          <w:color w:val="auto"/>
          <w:sz w:val="32"/>
          <w:szCs w:val="32"/>
        </w:rPr>
        <w:t>《长沙市建筑节能与绿色建筑专项资金管理办法》修订</w:t>
      </w:r>
      <w:r>
        <w:rPr>
          <w:rFonts w:hint="eastAsia" w:ascii="Times New Roman" w:hAnsi="Times New Roman" w:eastAsia="仿宋_GB2312" w:cs="Times New Roman"/>
          <w:b w:val="0"/>
          <w:bCs w:val="0"/>
          <w:color w:val="auto"/>
          <w:sz w:val="32"/>
          <w:szCs w:val="32"/>
          <w:lang w:val="en-US" w:eastAsia="zh-CN"/>
        </w:rPr>
        <w:t>进度</w:t>
      </w:r>
      <w:r>
        <w:rPr>
          <w:rFonts w:hint="eastAsia" w:ascii="Times New Roman" w:hAnsi="Times New Roman" w:eastAsia="仿宋_GB2312" w:cs="Times New Roman"/>
          <w:b w:val="0"/>
          <w:bCs w:val="0"/>
          <w:color w:val="auto"/>
          <w:sz w:val="32"/>
          <w:szCs w:val="32"/>
        </w:rPr>
        <w:t>，</w:t>
      </w:r>
      <w:r>
        <w:rPr>
          <w:rFonts w:hint="eastAsia" w:ascii="Times New Roman" w:hAnsi="Times New Roman" w:eastAsia="仿宋_GB2312" w:cs="Times New Roman"/>
          <w:b w:val="0"/>
          <w:bCs w:val="0"/>
          <w:color w:val="auto"/>
          <w:sz w:val="32"/>
          <w:szCs w:val="32"/>
          <w:lang w:val="en-US" w:eastAsia="zh-CN"/>
        </w:rPr>
        <w:t>及时与制度修订相关单位及领导进行沟通</w:t>
      </w:r>
      <w:r>
        <w:rPr>
          <w:rFonts w:hint="eastAsia" w:ascii="Times New Roman" w:hAnsi="Times New Roman" w:eastAsia="仿宋_GB2312" w:cs="Times New Roman"/>
          <w:b w:val="0"/>
          <w:bCs w:val="0"/>
          <w:color w:val="auto"/>
          <w:sz w:val="32"/>
          <w:szCs w:val="32"/>
        </w:rPr>
        <w:t>，确保制度的规范性、严谨性，</w:t>
      </w:r>
      <w:r>
        <w:rPr>
          <w:rFonts w:hint="eastAsia" w:ascii="Times New Roman" w:hAnsi="Times New Roman" w:eastAsia="仿宋_GB2312" w:cs="Times New Roman"/>
          <w:b w:val="0"/>
          <w:bCs w:val="0"/>
          <w:color w:val="auto"/>
          <w:sz w:val="32"/>
          <w:szCs w:val="32"/>
          <w:lang w:val="en-US" w:eastAsia="zh-CN"/>
        </w:rPr>
        <w:t>尽早实现制度印发，</w:t>
      </w:r>
      <w:r>
        <w:rPr>
          <w:rFonts w:hint="eastAsia" w:ascii="Times New Roman" w:hAnsi="Times New Roman" w:eastAsia="仿宋_GB2312" w:cs="Times New Roman"/>
          <w:b w:val="0"/>
          <w:bCs w:val="0"/>
          <w:color w:val="auto"/>
          <w:sz w:val="32"/>
          <w:szCs w:val="32"/>
        </w:rPr>
        <w:t>促进项目可持续发展。</w:t>
      </w:r>
    </w:p>
    <w:p>
      <w:pPr>
        <w:spacing w:line="240" w:lineRule="auto"/>
        <w:ind w:firstLineChars="200"/>
        <w:jc w:val="left"/>
        <w:rPr>
          <w:rFonts w:hint="eastAsia" w:ascii="Times New Roman" w:hAnsi="Times New Roman" w:eastAsia="仿宋_GB2312" w:cs="仿宋_GB2312"/>
          <w:b/>
          <w:bCs/>
          <w:color w:val="auto"/>
          <w:sz w:val="32"/>
          <w:szCs w:val="32"/>
          <w:highlight w:val="none"/>
        </w:rPr>
      </w:pPr>
      <w:r>
        <w:rPr>
          <w:rFonts w:hint="eastAsia" w:ascii="Times New Roman" w:hAnsi="Times New Roman" w:eastAsia="仿宋_GB2312" w:cs="仿宋_GB2312"/>
          <w:b/>
          <w:bCs/>
          <w:color w:val="auto"/>
          <w:sz w:val="32"/>
          <w:szCs w:val="32"/>
          <w:highlight w:val="none"/>
          <w:lang w:val="en-US" w:eastAsia="zh-CN"/>
        </w:rPr>
        <w:t>6</w:t>
      </w: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rPr>
        <w:t>强化目标管理，确保按质按量完成目标任务</w:t>
      </w:r>
    </w:p>
    <w:p>
      <w:pPr>
        <w:keepNext w:val="0"/>
        <w:keepLines w:val="0"/>
        <w:pageBreakBefore w:val="0"/>
        <w:kinsoku/>
        <w:wordWrap/>
        <w:overflowPunct/>
        <w:topLinePunct w:val="0"/>
        <w:autoSpaceDE/>
        <w:autoSpaceDN/>
        <w:bidi w:val="0"/>
        <w:spacing w:line="240" w:lineRule="auto"/>
        <w:ind w:firstLine="640" w:firstLineChars="200"/>
        <w:outlineLvl w:val="1"/>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color w:val="auto"/>
          <w:kern w:val="2"/>
          <w:sz w:val="32"/>
          <w:szCs w:val="32"/>
          <w:lang w:val="en-US" w:eastAsia="zh-CN" w:bidi="ar-SA"/>
        </w:rPr>
        <w:t>一是本局将根据项目实际情况合理申报年初绩效目标，</w:t>
      </w:r>
      <w:r>
        <w:rPr>
          <w:rFonts w:hint="eastAsia" w:ascii="Times New Roman" w:hAnsi="Times New Roman" w:eastAsia="仿宋_GB2312" w:cs="Times New Roman"/>
          <w:color w:val="auto"/>
          <w:sz w:val="32"/>
          <w:szCs w:val="32"/>
        </w:rPr>
        <w:t>并加强对项目进度、项目质量、拨付款手续、项目资料完善的监管</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二是</w:t>
      </w:r>
      <w:r>
        <w:rPr>
          <w:rFonts w:hint="eastAsia" w:ascii="Times New Roman" w:hAnsi="Times New Roman" w:eastAsia="仿宋_GB2312" w:cs="Times New Roman"/>
          <w:color w:val="auto"/>
          <w:kern w:val="2"/>
          <w:sz w:val="32"/>
          <w:szCs w:val="32"/>
          <w:lang w:val="en-US" w:eastAsia="zh-CN" w:bidi="ar-SA"/>
        </w:rPr>
        <w:t>本局项目实施部门将深入分析项目目标完成率不高的原因，制定详细的实施方案，积极协调有关部门及时解决，落实责任主体，</w:t>
      </w:r>
      <w:r>
        <w:rPr>
          <w:rFonts w:hint="eastAsia" w:ascii="Times New Roman" w:hAnsi="Times New Roman" w:eastAsia="仿宋_GB2312" w:cs="Times New Roman"/>
          <w:color w:val="auto"/>
          <w:sz w:val="32"/>
          <w:szCs w:val="32"/>
        </w:rPr>
        <w:t>确保</w:t>
      </w:r>
      <w:r>
        <w:rPr>
          <w:rFonts w:hint="eastAsia" w:ascii="Times New Roman" w:hAnsi="Times New Roman" w:eastAsia="仿宋_GB2312" w:cs="Times New Roman"/>
          <w:color w:val="auto"/>
          <w:sz w:val="32"/>
          <w:szCs w:val="32"/>
          <w:lang w:eastAsia="zh-CN"/>
        </w:rPr>
        <w:t>项目</w:t>
      </w:r>
      <w:r>
        <w:rPr>
          <w:rFonts w:hint="eastAsia" w:ascii="Times New Roman" w:hAnsi="Times New Roman" w:eastAsia="仿宋_GB2312" w:cs="Times New Roman"/>
          <w:color w:val="auto"/>
          <w:sz w:val="32"/>
          <w:szCs w:val="32"/>
        </w:rPr>
        <w:t>按计划（目标）完成</w:t>
      </w:r>
      <w:r>
        <w:rPr>
          <w:rFonts w:hint="eastAsia" w:ascii="Times New Roman" w:hAnsi="Times New Roman" w:eastAsia="仿宋_GB2312" w:cs="Times New Roman"/>
          <w:color w:val="auto"/>
          <w:kern w:val="2"/>
          <w:sz w:val="32"/>
          <w:szCs w:val="32"/>
          <w:lang w:val="en-US" w:eastAsia="zh-CN" w:bidi="ar-SA"/>
        </w:rPr>
        <w:t>。</w:t>
      </w:r>
    </w:p>
    <w:p>
      <w:pPr>
        <w:keepNext w:val="0"/>
        <w:keepLines w:val="0"/>
        <w:pageBreakBefore w:val="0"/>
        <w:kinsoku/>
        <w:wordWrap/>
        <w:overflowPunct/>
        <w:topLinePunct w:val="0"/>
        <w:autoSpaceDE/>
        <w:autoSpaceDN/>
        <w:bidi w:val="0"/>
        <w:spacing w:line="240" w:lineRule="auto"/>
        <w:ind w:firstLine="643" w:firstLineChars="200"/>
        <w:outlineLvl w:val="1"/>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val="en-US" w:eastAsia="zh-CN"/>
        </w:rPr>
        <w:t>四</w:t>
      </w:r>
      <w:r>
        <w:rPr>
          <w:rFonts w:hint="eastAsia" w:ascii="楷体_GB2312" w:hAnsi="楷体_GB2312" w:eastAsia="楷体_GB2312" w:cs="楷体_GB2312"/>
          <w:b/>
          <w:bCs/>
          <w:color w:val="auto"/>
          <w:sz w:val="32"/>
          <w:szCs w:val="32"/>
        </w:rPr>
        <w:t>）建立健全长效机制，不断提升</w:t>
      </w:r>
      <w:r>
        <w:rPr>
          <w:rFonts w:hint="eastAsia" w:ascii="楷体_GB2312" w:hAnsi="楷体_GB2312" w:eastAsia="楷体_GB2312" w:cs="楷体_GB2312"/>
          <w:b/>
          <w:bCs/>
          <w:color w:val="auto"/>
          <w:sz w:val="32"/>
          <w:szCs w:val="32"/>
          <w:lang w:val="en-US" w:eastAsia="zh-CN"/>
        </w:rPr>
        <w:t>受益对象</w:t>
      </w:r>
      <w:r>
        <w:rPr>
          <w:rFonts w:hint="eastAsia" w:ascii="楷体_GB2312" w:hAnsi="楷体_GB2312" w:eastAsia="楷体_GB2312" w:cs="楷体_GB2312"/>
          <w:b/>
          <w:bCs/>
          <w:color w:val="auto"/>
          <w:sz w:val="32"/>
          <w:szCs w:val="32"/>
        </w:rPr>
        <w:t>满意度</w:t>
      </w:r>
      <w:bookmarkEnd w:id="0"/>
      <w:bookmarkEnd w:id="1"/>
    </w:p>
    <w:p>
      <w:pPr>
        <w:pStyle w:val="4"/>
        <w:spacing w:line="240" w:lineRule="auto"/>
        <w:ind w:firstLine="640"/>
        <w:jc w:val="both"/>
        <w:rPr>
          <w:rFonts w:hint="eastAsia" w:ascii="黑体" w:hAnsi="黑体" w:eastAsia="黑体" w:cs="黑体"/>
          <w:color w:val="auto"/>
          <w:sz w:val="32"/>
          <w:szCs w:val="32"/>
          <w:highlight w:val="none"/>
        </w:rPr>
      </w:pPr>
      <w:r>
        <w:rPr>
          <w:rFonts w:hint="eastAsia" w:ascii="Times New Roman" w:hAnsi="Times New Roman" w:eastAsia="仿宋_GB2312" w:cs="Times New Roman"/>
          <w:color w:val="auto"/>
          <w:kern w:val="2"/>
          <w:sz w:val="32"/>
          <w:szCs w:val="32"/>
          <w:lang w:val="en-US" w:eastAsia="zh-CN" w:bidi="ar-SA"/>
        </w:rPr>
        <w:t>本局将建立健全长效机制，进一步培养</w:t>
      </w:r>
      <w:r>
        <w:rPr>
          <w:rFonts w:hint="eastAsia" w:ascii="Times New Roman" w:hAnsi="Times New Roman" w:eastAsia="仿宋_GB2312" w:cs="仿宋_GB2312"/>
          <w:color w:val="auto"/>
          <w:kern w:val="2"/>
          <w:sz w:val="32"/>
          <w:szCs w:val="32"/>
          <w:highlight w:val="none"/>
          <w:lang w:val="en-US" w:eastAsia="zh-CN" w:bidi="ar-SA"/>
        </w:rPr>
        <w:t>第二批信创产品</w:t>
      </w:r>
      <w:r>
        <w:rPr>
          <w:rFonts w:hint="eastAsia" w:ascii="Times New Roman" w:hAnsi="Times New Roman" w:eastAsia="仿宋_GB2312" w:cs="Times New Roman"/>
          <w:color w:val="auto"/>
          <w:kern w:val="2"/>
          <w:sz w:val="32"/>
          <w:szCs w:val="32"/>
          <w:lang w:val="en-US" w:eastAsia="zh-CN" w:bidi="ar-SA"/>
        </w:rPr>
        <w:t>用户习惯，加强产品宣传推广及使用教程培训，</w:t>
      </w:r>
      <w:bookmarkStart w:id="4" w:name="_Toc20829"/>
      <w:r>
        <w:rPr>
          <w:rFonts w:hint="eastAsia" w:ascii="Times New Roman" w:hAnsi="Times New Roman" w:eastAsia="仿宋_GB2312" w:cs="Times New Roman"/>
          <w:color w:val="auto"/>
          <w:kern w:val="2"/>
          <w:sz w:val="32"/>
          <w:szCs w:val="32"/>
          <w:lang w:val="en-US" w:eastAsia="zh-CN" w:bidi="ar-SA"/>
        </w:rPr>
        <w:t>不断提升群众满意度。</w:t>
      </w:r>
      <w:bookmarkEnd w:id="4"/>
    </w:p>
    <w:p>
      <w:pPr>
        <w:spacing w:line="240" w:lineRule="auto"/>
        <w:ind w:firstLine="640" w:firstLineChars="200"/>
        <w:jc w:val="left"/>
        <w:rPr>
          <w:rFonts w:ascii="黑体" w:hAnsi="黑体" w:eastAsia="黑体"/>
          <w:color w:val="auto"/>
          <w:sz w:val="32"/>
          <w:szCs w:val="32"/>
          <w:highlight w:val="none"/>
        </w:rPr>
      </w:pPr>
      <w:r>
        <w:rPr>
          <w:rFonts w:hint="eastAsia" w:ascii="黑体" w:hAnsi="黑体" w:eastAsia="黑体" w:cs="黑体"/>
          <w:color w:val="auto"/>
          <w:sz w:val="32"/>
          <w:szCs w:val="32"/>
          <w:highlight w:val="none"/>
        </w:rPr>
        <w:t>十一、绩效自评结果拟应用和公开情况</w:t>
      </w:r>
    </w:p>
    <w:p>
      <w:pPr>
        <w:pStyle w:val="18"/>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2022年度部门整体支出绩效自评得分为99.</w:t>
      </w:r>
      <w:r>
        <w:rPr>
          <w:rFonts w:hint="eastAsia" w:ascii="Times New Roman" w:hAnsi="Times New Roman" w:eastAsia="仿宋_GB2312" w:cs="仿宋_GB2312"/>
          <w:color w:val="auto"/>
          <w:sz w:val="32"/>
          <w:szCs w:val="32"/>
          <w:highlight w:val="none"/>
          <w:lang w:val="en-US" w:eastAsia="zh-CN"/>
        </w:rPr>
        <w:t>40</w:t>
      </w:r>
      <w:r>
        <w:rPr>
          <w:rFonts w:hint="eastAsia" w:ascii="Times New Roman" w:hAnsi="Times New Roman" w:eastAsia="仿宋_GB2312" w:cs="仿宋_GB2312"/>
          <w:color w:val="auto"/>
          <w:sz w:val="32"/>
          <w:szCs w:val="32"/>
          <w:highlight w:val="none"/>
        </w:rPr>
        <w:t>分，等级为“优”。</w:t>
      </w:r>
      <w:r>
        <w:rPr>
          <w:rFonts w:hint="eastAsia" w:ascii="Times New Roman" w:hAnsi="Times New Roman" w:eastAsia="仿宋_GB2312" w:cs="仿宋_GB2312"/>
          <w:color w:val="auto"/>
          <w:sz w:val="32"/>
          <w:szCs w:val="32"/>
          <w:highlight w:val="none"/>
          <w:lang w:eastAsia="zh-CN"/>
        </w:rPr>
        <w:t>本局</w:t>
      </w:r>
      <w:r>
        <w:rPr>
          <w:rFonts w:hint="eastAsia" w:ascii="Times New Roman" w:hAnsi="Times New Roman" w:eastAsia="仿宋_GB2312" w:cs="仿宋_GB2312"/>
          <w:color w:val="auto"/>
          <w:sz w:val="32"/>
          <w:szCs w:val="32"/>
          <w:highlight w:val="none"/>
        </w:rPr>
        <w:t>将及时反馈评价结果至各业务科室</w:t>
      </w:r>
      <w:r>
        <w:rPr>
          <w:rFonts w:hint="eastAsia" w:ascii="Times New Roman" w:hAnsi="Times New Roman" w:eastAsia="仿宋_GB2312" w:cs="仿宋_GB2312"/>
          <w:color w:val="auto"/>
          <w:sz w:val="32"/>
          <w:szCs w:val="32"/>
          <w:highlight w:val="none"/>
          <w:lang w:val="en-US" w:eastAsia="zh-CN"/>
        </w:rPr>
        <w:t>及相关单位</w:t>
      </w:r>
      <w:r>
        <w:rPr>
          <w:rFonts w:hint="eastAsia" w:ascii="Times New Roman" w:hAnsi="Times New Roman" w:eastAsia="仿宋_GB2312" w:cs="仿宋_GB2312"/>
          <w:color w:val="auto"/>
          <w:sz w:val="32"/>
          <w:szCs w:val="32"/>
          <w:highlight w:val="none"/>
        </w:rPr>
        <w:t>，将绩效自评结果作为本部门完善相关政策和改进管理方法的重要依据，督促其就绩效自评中发现的问题制定切实可行的整改措施并落实到位。</w:t>
      </w:r>
    </w:p>
    <w:p>
      <w:pPr>
        <w:pStyle w:val="18"/>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2022年度部门整体支出绩效自评报告按要求对外公开，接受社会公众监督。</w:t>
      </w:r>
    </w:p>
    <w:p>
      <w:pPr>
        <w:pStyle w:val="18"/>
        <w:rPr>
          <w:rFonts w:ascii="Times New Roman" w:hAnsi="Times New Roman" w:eastAsia="仿宋_GB2312"/>
          <w:color w:val="auto"/>
          <w:highlight w:val="yellow"/>
        </w:rPr>
      </w:pPr>
    </w:p>
    <w:p>
      <w:pPr>
        <w:pStyle w:val="18"/>
        <w:rPr>
          <w:rFonts w:ascii="Times New Roman" w:hAnsi="Times New Roman" w:eastAsia="仿宋_GB2312"/>
          <w:color w:val="auto"/>
          <w:sz w:val="32"/>
          <w:szCs w:val="32"/>
          <w:highlight w:val="yellow"/>
        </w:rPr>
      </w:pP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7"/>
                          </w:pPr>
                          <w:r>
                            <w:rPr>
                              <w:rFonts w:hint="default" w:ascii="Times New Roman" w:hAnsi="Times New Roman" w:cs="Times New Roman" w:eastAsiaTheme="majorEastAsia"/>
                              <w:sz w:val="18"/>
                              <w:szCs w:val="18"/>
                            </w:rPr>
                            <w:fldChar w:fldCharType="begin"/>
                          </w:r>
                          <w:r>
                            <w:rPr>
                              <w:rFonts w:hint="default" w:ascii="Times New Roman" w:hAnsi="Times New Roman" w:cs="Times New Roman" w:eastAsiaTheme="majorEastAsia"/>
                              <w:sz w:val="18"/>
                              <w:szCs w:val="18"/>
                            </w:rPr>
                            <w:instrText xml:space="preserve"> PAGE  \* MERGEFORMAT </w:instrText>
                          </w:r>
                          <w:r>
                            <w:rPr>
                              <w:rFonts w:hint="default" w:ascii="Times New Roman" w:hAnsi="Times New Roman" w:cs="Times New Roman" w:eastAsiaTheme="majorEastAsia"/>
                              <w:sz w:val="18"/>
                              <w:szCs w:val="18"/>
                            </w:rPr>
                            <w:fldChar w:fldCharType="separate"/>
                          </w:r>
                          <w:r>
                            <w:rPr>
                              <w:rFonts w:hint="default" w:ascii="Times New Roman" w:hAnsi="Times New Roman" w:cs="Times New Roman" w:eastAsiaTheme="majorEastAsia"/>
                              <w:sz w:val="18"/>
                              <w:szCs w:val="18"/>
                            </w:rPr>
                            <w:t>- 1 -</w:t>
                          </w:r>
                          <w:r>
                            <w:rPr>
                              <w:rFonts w:hint="default" w:ascii="Times New Roman" w:hAnsi="Times New Roman" w:cs="Times New Roman" w:eastAsiaTheme="majorEastAsia"/>
                              <w:sz w:val="18"/>
                              <w:szCs w:val="18"/>
                            </w:rPr>
                            <w:fldChar w:fldCharType="end"/>
                          </w:r>
                        </w:p>
                      </w:txbxContent>
                    </wps:txbx>
                    <wps:bodyPr vert="horz" wrap="none" lIns="0" tIns="0" rIns="0" bIns="0" anchor="t" anchorCtr="0" upright="0">
                      <a:spAutoFit/>
                    </wps:bodyPr>
                  </wps:wsp>
                </a:graphicData>
              </a:graphic>
            </wp:anchor>
          </w:drawing>
        </mc:Choice>
        <mc:Fallback>
          <w:pict>
            <v:shape id="文本框 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l5uc8AAAAFAQAA&#10;DwAAAAAAAAABACAAAAAiAAAAZHJzL2Rvd25yZXYueG1sUEsBAhQAFAAAAAgAh07iQOTkxY7pAQAA&#10;ygMAAA4AAAAAAAAAAQAgAAAAHgEAAGRycy9lMm9Eb2MueG1sUEsFBgAAAAAGAAYAWQEAAHkFAAAA&#10;AA==&#10;">
              <v:fill on="f" focussize="0,0"/>
              <v:stroke on="f"/>
              <v:imagedata o:title=""/>
              <o:lock v:ext="edit" aspectratio="f"/>
              <v:textbox inset="0mm,0mm,0mm,0mm" style="mso-fit-shape-to-text:t;">
                <w:txbxContent>
                  <w:p>
                    <w:pPr>
                      <w:pStyle w:val="7"/>
                    </w:pPr>
                    <w:r>
                      <w:rPr>
                        <w:rFonts w:hint="default" w:ascii="Times New Roman" w:hAnsi="Times New Roman" w:cs="Times New Roman" w:eastAsiaTheme="majorEastAsia"/>
                        <w:sz w:val="18"/>
                        <w:szCs w:val="18"/>
                      </w:rPr>
                      <w:fldChar w:fldCharType="begin"/>
                    </w:r>
                    <w:r>
                      <w:rPr>
                        <w:rFonts w:hint="default" w:ascii="Times New Roman" w:hAnsi="Times New Roman" w:cs="Times New Roman" w:eastAsiaTheme="majorEastAsia"/>
                        <w:sz w:val="18"/>
                        <w:szCs w:val="18"/>
                      </w:rPr>
                      <w:instrText xml:space="preserve"> PAGE  \* MERGEFORMAT </w:instrText>
                    </w:r>
                    <w:r>
                      <w:rPr>
                        <w:rFonts w:hint="default" w:ascii="Times New Roman" w:hAnsi="Times New Roman" w:cs="Times New Roman" w:eastAsiaTheme="majorEastAsia"/>
                        <w:sz w:val="18"/>
                        <w:szCs w:val="18"/>
                      </w:rPr>
                      <w:fldChar w:fldCharType="separate"/>
                    </w:r>
                    <w:r>
                      <w:rPr>
                        <w:rFonts w:hint="default" w:ascii="Times New Roman" w:hAnsi="Times New Roman" w:cs="Times New Roman" w:eastAsiaTheme="majorEastAsia"/>
                        <w:sz w:val="18"/>
                        <w:szCs w:val="18"/>
                      </w:rPr>
                      <w:t>- 1 -</w:t>
                    </w:r>
                    <w:r>
                      <w:rPr>
                        <w:rFonts w:hint="default" w:ascii="Times New Roman" w:hAnsi="Times New Roman" w:cs="Times New Roman" w:eastAsiaTheme="majorEastAsia"/>
                        <w:sz w:val="18"/>
                        <w:szCs w:val="18"/>
                      </w:rPr>
                      <w:fldChar w:fldCharType="end"/>
                    </w:r>
                  </w:p>
                </w:txbxContent>
              </v:textbox>
            </v:shape>
          </w:pict>
        </mc:Fallback>
      </mc:AlternateContent>
    </w:r>
    <w:r>
      <w:rPr>
        <w:lang w:val="e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C39997"/>
    <w:multiLevelType w:val="singleLevel"/>
    <w:tmpl w:val="BEC39997"/>
    <w:lvl w:ilvl="0" w:tentative="0">
      <w:start w:val="1"/>
      <w:numFmt w:val="chineseCounting"/>
      <w:suff w:val="nothing"/>
      <w:lvlText w:val="（%1）"/>
      <w:lvlJc w:val="left"/>
      <w:rPr>
        <w:rFonts w:hint="eastAsia"/>
      </w:rPr>
    </w:lvl>
  </w:abstractNum>
  <w:abstractNum w:abstractNumId="1">
    <w:nsid w:val="1D54F68A"/>
    <w:multiLevelType w:val="singleLevel"/>
    <w:tmpl w:val="1D54F68A"/>
    <w:lvl w:ilvl="0" w:tentative="0">
      <w:start w:val="14"/>
      <w:numFmt w:val="decimal"/>
      <w:suff w:val="nothing"/>
      <w:lvlText w:val="（%1）"/>
      <w:lvlJc w:val="left"/>
    </w:lvl>
  </w:abstractNum>
  <w:abstractNum w:abstractNumId="2">
    <w:nsid w:val="48CB3078"/>
    <w:multiLevelType w:val="singleLevel"/>
    <w:tmpl w:val="48CB3078"/>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5OWNlMzUwNWYxYTVmYWM3ZmM5MWFhNTU3ZWY3N2UifQ=="/>
  </w:docVars>
  <w:rsids>
    <w:rsidRoot w:val="36253A27"/>
    <w:rsid w:val="00006E88"/>
    <w:rsid w:val="00044EF2"/>
    <w:rsid w:val="000465B3"/>
    <w:rsid w:val="000F602E"/>
    <w:rsid w:val="00107BE9"/>
    <w:rsid w:val="0011066E"/>
    <w:rsid w:val="00124833"/>
    <w:rsid w:val="001378C9"/>
    <w:rsid w:val="00155634"/>
    <w:rsid w:val="0018114E"/>
    <w:rsid w:val="00196C23"/>
    <w:rsid w:val="001A64DB"/>
    <w:rsid w:val="001B1507"/>
    <w:rsid w:val="001D7F01"/>
    <w:rsid w:val="001F125F"/>
    <w:rsid w:val="00200B08"/>
    <w:rsid w:val="00202C45"/>
    <w:rsid w:val="00215A68"/>
    <w:rsid w:val="00251F55"/>
    <w:rsid w:val="002A103A"/>
    <w:rsid w:val="002A5E1B"/>
    <w:rsid w:val="002C7B73"/>
    <w:rsid w:val="002D71D8"/>
    <w:rsid w:val="002F2FCB"/>
    <w:rsid w:val="00320AB2"/>
    <w:rsid w:val="00357089"/>
    <w:rsid w:val="003937D1"/>
    <w:rsid w:val="003A0CCE"/>
    <w:rsid w:val="003B17A3"/>
    <w:rsid w:val="00451E97"/>
    <w:rsid w:val="0048283F"/>
    <w:rsid w:val="00483479"/>
    <w:rsid w:val="004953DC"/>
    <w:rsid w:val="00495453"/>
    <w:rsid w:val="00496EAC"/>
    <w:rsid w:val="004A5662"/>
    <w:rsid w:val="004C6B7D"/>
    <w:rsid w:val="004F0772"/>
    <w:rsid w:val="004F538C"/>
    <w:rsid w:val="005055DC"/>
    <w:rsid w:val="00507F34"/>
    <w:rsid w:val="00583409"/>
    <w:rsid w:val="00590633"/>
    <w:rsid w:val="00596442"/>
    <w:rsid w:val="0059759F"/>
    <w:rsid w:val="00597C9B"/>
    <w:rsid w:val="005B6DCF"/>
    <w:rsid w:val="005D3480"/>
    <w:rsid w:val="006056BD"/>
    <w:rsid w:val="00613723"/>
    <w:rsid w:val="00615501"/>
    <w:rsid w:val="00624927"/>
    <w:rsid w:val="00634E03"/>
    <w:rsid w:val="00635F06"/>
    <w:rsid w:val="006433CF"/>
    <w:rsid w:val="00654BAB"/>
    <w:rsid w:val="0065613C"/>
    <w:rsid w:val="00673039"/>
    <w:rsid w:val="006A53B3"/>
    <w:rsid w:val="006A67C2"/>
    <w:rsid w:val="006B1CDB"/>
    <w:rsid w:val="006C5727"/>
    <w:rsid w:val="006D38DC"/>
    <w:rsid w:val="006E28D6"/>
    <w:rsid w:val="00700F7A"/>
    <w:rsid w:val="007049F0"/>
    <w:rsid w:val="00705D8D"/>
    <w:rsid w:val="00710D7F"/>
    <w:rsid w:val="00717140"/>
    <w:rsid w:val="00731F61"/>
    <w:rsid w:val="00744B46"/>
    <w:rsid w:val="00765F56"/>
    <w:rsid w:val="00771EE3"/>
    <w:rsid w:val="00775B45"/>
    <w:rsid w:val="00790F42"/>
    <w:rsid w:val="007C3311"/>
    <w:rsid w:val="007D14A9"/>
    <w:rsid w:val="007E43A0"/>
    <w:rsid w:val="007F1DE0"/>
    <w:rsid w:val="007F4693"/>
    <w:rsid w:val="00814D19"/>
    <w:rsid w:val="008608B5"/>
    <w:rsid w:val="008C3151"/>
    <w:rsid w:val="008D482A"/>
    <w:rsid w:val="009119C3"/>
    <w:rsid w:val="009256D9"/>
    <w:rsid w:val="00952A9B"/>
    <w:rsid w:val="00971126"/>
    <w:rsid w:val="009729EB"/>
    <w:rsid w:val="00982D02"/>
    <w:rsid w:val="009D4098"/>
    <w:rsid w:val="009E07D1"/>
    <w:rsid w:val="009E33EF"/>
    <w:rsid w:val="009F2009"/>
    <w:rsid w:val="009F23E4"/>
    <w:rsid w:val="009F5353"/>
    <w:rsid w:val="00A52C52"/>
    <w:rsid w:val="00A62CCB"/>
    <w:rsid w:val="00AA079F"/>
    <w:rsid w:val="00B07F68"/>
    <w:rsid w:val="00B2778F"/>
    <w:rsid w:val="00B65ECD"/>
    <w:rsid w:val="00BF0911"/>
    <w:rsid w:val="00BF6C6F"/>
    <w:rsid w:val="00C00A70"/>
    <w:rsid w:val="00C021C6"/>
    <w:rsid w:val="00C052D3"/>
    <w:rsid w:val="00C4162F"/>
    <w:rsid w:val="00C6472F"/>
    <w:rsid w:val="00C67F75"/>
    <w:rsid w:val="00C721F3"/>
    <w:rsid w:val="00C818DE"/>
    <w:rsid w:val="00CB07E0"/>
    <w:rsid w:val="00CC724B"/>
    <w:rsid w:val="00CE553F"/>
    <w:rsid w:val="00D1038C"/>
    <w:rsid w:val="00D124BE"/>
    <w:rsid w:val="00D4314F"/>
    <w:rsid w:val="00D513DA"/>
    <w:rsid w:val="00D71AC9"/>
    <w:rsid w:val="00D76C76"/>
    <w:rsid w:val="00D91C73"/>
    <w:rsid w:val="00DA49C8"/>
    <w:rsid w:val="00DB600B"/>
    <w:rsid w:val="00DD2E31"/>
    <w:rsid w:val="00DD6FC6"/>
    <w:rsid w:val="00DF240B"/>
    <w:rsid w:val="00E02EE8"/>
    <w:rsid w:val="00E310D1"/>
    <w:rsid w:val="00E45238"/>
    <w:rsid w:val="00E75EC0"/>
    <w:rsid w:val="00E858B7"/>
    <w:rsid w:val="00E9066D"/>
    <w:rsid w:val="00EA5857"/>
    <w:rsid w:val="00EC1170"/>
    <w:rsid w:val="00F0280D"/>
    <w:rsid w:val="00F30582"/>
    <w:rsid w:val="00F3394E"/>
    <w:rsid w:val="00F83926"/>
    <w:rsid w:val="00F911CC"/>
    <w:rsid w:val="00F938F2"/>
    <w:rsid w:val="00FA35BC"/>
    <w:rsid w:val="02261D24"/>
    <w:rsid w:val="02BC467E"/>
    <w:rsid w:val="02C10E79"/>
    <w:rsid w:val="038E67AE"/>
    <w:rsid w:val="040776AF"/>
    <w:rsid w:val="043E3E03"/>
    <w:rsid w:val="04FE00C1"/>
    <w:rsid w:val="054D5763"/>
    <w:rsid w:val="062F4DA6"/>
    <w:rsid w:val="06F46C00"/>
    <w:rsid w:val="07341EE7"/>
    <w:rsid w:val="07BB67DE"/>
    <w:rsid w:val="0A51233F"/>
    <w:rsid w:val="0A7F0914"/>
    <w:rsid w:val="0B4D25E1"/>
    <w:rsid w:val="0BA852CC"/>
    <w:rsid w:val="0BDA376B"/>
    <w:rsid w:val="0BF56037"/>
    <w:rsid w:val="0C5D60B6"/>
    <w:rsid w:val="0C644F12"/>
    <w:rsid w:val="0CA02447"/>
    <w:rsid w:val="0DA056DB"/>
    <w:rsid w:val="0DFF4F4B"/>
    <w:rsid w:val="0E5057A7"/>
    <w:rsid w:val="0F2C10BC"/>
    <w:rsid w:val="0F334EAC"/>
    <w:rsid w:val="0F6557B0"/>
    <w:rsid w:val="108005C5"/>
    <w:rsid w:val="109202F8"/>
    <w:rsid w:val="10BA72EA"/>
    <w:rsid w:val="11DB5737"/>
    <w:rsid w:val="15123014"/>
    <w:rsid w:val="164C1989"/>
    <w:rsid w:val="17761548"/>
    <w:rsid w:val="17CEFF93"/>
    <w:rsid w:val="185E3EBD"/>
    <w:rsid w:val="18A92683"/>
    <w:rsid w:val="18EA6F23"/>
    <w:rsid w:val="19017DC9"/>
    <w:rsid w:val="19875614"/>
    <w:rsid w:val="1A7017D6"/>
    <w:rsid w:val="1AF8344E"/>
    <w:rsid w:val="1B33C621"/>
    <w:rsid w:val="1B8308A5"/>
    <w:rsid w:val="1C580648"/>
    <w:rsid w:val="1CB82E95"/>
    <w:rsid w:val="1CFD2F9D"/>
    <w:rsid w:val="1D122269"/>
    <w:rsid w:val="1D720D85"/>
    <w:rsid w:val="1DD20A0F"/>
    <w:rsid w:val="1DEF28E6"/>
    <w:rsid w:val="1E155500"/>
    <w:rsid w:val="1E83385A"/>
    <w:rsid w:val="200A1C59"/>
    <w:rsid w:val="20F93ABC"/>
    <w:rsid w:val="220D1F62"/>
    <w:rsid w:val="228B1A4F"/>
    <w:rsid w:val="243355EF"/>
    <w:rsid w:val="24362564"/>
    <w:rsid w:val="24773635"/>
    <w:rsid w:val="248875F1"/>
    <w:rsid w:val="24F904EE"/>
    <w:rsid w:val="24FC5B31"/>
    <w:rsid w:val="25050C41"/>
    <w:rsid w:val="26063F40"/>
    <w:rsid w:val="2634778C"/>
    <w:rsid w:val="266100F9"/>
    <w:rsid w:val="27427F2B"/>
    <w:rsid w:val="277F2F2D"/>
    <w:rsid w:val="284C20CD"/>
    <w:rsid w:val="2C277250"/>
    <w:rsid w:val="2EC16415"/>
    <w:rsid w:val="2EEC8E48"/>
    <w:rsid w:val="2FAF6054"/>
    <w:rsid w:val="2FFE0389"/>
    <w:rsid w:val="300761B5"/>
    <w:rsid w:val="30292554"/>
    <w:rsid w:val="30A60E57"/>
    <w:rsid w:val="32F02F31"/>
    <w:rsid w:val="33866C2E"/>
    <w:rsid w:val="34273F32"/>
    <w:rsid w:val="34442D0A"/>
    <w:rsid w:val="350E2E6C"/>
    <w:rsid w:val="357A2F85"/>
    <w:rsid w:val="36253A27"/>
    <w:rsid w:val="36511242"/>
    <w:rsid w:val="36B46CC0"/>
    <w:rsid w:val="37E30662"/>
    <w:rsid w:val="382471D8"/>
    <w:rsid w:val="393C2517"/>
    <w:rsid w:val="39427283"/>
    <w:rsid w:val="39696AB6"/>
    <w:rsid w:val="39AE0D98"/>
    <w:rsid w:val="3B194FEF"/>
    <w:rsid w:val="3B37129C"/>
    <w:rsid w:val="3B6F0B3A"/>
    <w:rsid w:val="3BB043B7"/>
    <w:rsid w:val="3BBC041B"/>
    <w:rsid w:val="3BEC8FDE"/>
    <w:rsid w:val="3C111E9E"/>
    <w:rsid w:val="3D5203F3"/>
    <w:rsid w:val="3DF633C5"/>
    <w:rsid w:val="3E6F0217"/>
    <w:rsid w:val="3EF871CA"/>
    <w:rsid w:val="3F3FCAFB"/>
    <w:rsid w:val="3F9DDB89"/>
    <w:rsid w:val="3FE61943"/>
    <w:rsid w:val="3FFF4D6F"/>
    <w:rsid w:val="40664832"/>
    <w:rsid w:val="4084618C"/>
    <w:rsid w:val="41E40104"/>
    <w:rsid w:val="429F402B"/>
    <w:rsid w:val="42ED4D97"/>
    <w:rsid w:val="431603B6"/>
    <w:rsid w:val="46297AC0"/>
    <w:rsid w:val="46492C2C"/>
    <w:rsid w:val="46696E2A"/>
    <w:rsid w:val="46995D15"/>
    <w:rsid w:val="46C30964"/>
    <w:rsid w:val="48406109"/>
    <w:rsid w:val="487815A6"/>
    <w:rsid w:val="49B26D3A"/>
    <w:rsid w:val="4A3D2AA8"/>
    <w:rsid w:val="4CA706AC"/>
    <w:rsid w:val="4CF57C60"/>
    <w:rsid w:val="4CFB27A6"/>
    <w:rsid w:val="4D076A36"/>
    <w:rsid w:val="4D495AC4"/>
    <w:rsid w:val="4DF47A18"/>
    <w:rsid w:val="4E7B59FA"/>
    <w:rsid w:val="4E822C3B"/>
    <w:rsid w:val="4E9764FE"/>
    <w:rsid w:val="4EF57354"/>
    <w:rsid w:val="4EFE3948"/>
    <w:rsid w:val="4F6A7C90"/>
    <w:rsid w:val="4FD73C5F"/>
    <w:rsid w:val="4FF58961"/>
    <w:rsid w:val="50C12B23"/>
    <w:rsid w:val="50F43794"/>
    <w:rsid w:val="517D19DC"/>
    <w:rsid w:val="53FF9439"/>
    <w:rsid w:val="542E3461"/>
    <w:rsid w:val="54556E94"/>
    <w:rsid w:val="56C43C09"/>
    <w:rsid w:val="57244143"/>
    <w:rsid w:val="5747168F"/>
    <w:rsid w:val="5A6D5C19"/>
    <w:rsid w:val="5AA04204"/>
    <w:rsid w:val="5AB05780"/>
    <w:rsid w:val="5AB7DFDC"/>
    <w:rsid w:val="5AC715D3"/>
    <w:rsid w:val="5B443CA0"/>
    <w:rsid w:val="5B4F0511"/>
    <w:rsid w:val="5BD13050"/>
    <w:rsid w:val="5BDE3214"/>
    <w:rsid w:val="5BFFCD7B"/>
    <w:rsid w:val="5C074CC3"/>
    <w:rsid w:val="5C4F4AE8"/>
    <w:rsid w:val="5D626240"/>
    <w:rsid w:val="5D6BEC94"/>
    <w:rsid w:val="5D6F737D"/>
    <w:rsid w:val="5DDF68AD"/>
    <w:rsid w:val="5DF70C29"/>
    <w:rsid w:val="5E1D07CE"/>
    <w:rsid w:val="5ED77241"/>
    <w:rsid w:val="5EFFE739"/>
    <w:rsid w:val="5F013E12"/>
    <w:rsid w:val="5FEF36A2"/>
    <w:rsid w:val="609323F2"/>
    <w:rsid w:val="60CE7DCE"/>
    <w:rsid w:val="6173380D"/>
    <w:rsid w:val="61B01959"/>
    <w:rsid w:val="623B7475"/>
    <w:rsid w:val="62BC07CB"/>
    <w:rsid w:val="632F1819"/>
    <w:rsid w:val="634774D4"/>
    <w:rsid w:val="63785818"/>
    <w:rsid w:val="64574467"/>
    <w:rsid w:val="649966D5"/>
    <w:rsid w:val="64F16511"/>
    <w:rsid w:val="6549160D"/>
    <w:rsid w:val="65E77495"/>
    <w:rsid w:val="661D2C52"/>
    <w:rsid w:val="66FF9CD1"/>
    <w:rsid w:val="67F7BB5D"/>
    <w:rsid w:val="690622C7"/>
    <w:rsid w:val="69B26A8F"/>
    <w:rsid w:val="6A18009C"/>
    <w:rsid w:val="6A9D7623"/>
    <w:rsid w:val="6AC65D4A"/>
    <w:rsid w:val="6B422F39"/>
    <w:rsid w:val="6B5B52EC"/>
    <w:rsid w:val="6BFF68D3"/>
    <w:rsid w:val="6C45023F"/>
    <w:rsid w:val="6CB50E20"/>
    <w:rsid w:val="6CF54EE0"/>
    <w:rsid w:val="6D420489"/>
    <w:rsid w:val="6EBF7256"/>
    <w:rsid w:val="6F7B05F4"/>
    <w:rsid w:val="6F9DF01A"/>
    <w:rsid w:val="6FB800D2"/>
    <w:rsid w:val="6FC860C0"/>
    <w:rsid w:val="6FCFDB17"/>
    <w:rsid w:val="6FDE27E6"/>
    <w:rsid w:val="6FFF3E6D"/>
    <w:rsid w:val="70E77EE3"/>
    <w:rsid w:val="71C15DB3"/>
    <w:rsid w:val="71DB657E"/>
    <w:rsid w:val="71E511AB"/>
    <w:rsid w:val="721B4BCD"/>
    <w:rsid w:val="73261A7B"/>
    <w:rsid w:val="737BDF4D"/>
    <w:rsid w:val="73863175"/>
    <w:rsid w:val="73F33F1C"/>
    <w:rsid w:val="749C203E"/>
    <w:rsid w:val="752C2225"/>
    <w:rsid w:val="758A0796"/>
    <w:rsid w:val="76583DD7"/>
    <w:rsid w:val="76F77801"/>
    <w:rsid w:val="77DE2A13"/>
    <w:rsid w:val="77F326B2"/>
    <w:rsid w:val="77F426F3"/>
    <w:rsid w:val="79ED36B6"/>
    <w:rsid w:val="7BBFF338"/>
    <w:rsid w:val="7BF64EB4"/>
    <w:rsid w:val="7BF76402"/>
    <w:rsid w:val="7DC97132"/>
    <w:rsid w:val="7E78BE84"/>
    <w:rsid w:val="7ED03FC3"/>
    <w:rsid w:val="7EDB69D6"/>
    <w:rsid w:val="7F7B5C3E"/>
    <w:rsid w:val="7F9FB2B8"/>
    <w:rsid w:val="7FAB299A"/>
    <w:rsid w:val="7FBEAE59"/>
    <w:rsid w:val="7FED4DC6"/>
    <w:rsid w:val="93F50F34"/>
    <w:rsid w:val="97622C84"/>
    <w:rsid w:val="97FE8B61"/>
    <w:rsid w:val="9BEF7AE6"/>
    <w:rsid w:val="AFFF4181"/>
    <w:rsid w:val="B7736CBE"/>
    <w:rsid w:val="B7DF6580"/>
    <w:rsid w:val="B97DA971"/>
    <w:rsid w:val="B9FFA569"/>
    <w:rsid w:val="BCFF4229"/>
    <w:rsid w:val="BEEA6AC1"/>
    <w:rsid w:val="BF1FE496"/>
    <w:rsid w:val="BFB6E1B2"/>
    <w:rsid w:val="BFED6CC7"/>
    <w:rsid w:val="BFFF4BA6"/>
    <w:rsid w:val="C4EE1722"/>
    <w:rsid w:val="CB3E0AFA"/>
    <w:rsid w:val="CFF187D7"/>
    <w:rsid w:val="D6D95BA9"/>
    <w:rsid w:val="D7F7074D"/>
    <w:rsid w:val="DFDE447A"/>
    <w:rsid w:val="DFF5648E"/>
    <w:rsid w:val="E6FF2D6D"/>
    <w:rsid w:val="E7D3A8BF"/>
    <w:rsid w:val="EBFF3755"/>
    <w:rsid w:val="ED6FAF1E"/>
    <w:rsid w:val="EF3DE992"/>
    <w:rsid w:val="EF6FE380"/>
    <w:rsid w:val="EFFEF514"/>
    <w:rsid w:val="EFFFF03A"/>
    <w:rsid w:val="F2E7E82D"/>
    <w:rsid w:val="F4EE3F11"/>
    <w:rsid w:val="F537D980"/>
    <w:rsid w:val="F6DF0E6C"/>
    <w:rsid w:val="F7639167"/>
    <w:rsid w:val="F7C51163"/>
    <w:rsid w:val="F7F733A4"/>
    <w:rsid w:val="F8CF9220"/>
    <w:rsid w:val="F9E5CF32"/>
    <w:rsid w:val="FB6E4F98"/>
    <w:rsid w:val="FB99EA00"/>
    <w:rsid w:val="FBB7CB21"/>
    <w:rsid w:val="FCE6BD3C"/>
    <w:rsid w:val="FCFFBDB9"/>
    <w:rsid w:val="FD1219C8"/>
    <w:rsid w:val="FD555F00"/>
    <w:rsid w:val="FDCFFB01"/>
    <w:rsid w:val="FDEF471F"/>
    <w:rsid w:val="FDF751EC"/>
    <w:rsid w:val="FEDEBA4C"/>
    <w:rsid w:val="FEFDF62E"/>
    <w:rsid w:val="FF2E5D2E"/>
    <w:rsid w:val="FFFBED8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uiPriority="39" w:name="toc 2"/>
    <w:lsdException w:uiPriority="39" w:name="toc 3"/>
    <w:lsdException w:uiPriority="39" w:name="toc 4"/>
    <w:lsdException w:qFormat="1" w:unhideWhenUsed="0" w:uiPriority="9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5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2">
    <w:name w:val="heading 4"/>
    <w:basedOn w:val="1"/>
    <w:next w:val="1"/>
    <w:unhideWhenUsed/>
    <w:qFormat/>
    <w:locked/>
    <w:uiPriority w:val="0"/>
    <w:pPr>
      <w:keepNext/>
      <w:keepLines/>
      <w:spacing w:before="280" w:after="290" w:line="376" w:lineRule="auto"/>
      <w:outlineLvl w:val="3"/>
    </w:pPr>
    <w:rPr>
      <w:rFonts w:ascii="Calibri Light" w:hAnsi="Calibri Light"/>
      <w:b/>
      <w:bCs/>
      <w:sz w:val="28"/>
      <w:szCs w:val="28"/>
    </w:rPr>
  </w:style>
  <w:style w:type="character" w:default="1" w:styleId="14">
    <w:name w:val="Default Paragraph Font"/>
    <w:semiHidden/>
    <w:qFormat/>
    <w:uiPriority w:val="99"/>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next w:val="5"/>
    <w:link w:val="19"/>
    <w:qFormat/>
    <w:uiPriority w:val="99"/>
    <w:pPr>
      <w:spacing w:after="120"/>
    </w:pPr>
    <w:rPr>
      <w:rFonts w:eastAsia="华文仿宋"/>
      <w:sz w:val="30"/>
      <w:szCs w:val="30"/>
    </w:rPr>
  </w:style>
  <w:style w:type="paragraph" w:styleId="5">
    <w:name w:val="toc 5"/>
    <w:basedOn w:val="1"/>
    <w:next w:val="1"/>
    <w:semiHidden/>
    <w:qFormat/>
    <w:uiPriority w:val="99"/>
    <w:pPr>
      <w:ind w:firstLine="643" w:firstLineChars="200"/>
    </w:pPr>
    <w:rPr>
      <w:rFonts w:ascii="仿宋" w:hAnsi="仿宋" w:eastAsia="仿宋" w:cs="仿宋"/>
      <w:b/>
      <w:bCs/>
    </w:rPr>
  </w:style>
  <w:style w:type="paragraph" w:styleId="6">
    <w:name w:val="Body Text Indent"/>
    <w:basedOn w:val="1"/>
    <w:next w:val="1"/>
    <w:unhideWhenUsed/>
    <w:qFormat/>
    <w:uiPriority w:val="99"/>
    <w:pPr>
      <w:spacing w:after="120"/>
      <w:ind w:left="420" w:leftChars="200"/>
    </w:pPr>
  </w:style>
  <w:style w:type="paragraph" w:styleId="7">
    <w:name w:val="footer"/>
    <w:basedOn w:val="1"/>
    <w:link w:val="20"/>
    <w:qFormat/>
    <w:uiPriority w:val="99"/>
    <w:pPr>
      <w:tabs>
        <w:tab w:val="center" w:pos="4153"/>
        <w:tab w:val="right" w:pos="8306"/>
      </w:tabs>
      <w:snapToGrid w:val="0"/>
      <w:jc w:val="left"/>
    </w:pPr>
    <w:rPr>
      <w:sz w:val="18"/>
      <w:szCs w:val="18"/>
    </w:rPr>
  </w:style>
  <w:style w:type="paragraph" w:styleId="8">
    <w:name w:val="header"/>
    <w:basedOn w:val="1"/>
    <w:link w:val="2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9">
    <w:name w:val="toc 1"/>
    <w:basedOn w:val="1"/>
    <w:next w:val="1"/>
    <w:unhideWhenUsed/>
    <w:qFormat/>
    <w:uiPriority w:val="0"/>
    <w:pPr>
      <w:outlineLvl w:val="2"/>
    </w:pPr>
    <w:rPr>
      <w:b/>
    </w:rPr>
  </w:style>
  <w:style w:type="paragraph" w:styleId="10">
    <w:name w:val="footnote text"/>
    <w:basedOn w:val="1"/>
    <w:semiHidden/>
    <w:qFormat/>
    <w:uiPriority w:val="0"/>
    <w:pPr>
      <w:snapToGrid w:val="0"/>
      <w:jc w:val="left"/>
    </w:pPr>
    <w:rPr>
      <w:sz w:val="18"/>
      <w:szCs w:val="18"/>
    </w:rPr>
  </w:style>
  <w:style w:type="paragraph" w:styleId="1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2">
    <w:name w:val="Body Text First Indent 2"/>
    <w:basedOn w:val="6"/>
    <w:next w:val="1"/>
    <w:unhideWhenUsed/>
    <w:qFormat/>
    <w:uiPriority w:val="99"/>
    <w:pPr>
      <w:ind w:left="0" w:leftChars="0" w:firstLine="420"/>
    </w:pPr>
  </w:style>
  <w:style w:type="character" w:styleId="15">
    <w:name w:val="Strong"/>
    <w:basedOn w:val="14"/>
    <w:qFormat/>
    <w:locked/>
    <w:uiPriority w:val="0"/>
    <w:rPr>
      <w:b/>
    </w:rPr>
  </w:style>
  <w:style w:type="paragraph" w:customStyle="1" w:styleId="16">
    <w:name w:val="BodyText1I2"/>
    <w:basedOn w:val="17"/>
    <w:next w:val="1"/>
    <w:qFormat/>
    <w:uiPriority w:val="0"/>
    <w:pPr>
      <w:widowControl w:val="0"/>
      <w:spacing w:after="120"/>
      <w:ind w:left="420" w:leftChars="200" w:firstLine="420" w:firstLineChars="200"/>
      <w:jc w:val="both"/>
      <w:textAlignment w:val="baseline"/>
    </w:pPr>
    <w:rPr>
      <w:rFonts w:ascii="Times New Roman" w:hAnsi="Times New Roman" w:eastAsia="宋体" w:cs="Times New Roman"/>
      <w:kern w:val="2"/>
      <w:sz w:val="21"/>
      <w:szCs w:val="24"/>
      <w:lang w:val="en-US" w:eastAsia="zh-CN" w:bidi="ar-SA"/>
    </w:rPr>
  </w:style>
  <w:style w:type="paragraph" w:customStyle="1" w:styleId="17">
    <w:name w:val="BodyTextIndent"/>
    <w:qFormat/>
    <w:uiPriority w:val="0"/>
    <w:pPr>
      <w:widowControl w:val="0"/>
      <w:spacing w:after="120"/>
      <w:ind w:left="420" w:leftChars="200"/>
      <w:jc w:val="both"/>
      <w:textAlignment w:val="baseline"/>
    </w:pPr>
    <w:rPr>
      <w:rFonts w:ascii="Times New Roman" w:hAnsi="Times New Roman" w:eastAsia="宋体" w:cs="Times New Roman"/>
      <w:kern w:val="2"/>
      <w:sz w:val="21"/>
      <w:szCs w:val="24"/>
      <w:lang w:val="en-US" w:eastAsia="zh-CN" w:bidi="ar-SA"/>
    </w:rPr>
  </w:style>
  <w:style w:type="paragraph" w:customStyle="1" w:styleId="18">
    <w:name w:val="正文文本1"/>
    <w:basedOn w:val="1"/>
    <w:qFormat/>
    <w:uiPriority w:val="99"/>
  </w:style>
  <w:style w:type="character" w:customStyle="1" w:styleId="19">
    <w:name w:val="Body Text Char"/>
    <w:basedOn w:val="14"/>
    <w:link w:val="4"/>
    <w:qFormat/>
    <w:locked/>
    <w:uiPriority w:val="99"/>
    <w:rPr>
      <w:rFonts w:ascii="Calibri" w:hAnsi="Calibri" w:eastAsia="华文仿宋" w:cs="Calibri"/>
      <w:kern w:val="2"/>
      <w:sz w:val="24"/>
      <w:szCs w:val="24"/>
    </w:rPr>
  </w:style>
  <w:style w:type="character" w:customStyle="1" w:styleId="20">
    <w:name w:val="Footer Char"/>
    <w:basedOn w:val="14"/>
    <w:link w:val="7"/>
    <w:semiHidden/>
    <w:qFormat/>
    <w:uiPriority w:val="99"/>
    <w:rPr>
      <w:rFonts w:ascii="Calibri" w:hAnsi="Calibri" w:cs="Calibri"/>
      <w:sz w:val="18"/>
      <w:szCs w:val="18"/>
    </w:rPr>
  </w:style>
  <w:style w:type="character" w:customStyle="1" w:styleId="21">
    <w:name w:val="Header Char"/>
    <w:basedOn w:val="14"/>
    <w:link w:val="8"/>
    <w:semiHidden/>
    <w:qFormat/>
    <w:uiPriority w:val="99"/>
    <w:rPr>
      <w:rFonts w:ascii="Calibri" w:hAnsi="Calibri" w:cs="Calibri"/>
      <w:sz w:val="18"/>
      <w:szCs w:val="18"/>
    </w:rPr>
  </w:style>
  <w:style w:type="paragraph" w:customStyle="1" w:styleId="22">
    <w:name w:val="标题2"/>
    <w:basedOn w:val="1"/>
    <w:qFormat/>
    <w:uiPriority w:val="99"/>
    <w:pPr>
      <w:spacing w:line="560" w:lineRule="exact"/>
      <w:ind w:firstLine="200" w:firstLineChars="200"/>
    </w:pPr>
    <w:rPr>
      <w:rFonts w:ascii="楷体" w:hAnsi="楷体" w:eastAsia="楷体" w:cs="楷体"/>
      <w:b/>
      <w:bCs/>
      <w:sz w:val="32"/>
      <w:szCs w:val="32"/>
    </w:rPr>
  </w:style>
  <w:style w:type="paragraph" w:customStyle="1" w:styleId="23">
    <w:name w:val="List Paragraph1"/>
    <w:basedOn w:val="1"/>
    <w:qFormat/>
    <w:uiPriority w:val="99"/>
    <w:pPr>
      <w:ind w:firstLine="420" w:firstLineChars="200"/>
    </w:pPr>
  </w:style>
  <w:style w:type="paragraph" w:styleId="24">
    <w:name w:val="List Paragraph"/>
    <w:basedOn w:val="1"/>
    <w:qFormat/>
    <w:uiPriority w:val="99"/>
    <w:pPr>
      <w:ind w:firstLine="420" w:firstLineChars="200"/>
    </w:pPr>
  </w:style>
  <w:style w:type="character" w:customStyle="1" w:styleId="25">
    <w:name w:val="font51"/>
    <w:basedOn w:val="14"/>
    <w:qFormat/>
    <w:uiPriority w:val="0"/>
    <w:rPr>
      <w:rFonts w:hint="eastAsia" w:ascii="宋体" w:hAnsi="宋体" w:eastAsia="宋体" w:cs="宋体"/>
      <w:b/>
      <w:bCs/>
      <w:color w:val="000000"/>
      <w:sz w:val="20"/>
      <w:szCs w:val="20"/>
      <w:u w:val="none"/>
    </w:rPr>
  </w:style>
  <w:style w:type="character" w:customStyle="1" w:styleId="26">
    <w:name w:val="font41"/>
    <w:basedOn w:val="14"/>
    <w:qFormat/>
    <w:uiPriority w:val="0"/>
    <w:rPr>
      <w:rFonts w:hint="default" w:ascii="Times New Roman" w:hAnsi="Times New Roman" w:cs="Times New Roman"/>
      <w:color w:val="000000"/>
      <w:sz w:val="20"/>
      <w:szCs w:val="20"/>
      <w:u w:val="none"/>
    </w:rPr>
  </w:style>
  <w:style w:type="character" w:customStyle="1" w:styleId="27">
    <w:name w:val="font21"/>
    <w:basedOn w:val="14"/>
    <w:qFormat/>
    <w:uiPriority w:val="0"/>
    <w:rPr>
      <w:rFonts w:hint="eastAsia" w:ascii="宋体" w:hAnsi="宋体" w:eastAsia="宋体" w:cs="宋体"/>
      <w:color w:val="000000"/>
      <w:sz w:val="20"/>
      <w:szCs w:val="20"/>
      <w:u w:val="none"/>
    </w:rPr>
  </w:style>
  <w:style w:type="character" w:customStyle="1" w:styleId="28">
    <w:name w:val="font71"/>
    <w:basedOn w:val="14"/>
    <w:qFormat/>
    <w:uiPriority w:val="0"/>
    <w:rPr>
      <w:rFonts w:hint="eastAsia" w:ascii="宋体" w:hAnsi="宋体" w:eastAsia="宋体" w:cs="宋体"/>
      <w:color w:val="000000"/>
      <w:sz w:val="18"/>
      <w:szCs w:val="18"/>
      <w:u w:val="none"/>
    </w:rPr>
  </w:style>
  <w:style w:type="character" w:customStyle="1" w:styleId="29">
    <w:name w:val="font11"/>
    <w:basedOn w:val="14"/>
    <w:qFormat/>
    <w:uiPriority w:val="0"/>
    <w:rPr>
      <w:rFonts w:hint="default" w:ascii="Times New Roman" w:hAnsi="Times New Roman" w:cs="Times New Roman"/>
      <w:color w:val="000000"/>
      <w:sz w:val="18"/>
      <w:szCs w:val="18"/>
      <w:u w:val="none"/>
    </w:rPr>
  </w:style>
  <w:style w:type="character" w:customStyle="1" w:styleId="30">
    <w:name w:val="font31"/>
    <w:basedOn w:val="1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 CZJ</Company>
  <Pages>54</Pages>
  <Words>26355</Words>
  <Characters>29975</Characters>
  <Lines>0</Lines>
  <Paragraphs>0</Paragraphs>
  <TotalTime>61</TotalTime>
  <ScaleCrop>false</ScaleCrop>
  <LinksUpToDate>false</LinksUpToDate>
  <CharactersWithSpaces>30093</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2022-03-18T03:20:00Z</dcterms:created>
  <dc:creator>奋斗的小虫</dc:creator>
  <cp:lastModifiedBy>周艳</cp:lastModifiedBy>
  <cp:lastPrinted>2023-04-21T03:45:00Z</cp:lastPrinted>
  <dcterms:modified xsi:type="dcterms:W3CDTF">2024-01-24T07:31:39Z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8614493F8A03472F859EDCD2FD5E194C_13</vt:lpwstr>
  </property>
</Properties>
</file>