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cs="Times New Roman"/>
          <w:b/>
          <w:color w:val="auto"/>
          <w:sz w:val="44"/>
          <w:highlight w:val="none"/>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2022</w:t>
      </w:r>
      <w:r>
        <w:rPr>
          <w:rFonts w:hint="eastAsia" w:ascii="方正小标宋简体" w:hAnsi="方正小标宋简体" w:eastAsia="方正小标宋简体" w:cs="方正小标宋简体"/>
          <w:color w:val="auto"/>
          <w:sz w:val="52"/>
          <w:szCs w:val="52"/>
          <w:highlight w:val="none"/>
          <w:lang w:eastAsia="zh-CN"/>
        </w:rPr>
        <w:t>年度长沙市住房和城乡建设局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方正小标宋简体" w:eastAsia="方正小标宋简体" w:cs="方正小标宋简体"/>
          <w:color w:val="auto"/>
          <w:sz w:val="52"/>
          <w:szCs w:val="52"/>
          <w:highlight w:val="none"/>
          <w:lang w:val="en-US" w:eastAsia="zh-CN"/>
        </w:rPr>
        <w:t>部门</w:t>
      </w:r>
      <w:r>
        <w:rPr>
          <w:rFonts w:hint="eastAsia" w:ascii="方正小标宋简体" w:hAnsi="方正小标宋简体" w:eastAsia="方正小标宋简体" w:cs="方正小标宋简体"/>
          <w:color w:val="auto"/>
          <w:sz w:val="52"/>
          <w:szCs w:val="52"/>
          <w:highlight w:val="none"/>
          <w:lang w:eastAsia="zh-CN"/>
        </w:rPr>
        <w:t>整体支出绩效自评报告</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52"/>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ascii="黑体" w:hAnsi="黑体" w:eastAsia="黑体" w:cs="Times New Roman"/>
          <w:b/>
          <w:bCs/>
          <w:color w:val="auto"/>
          <w:sz w:val="32"/>
          <w:szCs w:val="32"/>
          <w:highlight w:val="none"/>
        </w:rPr>
      </w:pPr>
      <w:r>
        <w:rPr>
          <w:rFonts w:hint="eastAsia" w:ascii="黑体" w:hAnsi="黑体" w:eastAsia="黑体" w:cs="黑体"/>
          <w:color w:val="auto"/>
          <w:sz w:val="32"/>
          <w:szCs w:val="32"/>
          <w:highlight w:val="none"/>
        </w:rPr>
        <w:t>一、部门概况</w:t>
      </w:r>
    </w:p>
    <w:p>
      <w:pPr>
        <w:spacing w:line="240" w:lineRule="auto"/>
        <w:ind w:firstLine="643" w:firstLineChars="200"/>
        <w:jc w:val="left"/>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（一）部门基本情况</w:t>
      </w:r>
    </w:p>
    <w:p>
      <w:pPr>
        <w:spacing w:line="240" w:lineRule="auto"/>
        <w:ind w:firstLine="643" w:firstLineChars="200"/>
        <w:jc w:val="left"/>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1</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机构设置</w:t>
      </w:r>
    </w:p>
    <w:p>
      <w:pPr>
        <w:spacing w:line="240" w:lineRule="auto"/>
        <w:ind w:firstLine="640"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长沙市住房和城乡建设局（以下简称“市住建局”或“本局”）</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度</w:t>
      </w:r>
      <w:r>
        <w:rPr>
          <w:rFonts w:hint="eastAsia" w:ascii="Times New Roman" w:hAnsi="Times New Roman" w:eastAsia="仿宋_GB2312" w:cs="仿宋_GB2312"/>
          <w:color w:val="auto"/>
          <w:sz w:val="32"/>
          <w:szCs w:val="32"/>
          <w:highlight w:val="none"/>
        </w:rPr>
        <w:t>机关</w:t>
      </w:r>
      <w:r>
        <w:rPr>
          <w:rFonts w:hint="eastAsia" w:ascii="Times New Roman" w:hAnsi="Times New Roman" w:eastAsia="仿宋_GB2312" w:cs="Times New Roman"/>
          <w:color w:val="auto"/>
          <w:sz w:val="32"/>
          <w:szCs w:val="32"/>
          <w:highlight w:val="none"/>
        </w:rPr>
        <w:t>内设29个处室，包括办公室、研究室、房地产开发管理处、房地产市场监管处、物业监管处（长沙市物业管理办公室）、房屋安全管理处（长沙市房屋安全鉴定管理办公室）、建筑行业管理处、建设市场管理处、工程质量安全监管处（应急管理办公室）、勘察设计处、建筑节能与科学技术处、</w:t>
      </w:r>
      <w:r>
        <w:rPr>
          <w:rFonts w:hint="eastAsia" w:ascii="Times New Roman" w:hAnsi="Times New Roman" w:eastAsia="仿宋_GB2312" w:cs="Times New Roman"/>
          <w:color w:val="auto"/>
          <w:sz w:val="32"/>
          <w:szCs w:val="32"/>
          <w:highlight w:val="none"/>
          <w:lang w:eastAsia="zh-CN"/>
        </w:rPr>
        <w:t>总工室</w:t>
      </w:r>
      <w:r>
        <w:rPr>
          <w:rFonts w:hint="eastAsia" w:ascii="Times New Roman" w:hAnsi="Times New Roman" w:eastAsia="仿宋_GB2312" w:cs="Times New Roman"/>
          <w:color w:val="auto"/>
          <w:sz w:val="32"/>
          <w:szCs w:val="32"/>
          <w:highlight w:val="none"/>
        </w:rPr>
        <w:t>（市政基础设施建设项目前期办公室）、村镇建设处、城市地下管线管理处、机场建设协调处、供水管理处、排水管理处、行政审批和政务服务处、住房保障规划项目处、保障性住房指导监管处（长沙市住房制度改革领导小组办公室）、信息处、法制处、信访处、计划财务审计处、宣传教育处、组织人事处、高铁新城办事处、离退休人员管理服务处、机关党委。</w:t>
      </w:r>
    </w:p>
    <w:p>
      <w:pPr>
        <w:spacing w:line="240" w:lineRule="auto"/>
        <w:ind w:firstLine="643" w:firstLineChars="200"/>
        <w:jc w:val="left"/>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2</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职能职责</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贯彻落实有关住房和城乡建设的政策法规；拟订、审查住房和城乡建设行业地方性法规、规章草案；研究拟订住房和城乡建设发展战略、产业政策、改革方案和中长期规划及年度计划并组织实施；牵头组织推进新型城市化发展战略和行业诚信体系建设；参与包括专业规划在内的城市规划工作；指导和协调区、县（市）住房和城乡建设管理工作。</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指导、监管、协调城市建设资金投融资工作；负责管理城市维护建设专项资金；负责物业专项维修资金、新型墙体材料专项基金、城市基础设施建设配套费的征收管理；检查、监督、审计建设资金使用情况；参与全市城建重点工程资金计划的编制，负责市级政府投资市政工程项目设计概算审查。</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规范全市房地产市场秩序、监督管理房地产市场的责任。按规定权限管理全市房地产开发企业、物业管理企业的资质；负责商品房屋预售许可、销售管理；监督管理房地产开发市场、房地产交易市场、物业管理市场、房地产中介服务市场和租赁市场；负责指导监督城市房屋白蚁防治工作；负责危旧房屋的安全鉴定和行业管理工作；指导住宅产业化工作。</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城区供水、排水、节水、防涝排渍以及城镇污水处理、再生水和中水利用等职责；负责指导和监督以城区市政道路为载体的雨水管网、雨污合流管网以及除压力干管之外的污水收集管网的管理维护工作；承担乡镇污水处理厂及配套管网建设和运行管理。</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承担村镇建设管理和指导责任，参与村镇建设规划的编制，参与城乡一体化建设工作；指导全市城乡建设档案工作，负责本市建设项目的档案收集、保管和利用工作；承担全市农村危房改造管理。</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管理全市建筑市场的责任。负责全市建设工程招投标监管和备案工作；负责建筑施工、装饰装修、工程监理、造价咨询、招标代理、建设工程质量检测和混凝土生产等行业的监管；按照规定权限负责建筑业企业、工程监理企业等单位的资质和从业人员资格管理；负责建筑工程施工许可</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负责房屋建筑和市政基础设施工程公开招标项目的招标控制价备案、工程造价管理；指导建设工程有形建筑市场。</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全市建设工程质量、安全生产监督管理的责任。负责工程建设标准体系的贯彻执行，制定建设工程质量管理、安全生产的规章制度并监督执行；负责全市建设工程施工现场管理，牵头组织建设工程项目联合验收备案；负责建筑起重机械特种作业人员的操作资格认定。</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承担建设工程消防设计审查、验收及备案抽查工作。</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承担推进全市建筑节能、墙体材料革新和建设科技进步的责任；牵头推进绿色建筑、可再生能源建筑应用示范工作；负责全市城市雕塑管理工作。</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担监督管理全市建设工程勘察设计市场的责任。负责全市市政基础设施工程方案审查、政府投资的房屋建筑和市政基础设施工程初步设计审查，以及全市建设工程施工图设计文件审查备案；负责全市建设工程勘察设计行业的监督管理。</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建立和完善住房保障体系，研究拟订全市住房保障政策并组织实施，指导、监督全市住房保障工作；组织编制全市住房保障中长期发展规划，组织落实住房保障建设计划，负责保障性住房建设、分配、运营、管理的协调和监督工作；承担市住房改革领导小组办公室的日常工作，处理住房改革工作中的遗留问题。</w:t>
      </w:r>
    </w:p>
    <w:p>
      <w:pPr>
        <w:spacing w:line="240" w:lineRule="auto"/>
        <w:ind w:firstLine="640"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承办市委、市人民政府交办的其他事项。</w:t>
      </w:r>
    </w:p>
    <w:p>
      <w:pPr>
        <w:spacing w:line="240" w:lineRule="auto"/>
        <w:ind w:firstLine="643" w:firstLineChars="200"/>
        <w:jc w:val="left"/>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3</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在职人员情况</w:t>
      </w:r>
    </w:p>
    <w:p>
      <w:pPr>
        <w:spacing w:line="240" w:lineRule="auto"/>
        <w:ind w:firstLine="640" w:firstLineChars="200"/>
        <w:rPr>
          <w:rFonts w:ascii="Times New Roman" w:hAnsi="Times New Roman" w:eastAsia="仿宋_GB2312" w:cs="Times New Roman"/>
          <w:i/>
          <w:iCs/>
          <w:color w:val="auto"/>
          <w:sz w:val="32"/>
          <w:szCs w:val="32"/>
          <w:highlight w:val="none"/>
        </w:rPr>
      </w:pP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机关行政编制人数</w:t>
      </w:r>
      <w:r>
        <w:rPr>
          <w:rFonts w:ascii="Times New Roman" w:hAnsi="Times New Roman" w:eastAsia="仿宋_GB2312" w:cs="Times New Roman"/>
          <w:color w:val="auto"/>
          <w:sz w:val="32"/>
          <w:szCs w:val="32"/>
          <w:highlight w:val="none"/>
        </w:rPr>
        <w:t>150</w:t>
      </w:r>
      <w:r>
        <w:rPr>
          <w:rFonts w:hint="eastAsia" w:ascii="Times New Roman" w:hAnsi="Times New Roman" w:eastAsia="仿宋_GB2312" w:cs="仿宋_GB2312"/>
          <w:color w:val="auto"/>
          <w:sz w:val="32"/>
          <w:szCs w:val="32"/>
          <w:highlight w:val="none"/>
        </w:rPr>
        <w:t>人，</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ascii="Times New Roman" w:hAnsi="Times New Roman" w:eastAsia="仿宋_GB2312" w:cs="Times New Roman"/>
          <w:color w:val="auto"/>
          <w:sz w:val="32"/>
          <w:szCs w:val="32"/>
          <w:highlight w:val="none"/>
        </w:rPr>
        <w:t>12</w:t>
      </w:r>
      <w:r>
        <w:rPr>
          <w:rFonts w:hint="eastAsia" w:ascii="Times New Roman" w:hAnsi="Times New Roman" w:eastAsia="仿宋_GB2312" w:cs="仿宋_GB2312"/>
          <w:color w:val="auto"/>
          <w:sz w:val="32"/>
          <w:szCs w:val="32"/>
          <w:highlight w:val="none"/>
        </w:rPr>
        <w:t>月实有在职</w:t>
      </w:r>
      <w:r>
        <w:rPr>
          <w:rFonts w:hint="eastAsia" w:ascii="Times New Roman" w:hAnsi="Times New Roman" w:eastAsia="仿宋_GB2312" w:cs="仿宋_GB2312"/>
          <w:color w:val="auto"/>
          <w:sz w:val="32"/>
          <w:szCs w:val="32"/>
          <w:highlight w:val="none"/>
          <w:lang w:val="en-US" w:eastAsia="zh-CN"/>
        </w:rPr>
        <w:t>在编</w:t>
      </w:r>
      <w:r>
        <w:rPr>
          <w:rFonts w:hint="eastAsia" w:ascii="Times New Roman" w:hAnsi="Times New Roman" w:eastAsia="仿宋_GB2312" w:cs="仿宋_GB2312"/>
          <w:color w:val="auto"/>
          <w:sz w:val="32"/>
          <w:szCs w:val="32"/>
          <w:highlight w:val="none"/>
        </w:rPr>
        <w:t>人数</w:t>
      </w:r>
      <w:r>
        <w:rPr>
          <w:rFonts w:hint="eastAsia" w:ascii="Times New Roman" w:hAnsi="Times New Roman" w:eastAsia="仿宋_GB2312" w:cs="Times New Roman"/>
          <w:color w:val="auto"/>
          <w:sz w:val="32"/>
          <w:szCs w:val="32"/>
          <w:highlight w:val="none"/>
          <w:lang w:val="en-US" w:eastAsia="zh-CN"/>
        </w:rPr>
        <w:t>138</w:t>
      </w:r>
      <w:r>
        <w:rPr>
          <w:rFonts w:hint="eastAsia" w:ascii="Times New Roman" w:hAnsi="Times New Roman" w:eastAsia="仿宋_GB2312" w:cs="仿宋_GB2312"/>
          <w:color w:val="auto"/>
          <w:sz w:val="32"/>
          <w:szCs w:val="32"/>
          <w:highlight w:val="none"/>
        </w:rPr>
        <w:t>人，离休人员</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人。中高级政府雇员</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人，临聘人员</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7</w:t>
      </w:r>
      <w:r>
        <w:rPr>
          <w:rFonts w:hint="eastAsia" w:ascii="Times New Roman" w:hAnsi="Times New Roman" w:eastAsia="仿宋_GB2312" w:cs="仿宋_GB2312"/>
          <w:color w:val="auto"/>
          <w:sz w:val="32"/>
          <w:szCs w:val="32"/>
          <w:highlight w:val="none"/>
        </w:rPr>
        <w:t>人</w:t>
      </w:r>
      <w:r>
        <w:rPr>
          <w:rFonts w:hint="eastAsia" w:ascii="Times New Roman" w:hAnsi="Times New Roman" w:eastAsia="仿宋_GB2312" w:cs="仿宋_GB2312"/>
          <w:i/>
          <w:iCs/>
          <w:color w:val="auto"/>
          <w:sz w:val="32"/>
          <w:szCs w:val="32"/>
          <w:highlight w:val="none"/>
          <w:lang w:val="en-US" w:eastAsia="zh-CN"/>
        </w:rPr>
        <w:t>。</w:t>
      </w:r>
    </w:p>
    <w:p>
      <w:pPr>
        <w:spacing w:line="240" w:lineRule="auto"/>
        <w:ind w:firstLine="643" w:firstLineChars="200"/>
        <w:jc w:val="left"/>
        <w:rPr>
          <w:rFonts w:hint="eastAsia"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rPr>
        <w:t>4</w:t>
      </w:r>
      <w:r>
        <w:rPr>
          <w:rFonts w:hint="eastAsia"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rPr>
        <w:t>重点工作计划</w:t>
      </w:r>
    </w:p>
    <w:p>
      <w:pPr>
        <w:spacing w:line="240" w:lineRule="auto"/>
        <w:ind w:firstLine="643"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1</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精准助力“强省会”战略实施。</w:t>
      </w:r>
      <w:r>
        <w:rPr>
          <w:rFonts w:hint="eastAsia" w:ascii="华文宋体" w:hAnsi="华文宋体" w:eastAsia="仿宋_GB2312" w:cs="华文中宋"/>
          <w:color w:val="auto"/>
          <w:spacing w:val="0"/>
          <w:kern w:val="0"/>
          <w:sz w:val="32"/>
          <w:szCs w:val="32"/>
          <w:highlight w:val="none"/>
          <w:lang w:val="en-US" w:eastAsia="zh-CN" w:bidi="ar-SA"/>
        </w:rPr>
        <w:t>聚焦城市路网和轨道交通建设，着力推进</w:t>
      </w:r>
      <w:r>
        <w:rPr>
          <w:rFonts w:hint="eastAsia" w:ascii="Times New Roman" w:hAnsi="Times New Roman" w:eastAsia="仿宋_GB2312" w:cs="华文中宋"/>
          <w:color w:val="auto"/>
          <w:spacing w:val="0"/>
          <w:kern w:val="0"/>
          <w:sz w:val="32"/>
          <w:szCs w:val="32"/>
          <w:highlight w:val="none"/>
          <w:lang w:val="en-US" w:eastAsia="zh-CN" w:bidi="ar-SA"/>
        </w:rPr>
        <w:t>4</w:t>
      </w:r>
      <w:r>
        <w:rPr>
          <w:rFonts w:hint="eastAsia" w:ascii="华文宋体" w:hAnsi="华文宋体" w:eastAsia="仿宋_GB2312" w:cs="华文中宋"/>
          <w:color w:val="auto"/>
          <w:spacing w:val="0"/>
          <w:kern w:val="0"/>
          <w:sz w:val="32"/>
          <w:szCs w:val="32"/>
          <w:highlight w:val="none"/>
          <w:lang w:val="en-US" w:eastAsia="zh-CN" w:bidi="ar-SA"/>
        </w:rPr>
        <w:t>条过江通道建设，全面推进劳动路东延、湘府路东延、机场中轴大道等黄花机场配套道路建设，围绕高铁西城等重点片区配套重大市政项目。稳步推进轨道交通</w:t>
      </w:r>
      <w:r>
        <w:rPr>
          <w:rFonts w:hint="eastAsia" w:ascii="Times New Roman" w:hAnsi="Times New Roman" w:eastAsia="仿宋_GB2312" w:cs="华文中宋"/>
          <w:color w:val="auto"/>
          <w:spacing w:val="0"/>
          <w:kern w:val="0"/>
          <w:sz w:val="32"/>
          <w:szCs w:val="32"/>
          <w:highlight w:val="none"/>
          <w:lang w:val="en-US" w:eastAsia="zh-CN" w:bidi="ar-SA"/>
        </w:rPr>
        <w:t>7</w:t>
      </w:r>
      <w:r>
        <w:rPr>
          <w:rFonts w:hint="eastAsia" w:ascii="华文宋体" w:hAnsi="华文宋体" w:eastAsia="仿宋_GB2312" w:cs="华文中宋"/>
          <w:color w:val="auto"/>
          <w:spacing w:val="0"/>
          <w:kern w:val="0"/>
          <w:sz w:val="32"/>
          <w:szCs w:val="32"/>
          <w:highlight w:val="none"/>
          <w:lang w:val="en-US" w:eastAsia="zh-CN" w:bidi="ar-SA"/>
        </w:rPr>
        <w:t>号线、</w:t>
      </w:r>
      <w:r>
        <w:rPr>
          <w:rFonts w:hint="eastAsia" w:ascii="Times New Roman" w:hAnsi="Times New Roman" w:eastAsia="仿宋_GB2312" w:cs="华文中宋"/>
          <w:color w:val="auto"/>
          <w:spacing w:val="0"/>
          <w:kern w:val="0"/>
          <w:sz w:val="32"/>
          <w:szCs w:val="32"/>
          <w:highlight w:val="none"/>
          <w:lang w:val="en-US" w:eastAsia="zh-CN" w:bidi="ar-SA"/>
        </w:rPr>
        <w:t>1</w:t>
      </w:r>
      <w:r>
        <w:rPr>
          <w:rFonts w:hint="eastAsia" w:ascii="华文宋体" w:hAnsi="华文宋体" w:eastAsia="仿宋_GB2312" w:cs="华文中宋"/>
          <w:color w:val="auto"/>
          <w:spacing w:val="0"/>
          <w:kern w:val="0"/>
          <w:sz w:val="32"/>
          <w:szCs w:val="32"/>
          <w:highlight w:val="none"/>
          <w:lang w:val="en-US" w:eastAsia="zh-CN" w:bidi="ar-SA"/>
        </w:rPr>
        <w:t>号线北延一期、</w:t>
      </w:r>
      <w:r>
        <w:rPr>
          <w:rFonts w:hint="eastAsia" w:ascii="Times New Roman" w:hAnsi="Times New Roman" w:eastAsia="仿宋_GB2312" w:cs="华文中宋"/>
          <w:color w:val="auto"/>
          <w:spacing w:val="0"/>
          <w:kern w:val="0"/>
          <w:sz w:val="32"/>
          <w:szCs w:val="32"/>
          <w:highlight w:val="none"/>
          <w:lang w:val="en-US" w:eastAsia="zh-CN" w:bidi="ar-SA"/>
        </w:rPr>
        <w:t>2</w:t>
      </w:r>
      <w:r>
        <w:rPr>
          <w:rFonts w:hint="eastAsia" w:ascii="华文宋体" w:hAnsi="华文宋体" w:eastAsia="仿宋_GB2312" w:cs="华文中宋"/>
          <w:color w:val="auto"/>
          <w:spacing w:val="0"/>
          <w:kern w:val="0"/>
          <w:sz w:val="32"/>
          <w:szCs w:val="32"/>
          <w:highlight w:val="none"/>
          <w:lang w:val="en-US" w:eastAsia="zh-CN" w:bidi="ar-SA"/>
        </w:rPr>
        <w:t>号线西延二期，长株潭城际轨道交通西环线等建设，力争年内启动长宁磁浮快线，推动长浏快线建设，同步布局好配套设施。打通城区断头路、瓶颈路</w:t>
      </w:r>
      <w:r>
        <w:rPr>
          <w:rFonts w:hint="eastAsia" w:ascii="Times New Roman" w:hAnsi="Times New Roman" w:eastAsia="仿宋_GB2312" w:cs="华文中宋"/>
          <w:color w:val="auto"/>
          <w:spacing w:val="0"/>
          <w:kern w:val="0"/>
          <w:sz w:val="32"/>
          <w:szCs w:val="32"/>
          <w:highlight w:val="none"/>
          <w:lang w:val="en-US" w:eastAsia="zh-CN" w:bidi="ar-SA"/>
        </w:rPr>
        <w:t>10</w:t>
      </w:r>
      <w:r>
        <w:rPr>
          <w:rFonts w:hint="eastAsia" w:ascii="华文宋体" w:hAnsi="华文宋体" w:eastAsia="仿宋_GB2312" w:cs="华文中宋"/>
          <w:color w:val="auto"/>
          <w:spacing w:val="0"/>
          <w:kern w:val="0"/>
          <w:sz w:val="32"/>
          <w:szCs w:val="32"/>
          <w:highlight w:val="none"/>
          <w:lang w:val="en-US" w:eastAsia="zh-CN" w:bidi="ar-SA"/>
        </w:rPr>
        <w:t>条。系统推进第二轮中央环保督察反馈城区水环境问题整改，大力实施城区市政管网雨污分流工程，推进三大类、共</w:t>
      </w:r>
      <w:r>
        <w:rPr>
          <w:rFonts w:hint="eastAsia" w:ascii="Times New Roman" w:hAnsi="Times New Roman" w:eastAsia="仿宋_GB2312" w:cs="华文中宋"/>
          <w:color w:val="auto"/>
          <w:spacing w:val="0"/>
          <w:kern w:val="0"/>
          <w:sz w:val="32"/>
          <w:szCs w:val="32"/>
          <w:highlight w:val="none"/>
          <w:lang w:val="en-US" w:eastAsia="zh-CN" w:bidi="ar-SA"/>
        </w:rPr>
        <w:t>32</w:t>
      </w:r>
      <w:r>
        <w:rPr>
          <w:rFonts w:hint="eastAsia" w:ascii="华文宋体" w:hAnsi="华文宋体" w:eastAsia="仿宋_GB2312" w:cs="华文中宋"/>
          <w:color w:val="auto"/>
          <w:spacing w:val="0"/>
          <w:kern w:val="0"/>
          <w:sz w:val="32"/>
          <w:szCs w:val="32"/>
          <w:highlight w:val="none"/>
          <w:lang w:val="en-US" w:eastAsia="zh-CN" w:bidi="ar-SA"/>
        </w:rPr>
        <w:t>个、总投资</w:t>
      </w:r>
      <w:r>
        <w:rPr>
          <w:rFonts w:hint="eastAsia" w:ascii="Times New Roman" w:hAnsi="Times New Roman" w:eastAsia="仿宋_GB2312" w:cs="华文中宋"/>
          <w:color w:val="auto"/>
          <w:spacing w:val="0"/>
          <w:kern w:val="0"/>
          <w:sz w:val="32"/>
          <w:szCs w:val="32"/>
          <w:highlight w:val="none"/>
          <w:lang w:val="en-US" w:eastAsia="zh-CN" w:bidi="ar-SA"/>
        </w:rPr>
        <w:t>261</w:t>
      </w:r>
      <w:r>
        <w:rPr>
          <w:rFonts w:hint="eastAsia" w:ascii="华文宋体" w:hAnsi="华文宋体" w:eastAsia="仿宋_GB2312" w:cs="华文中宋"/>
          <w:color w:val="auto"/>
          <w:spacing w:val="0"/>
          <w:kern w:val="0"/>
          <w:sz w:val="32"/>
          <w:szCs w:val="32"/>
          <w:highlight w:val="none"/>
          <w:lang w:val="en-US" w:eastAsia="zh-CN" w:bidi="ar-SA"/>
        </w:rPr>
        <w:t>亿的项目建设，突出小西门泵站、赵洲港泵站、石碑大港排口、敢胜垸污水厂</w:t>
      </w:r>
      <w:r>
        <w:rPr>
          <w:rFonts w:hint="eastAsia" w:ascii="Times New Roman" w:hAnsi="Times New Roman" w:eastAsia="仿宋_GB2312" w:cs="华文中宋"/>
          <w:color w:val="auto"/>
          <w:spacing w:val="0"/>
          <w:kern w:val="0"/>
          <w:sz w:val="32"/>
          <w:szCs w:val="32"/>
          <w:highlight w:val="none"/>
          <w:lang w:val="en-US" w:eastAsia="zh-CN" w:bidi="ar-SA"/>
        </w:rPr>
        <w:t>4</w:t>
      </w:r>
      <w:r>
        <w:rPr>
          <w:rFonts w:hint="eastAsia" w:ascii="华文宋体" w:hAnsi="华文宋体" w:eastAsia="仿宋_GB2312" w:cs="华文中宋"/>
          <w:color w:val="auto"/>
          <w:spacing w:val="0"/>
          <w:kern w:val="0"/>
          <w:sz w:val="32"/>
          <w:szCs w:val="32"/>
          <w:highlight w:val="none"/>
          <w:lang w:val="en-US" w:eastAsia="zh-CN" w:bidi="ar-SA"/>
        </w:rPr>
        <w:t>个典型问题整改，确保各类项目建设领先时间节点。</w:t>
      </w:r>
    </w:p>
    <w:p>
      <w:pPr>
        <w:pStyle w:val="18"/>
        <w:ind w:firstLine="643" w:firstLineChars="200"/>
        <w:jc w:val="both"/>
        <w:rPr>
          <w:rFonts w:ascii="Times New Roman" w:hAnsi="Times New Roman" w:eastAsia="仿宋_GB2312"/>
          <w:color w:val="auto"/>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2</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夯实建筑业高质量发展基础。</w:t>
      </w:r>
      <w:r>
        <w:rPr>
          <w:rFonts w:hint="eastAsia" w:ascii="Times New Roman" w:hAnsi="Times New Roman" w:eastAsia="仿宋_GB2312" w:cs="仿宋_GB2312"/>
          <w:color w:val="auto"/>
          <w:sz w:val="32"/>
          <w:szCs w:val="32"/>
          <w:highlight w:val="none"/>
          <w:lang w:val="en-US" w:eastAsia="zh-CN"/>
        </w:rPr>
        <w:t>出台住建领域碳达峰行动方案，促进建筑业工业化、数字化、智能化高质量发展，推动装配式建筑产业建链补链延链强链，壮大产业集群，加快湖南建工集团六建装配式产业园建设，进一步凸显长沙装配式建造优势。实现城镇新开工装配式建筑面积占比35%以上。围绕做大做强引导企业创新发展，深入推进建筑产业发展“千百十”工程，扶持头部建筑企业发展壮大，培育总产值100亿以上企业达到10家，助力中小企业向“专精特新”发展。鼓励建设单位进行全过程工程咨询发包，扩展BIM技术在工程项目全生命周期的应用。全年力争实现建筑业总产值增长8%以上。采取日常巡查和专项稽查结合的方式打击“三包一挂”。对建设市场主体开展全流程、全要素信用监管，落实信用评价全覆盖。全面推行“双随机、一公开”检查方式和“互联网+监管”模式，构建公开公平公正的市场环境。</w:t>
      </w:r>
    </w:p>
    <w:p>
      <w:pPr>
        <w:pStyle w:val="4"/>
        <w:spacing w:after="0" w:line="240" w:lineRule="auto"/>
        <w:ind w:firstLine="643" w:firstLineChars="200"/>
        <w:jc w:val="both"/>
        <w:rPr>
          <w:rFonts w:ascii="Times New Roman" w:hAnsi="Times New Roman" w:eastAsia="仿宋_GB2312" w:cs="Times New Roman"/>
          <w:color w:val="auto"/>
          <w:highlight w:val="none"/>
        </w:rPr>
      </w:pPr>
      <w:r>
        <w:rPr>
          <w:rFonts w:hint="eastAsia" w:ascii="Times New Roman" w:hAnsi="Times New Roman" w:eastAsia="仿宋_GB2312" w:cs="仿宋_GB2312"/>
          <w:b/>
          <w:bCs/>
          <w:color w:val="auto"/>
          <w:sz w:val="32"/>
          <w:szCs w:val="32"/>
          <w:highlight w:val="none"/>
          <w:lang w:val="en-US" w:eastAsia="zh-CN"/>
        </w:rPr>
        <w:t>（3）促进房地产业健康发展和良性循环。</w:t>
      </w:r>
      <w:r>
        <w:rPr>
          <w:rFonts w:hint="eastAsia" w:ascii="Times New Roman" w:hAnsi="Times New Roman" w:eastAsia="仿宋_GB2312" w:cs="仿宋_GB2312"/>
          <w:color w:val="auto"/>
          <w:sz w:val="32"/>
          <w:szCs w:val="32"/>
          <w:highlight w:val="none"/>
          <w:lang w:val="en-US" w:eastAsia="zh-CN"/>
        </w:rPr>
        <w:t>围绕人、房、地、钱四位一体的联动机制完善长效方案，根据刚需、改善型住房需求特征优化政策，试行“限房价、控地价、竞品质”土地出让方式，满足群众合理购房需求。坚决有力处置个别房地产企业房地产项目逾期交付风险，实现“保交楼、保民生、保稳定”目标。完善住房领域“一网通办”平台，提高涉房事项信息化管理水平。推进住房供给侧结构性改革。加快发展保障性租赁住房，围绕园区、城区和重大片区重点布局，全年筹集不少于2.99万套。开工建设公租房336套，发放租赁补贴4632户。培育发展住房租赁市场，推进住房租赁监管服务平台建设，全面完成国家住房租赁市场发展试点任务，形成可复制可推广经验。</w:t>
      </w:r>
    </w:p>
    <w:p>
      <w:pPr>
        <w:spacing w:line="240" w:lineRule="auto"/>
        <w:ind w:firstLine="643" w:firstLineChars="200"/>
        <w:jc w:val="both"/>
        <w:rPr>
          <w:rFonts w:ascii="Times New Roman" w:hAnsi="Times New Roman" w:eastAsia="仿宋_GB2312"/>
          <w:color w:val="auto"/>
          <w:sz w:val="32"/>
          <w:szCs w:val="32"/>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4</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全心全意为人民服务。</w:t>
      </w:r>
      <w:r>
        <w:rPr>
          <w:rFonts w:hint="eastAsia" w:ascii="Times New Roman" w:hAnsi="Times New Roman" w:eastAsia="仿宋_GB2312" w:cs="仿宋_GB2312"/>
          <w:color w:val="auto"/>
          <w:sz w:val="32"/>
          <w:szCs w:val="32"/>
          <w:highlight w:val="none"/>
          <w:lang w:val="en-US" w:eastAsia="zh-CN"/>
        </w:rPr>
        <w:t>加快构建以小区党支部为龙头，业委会、物业服务企业等多方参与的小区治理格局，助推小区制度完善、智慧增效、治理升级</w:t>
      </w:r>
      <w:r>
        <w:rPr>
          <w:rFonts w:hint="eastAsia" w:ascii="Times New Roman" w:hAnsi="Times New Roman" w:eastAsia="仿宋_GB2312" w:cs="仿宋_GB2312"/>
          <w:color w:val="auto"/>
          <w:sz w:val="32"/>
          <w:szCs w:val="32"/>
          <w:highlight w:val="none"/>
          <w:lang w:val="en" w:eastAsia="zh-CN"/>
        </w:rPr>
        <w:t>。</w:t>
      </w:r>
      <w:r>
        <w:rPr>
          <w:rFonts w:hint="eastAsia" w:ascii="Times New Roman" w:hAnsi="Times New Roman" w:eastAsia="仿宋_GB2312" w:cs="仿宋_GB2312"/>
          <w:color w:val="auto"/>
          <w:sz w:val="32"/>
          <w:szCs w:val="32"/>
          <w:highlight w:val="none"/>
          <w:lang w:val="en-US" w:eastAsia="zh-CN"/>
        </w:rPr>
        <w:t>推动既有小区品质稳步提升，全市计划完成既有小区品质提升项目200个，各区县市（含高新区）至少完成20个。持续推进既有住宅加装电梯项目，确保完成年度既有多层住宅增设电梯950台任务。在全市开展增设电梯项目质量安全监督检查行动和项目开工竣工督促推进行动，落实电梯标准化加装，全流程跟踪，规范化运维。全力创建国家节水型城市。加快雷锋水厂原水管网建设，完成城区住宅小区二次供水设施户表改造不少于3万户。新建住宅项目二次供水设施全面按照“省标”落地，同步推进城市管道直饮水系统建设和改造试点。</w:t>
      </w:r>
    </w:p>
    <w:p>
      <w:pPr>
        <w:spacing w:line="240" w:lineRule="auto"/>
        <w:ind w:firstLine="643" w:firstLineChars="200"/>
        <w:jc w:val="both"/>
        <w:rPr>
          <w:rFonts w:hint="eastAsia" w:ascii="Times New Roman" w:hAnsi="Times New Roman" w:eastAsia="仿宋_GB2312" w:cs="仿宋_GB2312"/>
          <w:color w:val="auto"/>
          <w:sz w:val="32"/>
          <w:szCs w:val="32"/>
          <w:highlight w:val="none"/>
          <w:lang w:val="en"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5</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切实保障城市安全运行。</w:t>
      </w:r>
      <w:r>
        <w:rPr>
          <w:rFonts w:hint="eastAsia" w:ascii="Times New Roman" w:hAnsi="Times New Roman" w:eastAsia="仿宋_GB2312" w:cs="仿宋_GB2312"/>
          <w:color w:val="auto"/>
          <w:sz w:val="32"/>
          <w:szCs w:val="32"/>
          <w:highlight w:val="none"/>
          <w:lang w:val="en-US" w:eastAsia="zh-CN"/>
        </w:rPr>
        <w:t>健全建筑工程质量安全保障体系，持续抓好建筑施工领域安全生产专项整治三年行动，优化升级建设工地“差别化”管理模式。强化消防设计审查验收全过程监管，进一步完善联合验收机制。狠抓城区排水防涝工作。</w:t>
      </w:r>
      <w:r>
        <w:rPr>
          <w:rFonts w:hint="eastAsia" w:ascii="Times New Roman" w:hAnsi="Times New Roman" w:eastAsia="仿宋_GB2312" w:cs="仿宋_GB2312"/>
          <w:color w:val="auto"/>
          <w:sz w:val="32"/>
          <w:szCs w:val="32"/>
          <w:highlight w:val="none"/>
        </w:rPr>
        <w:t>深入</w:t>
      </w:r>
      <w:r>
        <w:rPr>
          <w:rFonts w:hint="eastAsia" w:ascii="Times New Roman" w:hAnsi="Times New Roman" w:eastAsia="仿宋_GB2312" w:cs="仿宋_GB2312"/>
          <w:color w:val="auto"/>
          <w:sz w:val="32"/>
          <w:szCs w:val="32"/>
          <w:highlight w:val="none"/>
          <w:lang w:eastAsia="zh-CN"/>
        </w:rPr>
        <w:t>借鉴</w:t>
      </w:r>
      <w:r>
        <w:rPr>
          <w:rFonts w:hint="eastAsia" w:ascii="Times New Roman" w:hAnsi="Times New Roman" w:eastAsia="仿宋_GB2312" w:cs="仿宋_GB2312"/>
          <w:color w:val="auto"/>
          <w:sz w:val="32"/>
          <w:szCs w:val="32"/>
          <w:highlight w:val="none"/>
        </w:rPr>
        <w:t>河南郑州</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7·20</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特大暴雨灾害事件</w:t>
      </w:r>
      <w:r>
        <w:rPr>
          <w:rFonts w:hint="eastAsia" w:ascii="Times New Roman" w:hAnsi="Times New Roman" w:eastAsia="仿宋_GB2312" w:cs="仿宋_GB2312"/>
          <w:color w:val="auto"/>
          <w:sz w:val="32"/>
          <w:szCs w:val="32"/>
          <w:highlight w:val="none"/>
          <w:lang w:eastAsia="zh-CN"/>
        </w:rPr>
        <w:t>教训</w:t>
      </w:r>
      <w:r>
        <w:rPr>
          <w:rFonts w:hint="eastAsia" w:ascii="Times New Roman" w:hAnsi="Times New Roman" w:eastAsia="仿宋_GB2312" w:cs="仿宋_GB2312"/>
          <w:color w:val="auto"/>
          <w:sz w:val="32"/>
          <w:szCs w:val="32"/>
          <w:highlight w:val="none"/>
        </w:rPr>
        <w:t>，抓细抓实各项防涝措施</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加快城区排水工程建设，狠抓天心区南湖路隧道水系、新开铺风险点的整改，力争完成岳麓区茶子山路、地铁六号线桐梓坡路口、雨花区先锋路口渍水点整改任务。加强房屋建筑和市政基础设施风险普查成果的运用，提升应对自然灾害风险能力。进一步完善城区危房账册，加强C、D级危房监测管理，督促责任部门全面加强整改。推进既有建筑外立面整治。进一步做好新建房屋的白蚁预防工作，扎实开展白蚁检查与灭治服务。</w:t>
      </w:r>
    </w:p>
    <w:p>
      <w:pPr>
        <w:spacing w:line="240" w:lineRule="auto"/>
        <w:ind w:firstLine="643" w:firstLineChars="200"/>
        <w:jc w:val="both"/>
        <w:rPr>
          <w:rFonts w:ascii="Times New Roman" w:hAnsi="Times New Roman" w:eastAsia="仿宋_GB2312"/>
          <w:color w:val="auto"/>
          <w:sz w:val="32"/>
          <w:szCs w:val="32"/>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6</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不断增强系统治理能力。</w:t>
      </w:r>
      <w:r>
        <w:rPr>
          <w:rFonts w:hint="eastAsia" w:ascii="Times New Roman" w:hAnsi="Times New Roman" w:eastAsia="仿宋_GB2312" w:cs="仿宋_GB2312"/>
          <w:color w:val="auto"/>
          <w:sz w:val="32"/>
          <w:szCs w:val="32"/>
          <w:highlight w:val="none"/>
          <w:lang w:val="en-US" w:eastAsia="zh-CN"/>
        </w:rPr>
        <w:t>开展工程建设项目审批制度改革3.0版升级工作。推进局属企业建安公司改革转型，探索现代企业治理模式，构建新型产权关系。借鉴先进城市成功经验，落实供排水管理、绿色建筑、海绵城市、装配式建筑等新技术新标准，尽快形成适应长沙实际情况，与品质城市建设相匹配的建设标准体系，从根本上保障建设项目的品质。在加快智慧建设上提效率。统筹推进“新城建”建设，实施智能化市政基础设施建设和改造。启动智慧住建一体化平台、城市生命线管理平台、城市信息模型（CIM）基础平台等平台建设。持续推进建设工程智慧监管、排水与污水智慧处理、住房租赁监管服务、城建档案业务管理等信息化系统建设，加强城建档案数据成果共享利用，加快智慧社区管理平台前期研究。</w:t>
      </w:r>
    </w:p>
    <w:p>
      <w:pPr>
        <w:pStyle w:val="12"/>
        <w:keepNext w:val="0"/>
        <w:keepLines w:val="0"/>
        <w:pageBreakBefore w:val="0"/>
        <w:widowControl w:val="0"/>
        <w:numPr>
          <w:ilvl w:val="0"/>
          <w:numId w:val="0"/>
        </w:numPr>
        <w:kinsoku/>
        <w:wordWrap/>
        <w:overflowPunct w:val="0"/>
        <w:topLinePunct w:val="0"/>
        <w:autoSpaceDE/>
        <w:autoSpaceDN/>
        <w:bidi w:val="0"/>
        <w:adjustRightInd/>
        <w:snapToGrid/>
        <w:spacing w:after="0" w:line="240" w:lineRule="auto"/>
        <w:ind w:firstLine="643" w:firstLineChars="200"/>
        <w:jc w:val="both"/>
        <w:textAlignment w:val="auto"/>
        <w:outlineLvl w:val="9"/>
        <w:rPr>
          <w:rFonts w:ascii="Times New Roman" w:hAnsi="Times New Roman" w:eastAsia="仿宋_GB2312"/>
          <w:color w:val="auto"/>
          <w:sz w:val="32"/>
          <w:szCs w:val="32"/>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7</w:t>
      </w:r>
      <w:r>
        <w:rPr>
          <w:rFonts w:hint="eastAsia" w:ascii="Times New Roman" w:hAnsi="Times New Roman" w:eastAsia="仿宋_GB2312" w:cs="仿宋_GB2312"/>
          <w:b/>
          <w:bCs/>
          <w:color w:val="auto"/>
          <w:sz w:val="32"/>
          <w:szCs w:val="32"/>
          <w:highlight w:val="none"/>
          <w:lang w:eastAsia="zh-CN"/>
        </w:rPr>
        <w:t>）</w:t>
      </w:r>
      <w:r>
        <w:rPr>
          <w:rFonts w:hint="eastAsia" w:ascii="华文宋体" w:hAnsi="华文宋体" w:eastAsia="仿宋_GB2312" w:cs="华文中宋"/>
          <w:b/>
          <w:bCs/>
          <w:color w:val="auto"/>
          <w:spacing w:val="6"/>
          <w:kern w:val="2"/>
          <w:sz w:val="32"/>
          <w:szCs w:val="32"/>
          <w:highlight w:val="none"/>
          <w:u w:val="none"/>
          <w:lang w:val="en-US" w:eastAsia="zh-CN" w:bidi="ar"/>
        </w:rPr>
        <w:t>推动村镇建设提质增效。</w:t>
      </w:r>
      <w:r>
        <w:rPr>
          <w:rFonts w:hint="eastAsia" w:ascii="华文宋体" w:hAnsi="华文宋体" w:eastAsia="仿宋_GB2312" w:cs="华文中宋"/>
          <w:color w:val="auto"/>
          <w:spacing w:val="6"/>
          <w:kern w:val="2"/>
          <w:sz w:val="32"/>
          <w:szCs w:val="32"/>
          <w:highlight w:val="none"/>
          <w:u w:val="none"/>
          <w:lang w:val="en-US" w:eastAsia="zh-CN" w:bidi="ar"/>
        </w:rPr>
        <w:t>以新理念推进村镇建设。以农房和村庄建设现代化为着力点，加快建设美丽宜居</w:t>
      </w:r>
      <w:r>
        <w:rPr>
          <w:rFonts w:hint="default" w:ascii="Times New Roman" w:hAnsi="Times New Roman" w:eastAsia="仿宋_GB2312" w:cs="Times New Roman"/>
          <w:color w:val="auto"/>
          <w:spacing w:val="6"/>
          <w:kern w:val="2"/>
          <w:sz w:val="32"/>
          <w:szCs w:val="32"/>
          <w:highlight w:val="none"/>
          <w:u w:val="none"/>
          <w:lang w:val="en-US" w:eastAsia="zh-CN" w:bidi="ar"/>
        </w:rPr>
        <w:t>村镇。继续巩固具有影响力和知名度的特色小城镇19个，遴选培育第二批市级特色小村庄。以高标准治理乡镇污水。推进乡镇污水处理厂提标提档，高效建设和运维污水处理设施。完善乡镇污水配套管网60公里以上，提高乡镇污水收集率，提升12座乡镇污水处理厂进水COD浓度至60毫克/升。推进设施设备信息化、智能化建设，完成35座乡镇污水处理厂在线监测和视频监控设备安装。以严排查消除农房隐患。将农村低收入群体动态新增危房纳入年度改造计划，持续</w:t>
      </w:r>
      <w:r>
        <w:rPr>
          <w:rFonts w:hint="eastAsia" w:ascii="华文宋体" w:hAnsi="华文宋体" w:eastAsia="仿宋_GB2312" w:cs="华文中宋"/>
          <w:color w:val="auto"/>
          <w:spacing w:val="6"/>
          <w:kern w:val="2"/>
          <w:sz w:val="32"/>
          <w:szCs w:val="32"/>
          <w:highlight w:val="none"/>
          <w:u w:val="none"/>
          <w:lang w:val="en-US" w:eastAsia="zh-CN" w:bidi="ar"/>
        </w:rPr>
        <w:t>推动农村危房动态清零。深入开展农房安全问题排查整治，压实属地责任，及时消除安全隐患。出台农村住房质量安全监督管理、竣工验收管理等办法，科学指导农房建管工作。</w:t>
      </w:r>
    </w:p>
    <w:p>
      <w:pPr>
        <w:spacing w:line="240" w:lineRule="auto"/>
        <w:ind w:firstLine="643" w:firstLineChars="200"/>
        <w:jc w:val="both"/>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8</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全面加强党的建设。</w:t>
      </w:r>
      <w:r>
        <w:rPr>
          <w:rFonts w:hint="eastAsia" w:ascii="仿宋_GB2312" w:hAnsi="仿宋_GB2312" w:eastAsia="仿宋_GB2312" w:cs="仿宋_GB2312"/>
          <w:b w:val="0"/>
          <w:bCs w:val="0"/>
          <w:color w:val="auto"/>
          <w:spacing w:val="-3"/>
          <w:kern w:val="2"/>
          <w:sz w:val="32"/>
          <w:szCs w:val="32"/>
          <w:highlight w:val="none"/>
          <w:lang w:val="en-US" w:eastAsia="zh-CN" w:bidi="ar-SA"/>
        </w:rPr>
        <w:t>始终把政治建设摆在首位，坚持以高质量党建推动高质量发展，</w:t>
      </w:r>
      <w:r>
        <w:rPr>
          <w:rFonts w:hint="eastAsia" w:ascii="华文宋体" w:hAnsi="华文宋体" w:eastAsia="仿宋_GB2312" w:cs="华文中宋"/>
          <w:color w:val="auto"/>
          <w:spacing w:val="-3"/>
          <w:sz w:val="32"/>
          <w:szCs w:val="32"/>
          <w:highlight w:val="none"/>
          <w:lang w:val="en-US" w:eastAsia="zh-CN"/>
        </w:rPr>
        <w:t>紧紧围绕迎接、宣传、贯彻党的二十大这条主线谋划推进住建宣传思想工作，为党的二十大召开营造浓厚氛围，坚持把推进干部轮岗交流与防范重点岗位风险、激发干部担当作为相结合，树牢“以人民为中心”的发展思想，深入推进“清廉长沙”建设，以建设清廉机关为载体，全面改善党风政风、规范权力运行、推进廉洁自律，以强有力的组织保障扛牢管党治党政治责任。</w:t>
      </w:r>
    </w:p>
    <w:p>
      <w:pPr>
        <w:spacing w:line="240" w:lineRule="auto"/>
        <w:ind w:firstLine="643" w:firstLineChars="200"/>
        <w:jc w:val="left"/>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（二）部门整体支出规模、使用方向和主要内容、涉及范围等</w:t>
      </w:r>
    </w:p>
    <w:p>
      <w:pPr>
        <w:keepNext w:val="0"/>
        <w:keepLines w:val="0"/>
        <w:pageBreakBefore w:val="0"/>
        <w:widowControl/>
        <w:kinsoku/>
        <w:wordWrap/>
        <w:overflowPunct/>
        <w:topLinePunct w:val="0"/>
        <w:autoSpaceDE/>
        <w:autoSpaceDN/>
        <w:bidi w:val="0"/>
        <w:adjustRightInd/>
        <w:snapToGrid/>
        <w:spacing w:line="240" w:lineRule="auto"/>
        <w:ind w:left="617" w:leftChars="294" w:firstLine="0" w:firstLineChars="0"/>
        <w:textAlignment w:val="auto"/>
        <w:rPr>
          <w:rFonts w:hint="eastAsia" w:ascii="Times New Roman" w:hAnsi="Times New Roman" w:eastAsia="仿宋_GB2312" w:cs="Times New Roman"/>
          <w:b/>
          <w:bCs/>
          <w:color w:val="auto"/>
          <w:sz w:val="32"/>
          <w:szCs w:val="32"/>
          <w:highlight w:val="none"/>
          <w:shd w:val="clear" w:color="auto" w:fill="FFFFFF"/>
          <w:lang w:val="en-US" w:eastAsia="zh-CN"/>
        </w:rPr>
      </w:pPr>
      <w:r>
        <w:rPr>
          <w:rFonts w:hint="eastAsia" w:ascii="Times New Roman" w:hAnsi="Times New Roman" w:eastAsia="仿宋_GB2312" w:cs="Times New Roman"/>
          <w:b/>
          <w:bCs/>
          <w:color w:val="auto"/>
          <w:sz w:val="32"/>
          <w:szCs w:val="32"/>
          <w:highlight w:val="none"/>
          <w:shd w:val="clear" w:color="auto" w:fill="FFFFFF"/>
          <w:lang w:val="en-US" w:eastAsia="zh-CN"/>
        </w:rPr>
        <w:t>1.部门整体支出规模</w:t>
      </w:r>
    </w:p>
    <w:p>
      <w:pPr>
        <w:spacing w:line="240" w:lineRule="auto"/>
        <w:ind w:firstLine="640" w:firstLineChars="200"/>
        <w:rPr>
          <w:rFonts w:hint="eastAsia" w:ascii="Times New Roman" w:hAnsi="Times New Roman" w:eastAsia="仿宋_GB2312" w:cs="仿宋_GB2312"/>
          <w:color w:val="auto"/>
          <w:sz w:val="32"/>
          <w:szCs w:val="32"/>
          <w:highlight w:val="none"/>
        </w:rPr>
      </w:pP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度</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lang w:val="en-US" w:eastAsia="zh-CN"/>
        </w:rPr>
        <w:t>部门整体支出规模249,263.79</w:t>
      </w:r>
      <w:r>
        <w:rPr>
          <w:rFonts w:hint="eastAsia" w:ascii="Times New Roman" w:hAnsi="Times New Roman" w:eastAsia="仿宋_GB2312" w:cs="仿宋_GB2312"/>
          <w:color w:val="auto"/>
          <w:sz w:val="32"/>
          <w:szCs w:val="32"/>
          <w:highlight w:val="none"/>
        </w:rPr>
        <w:t>万元，其中</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基本支出6</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311</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8</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val="en-US" w:eastAsia="zh-CN"/>
        </w:rPr>
        <w:t>占总支出的2.53%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项目支出24</w:t>
      </w:r>
      <w:r>
        <w:rPr>
          <w:rFonts w:hint="eastAsia" w:ascii="Times New Roman" w:hAnsi="Times New Roman" w:eastAsia="仿宋_GB2312" w:cs="仿宋_GB2312"/>
          <w:color w:val="auto"/>
          <w:sz w:val="32"/>
          <w:szCs w:val="32"/>
          <w:highlight w:val="none"/>
          <w:lang w:val="en-US" w:eastAsia="zh-CN"/>
        </w:rPr>
        <w:t>2,951</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5万元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占总支出的97.47%</w:t>
      </w:r>
      <w:r>
        <w:rPr>
          <w:rFonts w:hint="eastAsia" w:ascii="Times New Roman" w:hAnsi="Times New Roman" w:eastAsia="仿宋_GB2312" w:cs="仿宋_GB2312"/>
          <w:color w:val="auto"/>
          <w:sz w:val="32"/>
          <w:szCs w:val="32"/>
          <w:highlight w:val="none"/>
        </w:rPr>
        <w:t>。年末结转和结余资金</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b/>
          <w:bCs/>
          <w:color w:val="auto"/>
          <w:sz w:val="32"/>
          <w:szCs w:val="32"/>
          <w:highlight w:val="none"/>
          <w:shd w:val="clear" w:color="auto" w:fill="FFFFFF"/>
          <w:lang w:val="en-US" w:eastAsia="zh-CN"/>
        </w:rPr>
      </w:pPr>
      <w:r>
        <w:rPr>
          <w:rFonts w:hint="eastAsia" w:ascii="Times New Roman" w:hAnsi="Times New Roman" w:eastAsia="仿宋_GB2312" w:cs="Times New Roman"/>
          <w:b/>
          <w:bCs/>
          <w:color w:val="auto"/>
          <w:sz w:val="32"/>
          <w:szCs w:val="32"/>
          <w:highlight w:val="none"/>
          <w:shd w:val="clear" w:color="auto" w:fill="FFFFFF"/>
          <w:lang w:val="en-US" w:eastAsia="zh-CN"/>
        </w:rPr>
        <w:t>2.使用方向和主要内容、涉及范围</w:t>
      </w:r>
    </w:p>
    <w:p>
      <w:pPr>
        <w:spacing w:line="240" w:lineRule="auto"/>
        <w:ind w:firstLine="640" w:firstLineChars="200"/>
        <w:jc w:val="both"/>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shd w:val="clear" w:color="auto" w:fill="FFFFFF"/>
          <w:lang w:val="en-US" w:eastAsia="zh-CN"/>
        </w:rPr>
        <w:t>部门整体支出包括基本支出和项目支出。一是用于单位</w:t>
      </w:r>
      <w:r>
        <w:rPr>
          <w:rFonts w:ascii="Times New Roman" w:hAnsi="Times New Roman" w:eastAsia="仿宋_GB2312" w:cs="Times New Roman"/>
          <w:color w:val="auto"/>
          <w:sz w:val="32"/>
          <w:szCs w:val="32"/>
          <w:highlight w:val="none"/>
          <w:shd w:val="clear" w:color="auto" w:fill="FFFFFF"/>
        </w:rPr>
        <w:t>机构正常运转、完成日常工作任务而发生的各项支出</w:t>
      </w:r>
      <w:r>
        <w:rPr>
          <w:rFonts w:hint="eastAsia"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仿宋_GB2312"/>
          <w:color w:val="auto"/>
          <w:sz w:val="32"/>
          <w:szCs w:val="32"/>
          <w:highlight w:val="none"/>
          <w:lang w:val="en-US" w:eastAsia="zh-CN"/>
        </w:rPr>
        <w:t>包括用于基本工资、津贴补贴等人员经费以及</w:t>
      </w:r>
      <w:r>
        <w:rPr>
          <w:rFonts w:hint="default" w:ascii="Times New Roman" w:hAnsi="Times New Roman" w:eastAsia="仿宋" w:cs="Times New Roman"/>
          <w:color w:val="auto"/>
          <w:kern w:val="0"/>
          <w:sz w:val="32"/>
          <w:szCs w:val="32"/>
          <w:highlight w:val="none"/>
          <w:lang w:val="en-US" w:eastAsia="zh-CN" w:bidi="ar"/>
        </w:rPr>
        <w:t>办公费、印刷费、水电费、办公设备购置等日常公用经费。</w:t>
      </w:r>
      <w:r>
        <w:rPr>
          <w:rFonts w:ascii="Times New Roman" w:hAnsi="Times New Roman" w:eastAsia="仿宋_GB2312" w:cs="Times New Roman"/>
          <w:color w:val="auto"/>
          <w:sz w:val="32"/>
          <w:szCs w:val="32"/>
          <w:highlight w:val="none"/>
          <w:shd w:val="clear" w:color="auto" w:fill="FFFFFF"/>
        </w:rPr>
        <w:t>二是用于单位为完成特定行政工作任务或事业发展目标而发生的支出</w:t>
      </w:r>
      <w:r>
        <w:rPr>
          <w:rFonts w:hint="eastAsia"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仿宋_GB2312"/>
          <w:color w:val="auto"/>
          <w:sz w:val="32"/>
          <w:szCs w:val="32"/>
          <w:highlight w:val="none"/>
        </w:rPr>
        <w:t>包括有关事业发展专项、专项业务费等专项开支</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如污水处理运行经费、建设工程施工图审查服务费、长沙市地下综合管廊试点建设PPP项目（第一批）、建设领域行业监管检查工作经费、住房和城乡建设专项经费、2022年长沙市自建房指挥部工作经费</w:t>
      </w:r>
      <w:r>
        <w:rPr>
          <w:rFonts w:hint="eastAsia" w:ascii="Times New Roman" w:hAnsi="Times New Roman" w:eastAsia="仿宋_GB2312" w:cs="仿宋_GB2312"/>
          <w:color w:val="auto"/>
          <w:sz w:val="32"/>
          <w:szCs w:val="32"/>
          <w:highlight w:val="none"/>
        </w:rPr>
        <w:t>。</w:t>
      </w:r>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二、一般公共预算支出情况</w:t>
      </w:r>
    </w:p>
    <w:p>
      <w:pPr>
        <w:spacing w:line="240" w:lineRule="auto"/>
        <w:ind w:firstLine="640" w:firstLineChars="200"/>
        <w:jc w:val="both"/>
        <w:rPr>
          <w:rFonts w:hint="default" w:ascii="楷体" w:hAnsi="楷体" w:eastAsia="楷体" w:cs="楷体"/>
          <w:b/>
          <w:bCs/>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shd w:val="clear" w:color="auto" w:fill="FFFFFF"/>
          <w:lang w:val="en-US" w:eastAsia="zh-CN"/>
        </w:rPr>
        <w:t>市住建局</w:t>
      </w:r>
      <w:r>
        <w:rPr>
          <w:rFonts w:ascii="Times New Roman" w:hAnsi="Times New Roman" w:eastAsia="仿宋_GB2312" w:cs="Times New Roman"/>
          <w:color w:val="auto"/>
          <w:sz w:val="32"/>
          <w:szCs w:val="32"/>
          <w:highlight w:val="none"/>
          <w:shd w:val="clear" w:color="auto" w:fill="FFFFFF"/>
        </w:rPr>
        <w:t>202</w:t>
      </w:r>
      <w:r>
        <w:rPr>
          <w:rFonts w:hint="default" w:ascii="Times New Roman" w:hAnsi="Times New Roman" w:eastAsia="仿宋_GB2312" w:cs="Times New Roman"/>
          <w:color w:val="auto"/>
          <w:sz w:val="32"/>
          <w:szCs w:val="32"/>
          <w:highlight w:val="none"/>
          <w:shd w:val="clear" w:color="auto" w:fill="FFFFFF"/>
        </w:rPr>
        <w:t>2</w:t>
      </w:r>
      <w:r>
        <w:rPr>
          <w:rFonts w:ascii="Times New Roman" w:hAnsi="Times New Roman" w:eastAsia="仿宋_GB2312" w:cs="Times New Roman"/>
          <w:color w:val="auto"/>
          <w:sz w:val="32"/>
          <w:szCs w:val="32"/>
          <w:highlight w:val="none"/>
          <w:shd w:val="clear" w:color="auto" w:fill="FFFFFF"/>
        </w:rPr>
        <w:t>年一般公共预算财政拨款支出</w:t>
      </w:r>
      <w:r>
        <w:rPr>
          <w:rFonts w:hint="eastAsia" w:ascii="Times New Roman" w:hAnsi="Times New Roman" w:eastAsia="仿宋_GB2312" w:cs="Times New Roman"/>
          <w:color w:val="auto"/>
          <w:sz w:val="32"/>
          <w:szCs w:val="32"/>
          <w:highlight w:val="none"/>
          <w:shd w:val="clear" w:color="auto" w:fill="FFFFFF"/>
          <w:lang w:val="en-US" w:eastAsia="zh-CN"/>
        </w:rPr>
        <w:t>160</w:t>
      </w:r>
      <w:r>
        <w:rPr>
          <w:rFonts w:hint="eastAsia"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val="en-US" w:eastAsia="zh-CN"/>
        </w:rPr>
        <w:t>190</w:t>
      </w:r>
      <w:r>
        <w:rPr>
          <w:rFonts w:hint="eastAsia"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val="en-US" w:eastAsia="zh-CN"/>
        </w:rPr>
        <w:t>99</w:t>
      </w:r>
      <w:r>
        <w:rPr>
          <w:rFonts w:ascii="Times New Roman" w:hAnsi="Times New Roman" w:eastAsia="仿宋_GB2312" w:cs="Times New Roman"/>
          <w:color w:val="auto"/>
          <w:sz w:val="32"/>
          <w:szCs w:val="32"/>
          <w:highlight w:val="none"/>
          <w:shd w:val="clear" w:color="auto" w:fill="FFFFFF"/>
        </w:rPr>
        <w:t>万元，其中：基本支出</w:t>
      </w:r>
      <w:r>
        <w:rPr>
          <w:rFonts w:hint="eastAsia" w:ascii="Times New Roman" w:hAnsi="Times New Roman" w:eastAsia="仿宋_GB2312" w:cs="Times New Roman"/>
          <w:color w:val="auto"/>
          <w:sz w:val="32"/>
          <w:szCs w:val="32"/>
          <w:highlight w:val="none"/>
          <w:shd w:val="clear" w:color="auto" w:fill="FFFFFF"/>
        </w:rPr>
        <w:t>6,311.84</w:t>
      </w:r>
      <w:r>
        <w:rPr>
          <w:rFonts w:ascii="Times New Roman" w:hAnsi="Times New Roman" w:eastAsia="仿宋_GB2312" w:cs="Times New Roman"/>
          <w:color w:val="auto"/>
          <w:sz w:val="32"/>
          <w:szCs w:val="32"/>
          <w:highlight w:val="none"/>
          <w:shd w:val="clear" w:color="auto" w:fill="FFFFFF"/>
        </w:rPr>
        <w:t>万元（</w:t>
      </w:r>
      <w:r>
        <w:rPr>
          <w:rFonts w:hint="eastAsia" w:ascii="Times New Roman" w:hAnsi="Times New Roman" w:eastAsia="仿宋_GB2312" w:cs="Times New Roman"/>
          <w:color w:val="auto"/>
          <w:sz w:val="32"/>
          <w:szCs w:val="32"/>
          <w:highlight w:val="none"/>
          <w:shd w:val="clear" w:color="auto" w:fill="FFFFFF"/>
          <w:lang w:val="en-US" w:eastAsia="zh-CN"/>
        </w:rPr>
        <w:t>包括</w:t>
      </w:r>
      <w:r>
        <w:rPr>
          <w:rFonts w:ascii="Times New Roman" w:hAnsi="Times New Roman" w:eastAsia="仿宋_GB2312" w:cs="Times New Roman"/>
          <w:color w:val="auto"/>
          <w:sz w:val="32"/>
          <w:szCs w:val="32"/>
          <w:highlight w:val="none"/>
          <w:shd w:val="clear" w:color="auto" w:fill="FFFFFF"/>
        </w:rPr>
        <w:t>人</w:t>
      </w:r>
      <w:r>
        <w:rPr>
          <w:rFonts w:hint="eastAsia" w:ascii="Times New Roman" w:hAnsi="Times New Roman" w:eastAsia="仿宋_GB2312" w:cs="Times New Roman"/>
          <w:color w:val="auto"/>
          <w:sz w:val="32"/>
          <w:szCs w:val="32"/>
          <w:highlight w:val="none"/>
          <w:shd w:val="clear" w:color="auto" w:fill="FFFFFF"/>
          <w:lang w:val="en-US" w:eastAsia="zh-Hans"/>
        </w:rPr>
        <w:t>员经费5,867.71万元</w:t>
      </w:r>
      <w:r>
        <w:rPr>
          <w:rFonts w:hint="eastAsia" w:ascii="Times New Roman" w:hAnsi="Times New Roman" w:eastAsia="仿宋_GB2312" w:cs="Times New Roman"/>
          <w:color w:val="auto"/>
          <w:sz w:val="32"/>
          <w:szCs w:val="32"/>
          <w:highlight w:val="none"/>
          <w:shd w:val="clear" w:color="auto" w:fill="FFFFFF"/>
          <w:lang w:val="en-US" w:eastAsia="zh-CN"/>
        </w:rPr>
        <w:t>、</w:t>
      </w:r>
      <w:r>
        <w:rPr>
          <w:rFonts w:hint="eastAsia" w:ascii="Times New Roman" w:hAnsi="Times New Roman" w:eastAsia="仿宋_GB2312" w:cs="Times New Roman"/>
          <w:color w:val="auto"/>
          <w:sz w:val="32"/>
          <w:szCs w:val="32"/>
          <w:highlight w:val="none"/>
          <w:shd w:val="clear" w:color="auto" w:fill="FFFFFF"/>
          <w:lang w:val="en-US" w:eastAsia="zh-Hans"/>
        </w:rPr>
        <w:t>公用经费</w:t>
      </w:r>
      <w:r>
        <w:rPr>
          <w:rFonts w:hint="default" w:ascii="Times New Roman" w:hAnsi="Times New Roman" w:eastAsia="仿宋_GB2312" w:cs="Times New Roman"/>
          <w:color w:val="auto"/>
          <w:sz w:val="32"/>
          <w:szCs w:val="32"/>
          <w:highlight w:val="none"/>
          <w:shd w:val="clear" w:color="auto" w:fill="FFFFFF"/>
          <w:lang w:val="en-US" w:eastAsia="zh-Hans"/>
        </w:rPr>
        <w:t>444.13</w:t>
      </w:r>
      <w:r>
        <w:rPr>
          <w:rFonts w:hint="eastAsia" w:ascii="Times New Roman" w:hAnsi="Times New Roman" w:eastAsia="仿宋_GB2312" w:cs="Times New Roman"/>
          <w:color w:val="auto"/>
          <w:sz w:val="32"/>
          <w:szCs w:val="32"/>
          <w:highlight w:val="none"/>
          <w:shd w:val="clear" w:color="auto" w:fill="FFFFFF"/>
          <w:lang w:val="en-US" w:eastAsia="zh-Hans"/>
        </w:rPr>
        <w:t>万元）</w:t>
      </w:r>
      <w:r>
        <w:rPr>
          <w:rFonts w:hint="eastAsia" w:ascii="Times New Roman" w:hAnsi="Times New Roman" w:eastAsia="仿宋_GB2312" w:cs="Times New Roman"/>
          <w:color w:val="auto"/>
          <w:sz w:val="32"/>
          <w:szCs w:val="32"/>
          <w:highlight w:val="none"/>
          <w:shd w:val="clear" w:color="auto" w:fill="FFFFFF"/>
          <w:lang w:val="en-US" w:eastAsia="zh-CN"/>
        </w:rPr>
        <w:t>；项目支出153,879.15万元（包括</w:t>
      </w:r>
      <w:r>
        <w:rPr>
          <w:rFonts w:hint="eastAsia" w:ascii="Times New Roman" w:hAnsi="Times New Roman" w:eastAsia="仿宋_GB2312" w:cs="Times New Roman"/>
          <w:color w:val="auto"/>
          <w:sz w:val="32"/>
          <w:szCs w:val="32"/>
          <w:highlight w:val="none"/>
          <w:shd w:val="clear" w:color="auto" w:fill="FFFFFF"/>
          <w:lang w:val="en-US" w:eastAsia="zh-Hans"/>
        </w:rPr>
        <w:t>部门项目支出</w:t>
      </w:r>
      <w:r>
        <w:rPr>
          <w:rFonts w:hint="eastAsia" w:ascii="Times New Roman" w:hAnsi="Times New Roman" w:eastAsia="仿宋_GB2312" w:cs="Times New Roman"/>
          <w:color w:val="auto"/>
          <w:sz w:val="32"/>
          <w:szCs w:val="32"/>
          <w:highlight w:val="none"/>
          <w:shd w:val="clear" w:color="auto" w:fill="FFFFFF"/>
          <w:lang w:val="en-US" w:eastAsia="zh-CN"/>
        </w:rPr>
        <w:t>3,046.26</w:t>
      </w:r>
      <w:r>
        <w:rPr>
          <w:rFonts w:hint="eastAsia" w:ascii="Times New Roman" w:hAnsi="Times New Roman" w:eastAsia="仿宋_GB2312" w:cs="Times New Roman"/>
          <w:color w:val="auto"/>
          <w:sz w:val="32"/>
          <w:szCs w:val="32"/>
          <w:highlight w:val="none"/>
          <w:shd w:val="clear" w:color="auto" w:fill="FFFFFF"/>
          <w:lang w:val="en-US" w:eastAsia="zh-Hans"/>
        </w:rPr>
        <w:t>万元</w:t>
      </w:r>
      <w:r>
        <w:rPr>
          <w:rFonts w:hint="eastAsia" w:ascii="Times New Roman" w:hAnsi="Times New Roman" w:eastAsia="仿宋_GB2312" w:cs="Times New Roman"/>
          <w:color w:val="auto"/>
          <w:sz w:val="32"/>
          <w:szCs w:val="32"/>
          <w:highlight w:val="none"/>
          <w:shd w:val="clear" w:color="auto" w:fill="FFFFFF"/>
          <w:lang w:val="en-US" w:eastAsia="zh-CN"/>
        </w:rPr>
        <w:t>、</w:t>
      </w:r>
      <w:r>
        <w:rPr>
          <w:rFonts w:hint="eastAsia" w:ascii="Times New Roman" w:hAnsi="Times New Roman" w:eastAsia="仿宋_GB2312" w:cs="Times New Roman"/>
          <w:color w:val="auto"/>
          <w:sz w:val="32"/>
          <w:szCs w:val="32"/>
          <w:highlight w:val="none"/>
          <w:shd w:val="clear" w:color="auto" w:fill="FFFFFF"/>
          <w:lang w:val="en-US" w:eastAsia="zh-Hans"/>
        </w:rPr>
        <w:t>公共项目支出</w:t>
      </w:r>
      <w:r>
        <w:rPr>
          <w:rFonts w:hint="eastAsia" w:ascii="Times New Roman" w:hAnsi="Times New Roman" w:eastAsia="仿宋_GB2312" w:cs="Times New Roman"/>
          <w:color w:val="auto"/>
          <w:sz w:val="32"/>
          <w:szCs w:val="32"/>
          <w:highlight w:val="none"/>
          <w:shd w:val="clear" w:color="auto" w:fill="FFFFFF"/>
          <w:lang w:val="en-US" w:eastAsia="zh-CN"/>
        </w:rPr>
        <w:t>150</w:t>
      </w:r>
      <w:r>
        <w:rPr>
          <w:rFonts w:hint="eastAsia"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lang w:val="en-US" w:eastAsia="zh-CN"/>
        </w:rPr>
        <w:t>832.89万元）</w:t>
      </w:r>
      <w:r>
        <w:rPr>
          <w:rFonts w:hint="eastAsia" w:ascii="Times New Roman" w:hAnsi="Times New Roman" w:eastAsia="仿宋_GB2312" w:cs="Times New Roman"/>
          <w:color w:val="auto"/>
          <w:sz w:val="32"/>
          <w:szCs w:val="32"/>
          <w:highlight w:val="none"/>
          <w:shd w:val="clear" w:color="auto" w:fill="FFFFFF"/>
          <w:lang w:val="en-US" w:eastAsia="zh-Hans"/>
        </w:rPr>
        <w:t>。</w:t>
      </w:r>
    </w:p>
    <w:p>
      <w:pPr>
        <w:spacing w:line="240" w:lineRule="auto"/>
        <w:ind w:firstLine="643" w:firstLineChars="200"/>
        <w:jc w:val="left"/>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（一）基本支出</w:t>
      </w:r>
    </w:p>
    <w:p>
      <w:pPr>
        <w:spacing w:line="240" w:lineRule="auto"/>
        <w:ind w:firstLine="643" w:firstLineChars="200"/>
        <w:jc w:val="left"/>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1.基本支出主要用途、范围及资金管理情况</w:t>
      </w:r>
    </w:p>
    <w:p>
      <w:pPr>
        <w:spacing w:line="240" w:lineRule="auto"/>
        <w:ind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基本支出是指为保障单位机构运转、完成日常工作任务而发生的各项支出，包括职工基本工资、津补贴、社会保障缴费、离退休费等人员经费以及办公费、水电费、办公设备购置费等日常公用经费。</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机关</w:t>
      </w:r>
      <w:r>
        <w:rPr>
          <w:rFonts w:ascii="Times New Roman" w:hAnsi="Times New Roman" w:eastAsia="仿宋_GB2312" w:cs="Times New Roman"/>
          <w:color w:val="auto"/>
          <w:sz w:val="32"/>
          <w:szCs w:val="32"/>
          <w:highlight w:val="none"/>
          <w:shd w:val="clear" w:color="auto" w:fill="FFFFFF"/>
        </w:rPr>
        <w:t>一般公共预算财政拨款</w:t>
      </w:r>
      <w:r>
        <w:rPr>
          <w:rFonts w:hint="eastAsia" w:ascii="Times New Roman" w:hAnsi="Times New Roman" w:eastAsia="仿宋_GB2312" w:cs="仿宋_GB2312"/>
          <w:color w:val="auto"/>
          <w:sz w:val="32"/>
          <w:szCs w:val="32"/>
          <w:highlight w:val="none"/>
        </w:rPr>
        <w:t>基本支出</w:t>
      </w:r>
      <w:r>
        <w:rPr>
          <w:rFonts w:hint="eastAsia" w:ascii="Times New Roman" w:hAnsi="Times New Roman" w:eastAsia="仿宋_GB2312" w:cs="Times New Roman"/>
          <w:color w:val="auto"/>
          <w:sz w:val="32"/>
          <w:szCs w:val="32"/>
          <w:highlight w:val="none"/>
        </w:rPr>
        <w:t>6</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311</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8</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仿宋_GB2312"/>
          <w:color w:val="auto"/>
          <w:sz w:val="32"/>
          <w:szCs w:val="32"/>
          <w:highlight w:val="none"/>
        </w:rPr>
        <w:t>万元，其中：人员经费支出</w:t>
      </w:r>
      <w:r>
        <w:rPr>
          <w:rFonts w:hint="eastAsia"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867</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7</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万元，日常公用经费支出</w:t>
      </w:r>
      <w:r>
        <w:rPr>
          <w:rFonts w:hint="eastAsia" w:ascii="Times New Roman" w:hAnsi="Times New Roman" w:eastAsia="仿宋_GB2312" w:cs="Times New Roman"/>
          <w:color w:val="auto"/>
          <w:sz w:val="32"/>
          <w:szCs w:val="32"/>
          <w:highlight w:val="none"/>
        </w:rPr>
        <w:t>444</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万元。具体情况</w:t>
      </w:r>
      <w:r>
        <w:rPr>
          <w:rFonts w:hint="eastAsia" w:ascii="Times New Roman" w:hAnsi="Times New Roman" w:eastAsia="仿宋_GB2312" w:cs="仿宋_GB2312"/>
          <w:color w:val="auto"/>
          <w:sz w:val="32"/>
          <w:szCs w:val="32"/>
          <w:highlight w:val="none"/>
          <w:lang w:val="en-US" w:eastAsia="zh-CN"/>
        </w:rPr>
        <w:t>如下</w:t>
      </w:r>
      <w:r>
        <w:rPr>
          <w:rFonts w:hint="eastAsia" w:ascii="Times New Roman" w:hAnsi="Times New Roman" w:eastAsia="仿宋_GB2312" w:cs="仿宋_GB2312"/>
          <w:color w:val="auto"/>
          <w:sz w:val="32"/>
          <w:szCs w:val="32"/>
          <w:highlight w:val="none"/>
        </w:rPr>
        <w:t>：</w:t>
      </w:r>
    </w:p>
    <w:p>
      <w:pPr>
        <w:pStyle w:val="12"/>
        <w:spacing w:before="157" w:beforeLines="50" w:after="0"/>
        <w:jc w:val="right"/>
        <w:rPr>
          <w:rFonts w:hint="default"/>
          <w:color w:val="auto"/>
          <w:highlight w:val="none"/>
          <w:lang w:val="en-US" w:eastAsia="zh-CN"/>
        </w:rPr>
      </w:pPr>
      <w:r>
        <w:rPr>
          <w:rFonts w:hint="eastAsia"/>
          <w:color w:val="auto"/>
          <w:highlight w:val="none"/>
          <w:lang w:val="en-US" w:eastAsia="zh-CN"/>
        </w:rPr>
        <w:t>单位：万元</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8"/>
        <w:gridCol w:w="2799"/>
        <w:gridCol w:w="1761"/>
        <w:gridCol w:w="1761"/>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序号</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项目</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2022年预算</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2022年决算</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r>
              <w:rPr>
                <w:rFonts w:hint="eastAsia" w:ascii="Times New Roman" w:hAnsi="Times New Roman" w:eastAsia="宋体" w:cs="Times New Roman"/>
                <w:b/>
                <w:bCs/>
                <w:i w:val="0"/>
                <w:iCs w:val="0"/>
                <w:color w:val="auto"/>
                <w:kern w:val="0"/>
                <w:sz w:val="20"/>
                <w:szCs w:val="20"/>
                <w:highlight w:val="none"/>
                <w:u w:val="none"/>
                <w:lang w:val="en-US" w:eastAsia="zh-CN" w:bidi="ar"/>
              </w:rPr>
              <w:t>一</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人员经费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4</w:t>
            </w:r>
            <w:r>
              <w:rPr>
                <w:rFonts w:hint="eastAsia" w:ascii="Times New Roman" w:hAnsi="Times New Roman" w:eastAsia="宋体" w:cs="Times New Roman"/>
                <w:b/>
                <w:bCs/>
                <w:i w:val="0"/>
                <w:iCs w:val="0"/>
                <w:color w:val="auto"/>
                <w:kern w:val="0"/>
                <w:sz w:val="20"/>
                <w:szCs w:val="20"/>
                <w:highlight w:val="none"/>
                <w:u w:val="none"/>
                <w:lang w:val="en-US" w:eastAsia="zh-CN" w:bidi="ar"/>
              </w:rPr>
              <w:t>,</w:t>
            </w:r>
            <w:r>
              <w:rPr>
                <w:rFonts w:hint="default" w:ascii="Times New Roman" w:hAnsi="Times New Roman" w:eastAsia="宋体" w:cs="Times New Roman"/>
                <w:b/>
                <w:bCs/>
                <w:i w:val="0"/>
                <w:iCs w:val="0"/>
                <w:color w:val="auto"/>
                <w:kern w:val="0"/>
                <w:sz w:val="20"/>
                <w:szCs w:val="20"/>
                <w:highlight w:val="none"/>
                <w:u w:val="none"/>
                <w:lang w:val="en-US" w:eastAsia="zh-CN" w:bidi="ar"/>
              </w:rPr>
              <w:t>844.06</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5</w:t>
            </w:r>
            <w:r>
              <w:rPr>
                <w:rFonts w:hint="eastAsia" w:ascii="Times New Roman" w:hAnsi="Times New Roman" w:eastAsia="宋体" w:cs="Times New Roman"/>
                <w:b/>
                <w:bCs/>
                <w:i w:val="0"/>
                <w:iCs w:val="0"/>
                <w:color w:val="auto"/>
                <w:kern w:val="0"/>
                <w:sz w:val="20"/>
                <w:szCs w:val="20"/>
                <w:highlight w:val="none"/>
                <w:u w:val="none"/>
                <w:lang w:val="en-US" w:eastAsia="zh-CN" w:bidi="ar"/>
              </w:rPr>
              <w:t>,</w:t>
            </w:r>
            <w:r>
              <w:rPr>
                <w:rFonts w:hint="default" w:ascii="Times New Roman" w:hAnsi="Times New Roman" w:eastAsia="宋体" w:cs="Times New Roman"/>
                <w:b/>
                <w:bCs/>
                <w:i w:val="0"/>
                <w:iCs w:val="0"/>
                <w:color w:val="auto"/>
                <w:kern w:val="0"/>
                <w:sz w:val="20"/>
                <w:szCs w:val="20"/>
                <w:highlight w:val="none"/>
                <w:u w:val="none"/>
                <w:lang w:val="en-US" w:eastAsia="zh-CN" w:bidi="ar"/>
              </w:rPr>
              <w:t>867.71</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121.13%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工资奖金津补贴</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r>
              <w:rPr>
                <w:rFonts w:hint="eastAsia" w:ascii="Times New Roman" w:hAnsi="Times New Roman" w:eastAsia="宋体"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002.39</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r>
              <w:rPr>
                <w:rFonts w:hint="eastAsia" w:ascii="Times New Roman" w:hAnsi="Times New Roman" w:eastAsia="宋体"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591.72</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129.43%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社会保障缴费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469.20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625.93</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133.40%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住房公积金</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429.00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345.07</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80.44%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其他工资福利支出</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905.57</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547.40</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60.45%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kern w:val="0"/>
                <w:sz w:val="20"/>
                <w:szCs w:val="20"/>
                <w:highlight w:val="none"/>
                <w:u w:val="none"/>
                <w:lang w:val="en-US" w:eastAsia="zh-CN" w:bidi="ar"/>
              </w:rPr>
              <w:t>5</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对个人和家庭的补助</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r>
              <w:rPr>
                <w:rFonts w:hint="eastAsia" w:ascii="Times New Roman" w:hAnsi="Times New Roman" w:eastAsia="宋体"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037.90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r>
              <w:rPr>
                <w:rFonts w:hint="eastAsia" w:ascii="Times New Roman" w:hAnsi="Times New Roman" w:eastAsia="宋体"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757.59</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169.34%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r>
              <w:rPr>
                <w:rFonts w:hint="eastAsia" w:ascii="Times New Roman" w:hAnsi="Times New Roman" w:eastAsia="宋体" w:cs="Times New Roman"/>
                <w:b/>
                <w:bCs/>
                <w:i w:val="0"/>
                <w:iCs w:val="0"/>
                <w:color w:val="auto"/>
                <w:kern w:val="0"/>
                <w:sz w:val="20"/>
                <w:szCs w:val="20"/>
                <w:highlight w:val="none"/>
                <w:u w:val="none"/>
                <w:lang w:val="en-US" w:eastAsia="zh-CN" w:bidi="ar"/>
              </w:rPr>
              <w:t>二</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公用经费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456.65</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444.13</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97.26%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办公费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163.33</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1.93</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咨询费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15.70</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水费、电费、邮电费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7.00</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差旅费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0.14</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维修（护）费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因公出国（境）费用</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11.50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会议费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6.95</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69.50%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公务接待费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1.95</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工会经费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18.18</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福利费</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2.84</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其他交通费用</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122.06</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b w:val="0"/>
                <w:bCs w:val="0"/>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其他商品和服务支出</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263.82</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267.38</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eastAsia="宋体" w:cs="Times New Roman"/>
                <w:b w:val="0"/>
                <w:bCs w:val="0"/>
                <w:i w:val="0"/>
                <w:iCs w:val="0"/>
                <w:color w:val="auto"/>
                <w:kern w:val="0"/>
                <w:sz w:val="20"/>
                <w:szCs w:val="20"/>
                <w:highlight w:val="none"/>
                <w:u w:val="none"/>
                <w:lang w:val="en-US" w:eastAsia="zh-CN" w:bidi="ar"/>
              </w:rPr>
              <w:t>101.35%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p>
        </w:tc>
        <w:tc>
          <w:tcPr>
            <w:tcW w:w="1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合计</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5</w:t>
            </w:r>
            <w:r>
              <w:rPr>
                <w:rFonts w:hint="eastAsia" w:ascii="Times New Roman" w:hAnsi="Times New Roman" w:eastAsia="宋体" w:cs="Times New Roman"/>
                <w:b/>
                <w:bCs/>
                <w:i w:val="0"/>
                <w:iCs w:val="0"/>
                <w:color w:val="auto"/>
                <w:kern w:val="0"/>
                <w:sz w:val="20"/>
                <w:szCs w:val="20"/>
                <w:highlight w:val="none"/>
                <w:u w:val="none"/>
                <w:lang w:val="en-US" w:eastAsia="zh-CN" w:bidi="ar"/>
              </w:rPr>
              <w:t>,</w:t>
            </w:r>
            <w:r>
              <w:rPr>
                <w:rFonts w:hint="default" w:ascii="Times New Roman" w:hAnsi="Times New Roman" w:eastAsia="宋体" w:cs="Times New Roman"/>
                <w:b/>
                <w:bCs/>
                <w:i w:val="0"/>
                <w:iCs w:val="0"/>
                <w:color w:val="auto"/>
                <w:kern w:val="0"/>
                <w:sz w:val="20"/>
                <w:szCs w:val="20"/>
                <w:highlight w:val="none"/>
                <w:u w:val="none"/>
                <w:lang w:val="en-US" w:eastAsia="zh-CN" w:bidi="ar"/>
              </w:rPr>
              <w:t>300.71</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6</w:t>
            </w:r>
            <w:r>
              <w:rPr>
                <w:rFonts w:hint="eastAsia" w:ascii="Times New Roman" w:hAnsi="Times New Roman" w:eastAsia="宋体" w:cs="Times New Roman"/>
                <w:b/>
                <w:bCs/>
                <w:i w:val="0"/>
                <w:iCs w:val="0"/>
                <w:color w:val="auto"/>
                <w:kern w:val="0"/>
                <w:sz w:val="20"/>
                <w:szCs w:val="20"/>
                <w:highlight w:val="none"/>
                <w:u w:val="none"/>
                <w:lang w:val="en-US" w:eastAsia="zh-CN" w:bidi="ar"/>
              </w:rPr>
              <w:t>,</w:t>
            </w:r>
            <w:r>
              <w:rPr>
                <w:rFonts w:hint="default" w:ascii="Times New Roman" w:hAnsi="Times New Roman" w:eastAsia="宋体" w:cs="Times New Roman"/>
                <w:b/>
                <w:bCs/>
                <w:i w:val="0"/>
                <w:iCs w:val="0"/>
                <w:color w:val="auto"/>
                <w:kern w:val="0"/>
                <w:sz w:val="20"/>
                <w:szCs w:val="20"/>
                <w:highlight w:val="none"/>
                <w:u w:val="none"/>
                <w:lang w:val="en-US" w:eastAsia="zh-CN" w:bidi="ar"/>
              </w:rPr>
              <w:t>311.84</w:t>
            </w: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119.08%</w:t>
            </w:r>
          </w:p>
        </w:tc>
      </w:tr>
    </w:tbl>
    <w:p>
      <w:pPr>
        <w:spacing w:before="157" w:beforeLines="50" w:line="240" w:lineRule="auto"/>
        <w:ind w:firstLine="643" w:firstLineChars="200"/>
        <w:jc w:val="left"/>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2.“三公”经费的使用及管理情况</w:t>
      </w:r>
    </w:p>
    <w:p>
      <w:pPr>
        <w:spacing w:line="240" w:lineRule="auto"/>
        <w:ind w:firstLine="640" w:firstLineChars="200"/>
        <w:jc w:val="both"/>
        <w:rPr>
          <w:rFonts w:hint="eastAsia" w:ascii="Times New Roman" w:hAnsi="Times New Roman" w:eastAsia="仿宋_GB2312" w:cs="仿宋_GB2312"/>
          <w:color w:val="auto"/>
          <w:sz w:val="32"/>
          <w:szCs w:val="32"/>
          <w:highlight w:val="none"/>
        </w:rPr>
      </w:pP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经费严格纳入预算管理，按财务管理制度和审核程序严格审批报销，严控</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经费支出规模。</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经费预算</w:t>
      </w:r>
      <w:r>
        <w:rPr>
          <w:rFonts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50</w:t>
      </w:r>
      <w:r>
        <w:rPr>
          <w:rFonts w:hint="eastAsia" w:ascii="Times New Roman" w:hAnsi="Times New Roman" w:eastAsia="仿宋_GB2312" w:cs="仿宋_GB2312"/>
          <w:color w:val="auto"/>
          <w:sz w:val="32"/>
          <w:szCs w:val="32"/>
          <w:highlight w:val="none"/>
        </w:rPr>
        <w:t>万元，实际支出</w:t>
      </w:r>
      <w:r>
        <w:rPr>
          <w:rFonts w:hint="eastAsia" w:ascii="Times New Roman" w:hAnsi="Times New Roman" w:eastAsia="仿宋_GB2312" w:cs="Times New Roman"/>
          <w:color w:val="auto"/>
          <w:sz w:val="32"/>
          <w:szCs w:val="32"/>
          <w:highlight w:val="none"/>
          <w:lang w:val="en-US" w:eastAsia="zh-CN"/>
        </w:rPr>
        <w:t>16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44</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经费控制率</w:t>
      </w:r>
      <w:r>
        <w:rPr>
          <w:rFonts w:hint="eastAsia" w:ascii="Times New Roman" w:hAnsi="Times New Roman" w:eastAsia="仿宋_GB2312" w:cs="仿宋_GB2312"/>
          <w:color w:val="auto"/>
          <w:sz w:val="32"/>
          <w:szCs w:val="32"/>
          <w:highlight w:val="none"/>
          <w:lang w:eastAsia="zh-CN"/>
        </w:rPr>
        <w:t>为</w:t>
      </w:r>
      <w:r>
        <w:rPr>
          <w:rFonts w:hint="eastAsia" w:ascii="Times New Roman" w:hAnsi="Times New Roman" w:eastAsia="仿宋_GB2312" w:cs="Times New Roman"/>
          <w:color w:val="auto"/>
          <w:sz w:val="32"/>
          <w:szCs w:val="32"/>
          <w:highlight w:val="none"/>
          <w:lang w:val="en-US" w:eastAsia="zh-CN"/>
        </w:rPr>
        <w:t>30</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17</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sz w:val="32"/>
          <w:szCs w:val="32"/>
          <w:highlight w:val="none"/>
        </w:rPr>
        <w:t>。具体情况</w:t>
      </w:r>
      <w:r>
        <w:rPr>
          <w:rFonts w:hint="eastAsia" w:ascii="Times New Roman" w:hAnsi="Times New Roman" w:eastAsia="仿宋_GB2312" w:cs="仿宋_GB2312"/>
          <w:color w:val="auto"/>
          <w:sz w:val="32"/>
          <w:szCs w:val="32"/>
          <w:highlight w:val="none"/>
          <w:lang w:val="en-US" w:eastAsia="zh-CN"/>
        </w:rPr>
        <w:t>如下</w:t>
      </w:r>
      <w:r>
        <w:rPr>
          <w:rFonts w:hint="eastAsia" w:ascii="Times New Roman" w:hAnsi="Times New Roman" w:eastAsia="仿宋_GB2312" w:cs="仿宋_GB2312"/>
          <w:color w:val="auto"/>
          <w:sz w:val="32"/>
          <w:szCs w:val="32"/>
          <w:highlight w:val="none"/>
        </w:rPr>
        <w:t>：</w:t>
      </w:r>
    </w:p>
    <w:p>
      <w:pPr>
        <w:pStyle w:val="12"/>
        <w:spacing w:before="157" w:beforeLines="50" w:after="0"/>
        <w:jc w:val="right"/>
        <w:rPr>
          <w:rFonts w:hint="default" w:eastAsia="宋体"/>
          <w:color w:val="auto"/>
          <w:highlight w:val="none"/>
          <w:lang w:val="en-US" w:eastAsia="zh-CN"/>
        </w:rPr>
      </w:pPr>
      <w:r>
        <w:rPr>
          <w:rFonts w:hint="eastAsia"/>
          <w:color w:val="auto"/>
          <w:highlight w:val="none"/>
          <w:lang w:val="en-US" w:eastAsia="zh-CN"/>
        </w:rPr>
        <w:t>单位：万元</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2616"/>
        <w:gridCol w:w="674"/>
        <w:gridCol w:w="666"/>
        <w:gridCol w:w="666"/>
        <w:gridCol w:w="733"/>
        <w:gridCol w:w="1000"/>
        <w:gridCol w:w="734"/>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blHeader/>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序号</w:t>
            </w:r>
          </w:p>
        </w:tc>
        <w:tc>
          <w:tcPr>
            <w:tcW w:w="15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项目</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2021年决算</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2022年预算</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2022年决算</w:t>
            </w: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2022年决算较年初预算增+（减-）</w:t>
            </w:r>
          </w:p>
        </w:tc>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2022年决算较上年决算增+（减-）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blHeader/>
        </w:trPr>
        <w:tc>
          <w:tcPr>
            <w:tcW w:w="24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0"/>
                <w:szCs w:val="20"/>
                <w:highlight w:val="none"/>
                <w:u w:val="none"/>
              </w:rPr>
            </w:pPr>
          </w:p>
        </w:tc>
        <w:tc>
          <w:tcPr>
            <w:tcW w:w="1535"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0"/>
                <w:szCs w:val="20"/>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金额</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比例</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金额</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5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公务接待费</w:t>
            </w:r>
          </w:p>
        </w:tc>
        <w:tc>
          <w:tcPr>
            <w:tcW w:w="396"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4.66</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1.95</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-3.05</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-61.</w:t>
            </w:r>
            <w:r>
              <w:rPr>
                <w:rFonts w:hint="eastAsia" w:ascii="Times New Roman" w:hAnsi="Times New Roman" w:cs="Times New Roman"/>
                <w:i w:val="0"/>
                <w:iCs w:val="0"/>
                <w:color w:val="auto"/>
                <w:kern w:val="0"/>
                <w:sz w:val="20"/>
                <w:szCs w:val="20"/>
                <w:highlight w:val="none"/>
                <w:u w:val="none"/>
                <w:lang w:val="en-US" w:eastAsia="zh-CN" w:bidi="ar"/>
              </w:rPr>
              <w:t>00</w:t>
            </w: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-2.71</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53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公务用车购置及运行维护费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35.87</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38.00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14.49</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-23.51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-61.87%</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-21.38</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因公出国（境）费</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11.50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-11.50</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w:t>
            </w:r>
            <w:r>
              <w:rPr>
                <w:rFonts w:hint="eastAsia" w:ascii="Times New Roman" w:hAnsi="Times New Roman" w:cs="Times New Roman"/>
                <w:i w:val="0"/>
                <w:iCs w:val="0"/>
                <w:color w:val="auto"/>
                <w:kern w:val="0"/>
                <w:sz w:val="20"/>
                <w:szCs w:val="20"/>
                <w:highlight w:val="none"/>
                <w:u w:val="none"/>
                <w:lang w:val="en-US" w:eastAsia="zh-CN" w:bidi="ar"/>
              </w:rPr>
              <w:t>.00</w:t>
            </w: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0"/>
                <w:szCs w:val="20"/>
                <w:highlight w:val="none"/>
                <w:u w:val="none"/>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合计</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40.53</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54.50</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16.44</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-38.06</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-69.83%</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-24.09</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-59.44%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公务接待费：</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公务接待费预算为</w:t>
      </w:r>
      <w:r>
        <w:rPr>
          <w:rFonts w:ascii="Times New Roman" w:hAnsi="Times New Roman" w:eastAsia="仿宋_GB2312" w:cs="Times New Roman"/>
          <w:color w:val="auto"/>
          <w:sz w:val="32"/>
          <w:szCs w:val="32"/>
          <w:highlight w:val="none"/>
        </w:rPr>
        <w:t>5</w:t>
      </w:r>
      <w:r>
        <w:rPr>
          <w:rFonts w:hint="eastAsia" w:ascii="Times New Roman" w:hAnsi="Times New Roman" w:eastAsia="仿宋_GB2312" w:cs="仿宋_GB2312"/>
          <w:color w:val="auto"/>
          <w:sz w:val="32"/>
          <w:szCs w:val="32"/>
          <w:highlight w:val="none"/>
        </w:rPr>
        <w:t>万元，实际支出</w:t>
      </w:r>
      <w:r>
        <w:rPr>
          <w:rFonts w:hint="eastAsia" w:ascii="Times New Roman" w:hAnsi="Times New Roman" w:eastAsia="仿宋_GB2312" w:cs="Times New Roman"/>
          <w:color w:val="auto"/>
          <w:sz w:val="32"/>
          <w:szCs w:val="32"/>
          <w:highlight w:val="none"/>
          <w:lang w:val="en-US" w:eastAsia="zh-CN"/>
        </w:rPr>
        <w:t>1.95</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在公务接待中做到</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四严格</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即严格预算管理，规定接待经费严格控制在预算额度内使用；严格审批程序，规定公务接待的审批权限；严格接待标准，用餐按照长沙市财政局《关于明确市直党政机关公务活动用餐有关事项的通知》（长财行〔</w:t>
      </w:r>
      <w:r>
        <w:rPr>
          <w:rFonts w:ascii="Times New Roman" w:hAnsi="Times New Roman" w:eastAsia="仿宋_GB2312" w:cs="Times New Roman"/>
          <w:color w:val="auto"/>
          <w:sz w:val="32"/>
          <w:szCs w:val="32"/>
          <w:highlight w:val="none"/>
        </w:rPr>
        <w:t>2018</w:t>
      </w:r>
      <w:r>
        <w:rPr>
          <w:rFonts w:hint="eastAsia" w:ascii="Times New Roman" w:hAnsi="Times New Roman" w:eastAsia="仿宋_GB2312" w:cs="仿宋_GB2312"/>
          <w:color w:val="auto"/>
          <w:sz w:val="32"/>
          <w:szCs w:val="32"/>
          <w:highlight w:val="none"/>
        </w:rPr>
        <w:t>〕</w:t>
      </w:r>
      <w:r>
        <w:rPr>
          <w:rFonts w:ascii="Times New Roman" w:hAnsi="Times New Roman" w:eastAsia="仿宋_GB2312" w:cs="Times New Roman"/>
          <w:color w:val="auto"/>
          <w:sz w:val="32"/>
          <w:szCs w:val="32"/>
          <w:highlight w:val="none"/>
        </w:rPr>
        <w:t>12</w:t>
      </w:r>
      <w:r>
        <w:rPr>
          <w:rFonts w:hint="eastAsia" w:ascii="Times New Roman" w:hAnsi="Times New Roman" w:eastAsia="仿宋_GB2312" w:cs="仿宋_GB2312"/>
          <w:color w:val="auto"/>
          <w:sz w:val="32"/>
          <w:szCs w:val="32"/>
          <w:highlight w:val="none"/>
        </w:rPr>
        <w:t>号）文件精神执行；严格报账流程，要求公务接待费用由局办公室统一归口报销，严格执行先审批、后接待的程序。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公务用车购置及运行维护费：</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公务用车购置及运行维护费预算为</w:t>
      </w:r>
      <w:r>
        <w:rPr>
          <w:rFonts w:ascii="Times New Roman" w:hAnsi="Times New Roman" w:eastAsia="仿宋_GB2312" w:cs="Times New Roman"/>
          <w:color w:val="auto"/>
          <w:sz w:val="32"/>
          <w:szCs w:val="32"/>
          <w:highlight w:val="none"/>
        </w:rPr>
        <w:t>38</w:t>
      </w:r>
      <w:r>
        <w:rPr>
          <w:rFonts w:hint="eastAsia" w:ascii="Times New Roman" w:hAnsi="Times New Roman" w:eastAsia="仿宋_GB2312" w:cs="仿宋_GB2312"/>
          <w:color w:val="auto"/>
          <w:sz w:val="32"/>
          <w:szCs w:val="32"/>
          <w:highlight w:val="none"/>
        </w:rPr>
        <w:t>万元，实际支出</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49</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对公务车辆管理实行</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四定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，即定点维修、定点加油、定点保险和定点集中停放制度。严禁公车私用，每周都有专人对公车入库情况进行巡查登记，确保了车辆的安全使用。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ascii="Times New Roman" w:hAnsi="Times New Roman" w:eastAsia="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因公出国（境）费：</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因公出国（境）费预算为</w:t>
      </w:r>
      <w:r>
        <w:rPr>
          <w:rFonts w:hint="eastAsia" w:ascii="Times New Roman" w:hAnsi="Times New Roman" w:eastAsia="仿宋_GB2312" w:cs="Times New Roman"/>
          <w:color w:val="auto"/>
          <w:sz w:val="32"/>
          <w:szCs w:val="32"/>
          <w:highlight w:val="none"/>
          <w:lang w:val="en-US" w:eastAsia="zh-CN"/>
        </w:rPr>
        <w:t>11.50</w:t>
      </w:r>
      <w:r>
        <w:rPr>
          <w:rFonts w:hint="eastAsia" w:ascii="Times New Roman" w:hAnsi="Times New Roman" w:eastAsia="仿宋_GB2312" w:cs="仿宋_GB2312"/>
          <w:color w:val="auto"/>
          <w:sz w:val="32"/>
          <w:szCs w:val="32"/>
          <w:highlight w:val="none"/>
        </w:rPr>
        <w:t>万元，实际支出</w:t>
      </w:r>
      <w:r>
        <w:rPr>
          <w:rFonts w:ascii="Times New Roman" w:hAnsi="Times New Roman" w:eastAsia="仿宋_GB2312" w:cs="Times New Roman"/>
          <w:color w:val="auto"/>
          <w:sz w:val="32"/>
          <w:szCs w:val="32"/>
          <w:highlight w:val="none"/>
        </w:rPr>
        <w:t>0</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认真落实中央的要求，严格执行因公出国（境）审批政策，严格控制因公出国团组数和因公出国人员人数。</w:t>
      </w:r>
    </w:p>
    <w:p>
      <w:pPr>
        <w:spacing w:line="240" w:lineRule="auto"/>
        <w:ind w:firstLine="643" w:firstLineChars="200"/>
        <w:jc w:val="both"/>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（二）项目支出</w:t>
      </w:r>
    </w:p>
    <w:p>
      <w:pPr>
        <w:spacing w:line="240" w:lineRule="auto"/>
        <w:ind w:firstLine="640" w:firstLineChars="200"/>
        <w:jc w:val="both"/>
        <w:rPr>
          <w:rFonts w:ascii="Times New Roman" w:hAnsi="Times New Roman" w:eastAsia="仿宋_GB2312"/>
          <w:color w:val="auto"/>
          <w:sz w:val="32"/>
          <w:szCs w:val="32"/>
          <w:highlight w:val="none"/>
        </w:rPr>
      </w:pPr>
      <w:r>
        <w:rPr>
          <w:rFonts w:hint="eastAsia" w:ascii="Times New Roman" w:hAnsi="Times New Roman" w:eastAsia="仿宋_GB2312" w:cs="仿宋_GB2312"/>
          <w:color w:val="auto"/>
          <w:sz w:val="32"/>
          <w:szCs w:val="32"/>
          <w:highlight w:val="none"/>
        </w:rPr>
        <w:t>项目支出是指除基本支出以外的所有项目情况，包括</w:t>
      </w:r>
      <w:r>
        <w:rPr>
          <w:rFonts w:hint="eastAsia" w:ascii="Times New Roman" w:hAnsi="Times New Roman" w:eastAsia="仿宋_GB2312" w:cs="仿宋_GB2312"/>
          <w:color w:val="auto"/>
          <w:sz w:val="32"/>
          <w:szCs w:val="32"/>
          <w:highlight w:val="none"/>
          <w:lang w:val="en-US" w:eastAsia="zh-CN"/>
        </w:rPr>
        <w:t>部门项目资金（</w:t>
      </w:r>
      <w:r>
        <w:rPr>
          <w:rFonts w:hint="eastAsia" w:ascii="Times New Roman" w:hAnsi="Times New Roman" w:eastAsia="仿宋_GB2312" w:cs="仿宋_GB2312"/>
          <w:color w:val="auto"/>
          <w:sz w:val="32"/>
          <w:szCs w:val="32"/>
          <w:highlight w:val="none"/>
        </w:rPr>
        <w:t>业务工作</w:t>
      </w:r>
      <w:r>
        <w:rPr>
          <w:rFonts w:hint="eastAsia" w:ascii="Times New Roman" w:hAnsi="Times New Roman" w:eastAsia="仿宋_GB2312" w:cs="仿宋_GB2312"/>
          <w:color w:val="auto"/>
          <w:sz w:val="32"/>
          <w:szCs w:val="32"/>
          <w:highlight w:val="none"/>
          <w:lang w:val="en-US" w:eastAsia="zh-CN"/>
        </w:rPr>
        <w:t>经费</w:t>
      </w:r>
      <w:r>
        <w:rPr>
          <w:rFonts w:hint="eastAsia" w:ascii="Times New Roman" w:hAnsi="Times New Roman" w:eastAsia="仿宋_GB2312" w:cs="仿宋_GB2312"/>
          <w:color w:val="auto"/>
          <w:sz w:val="32"/>
          <w:szCs w:val="32"/>
          <w:highlight w:val="none"/>
        </w:rPr>
        <w:t>、运行维护</w:t>
      </w:r>
      <w:r>
        <w:rPr>
          <w:rFonts w:hint="eastAsia" w:ascii="Times New Roman" w:hAnsi="Times New Roman" w:eastAsia="仿宋_GB2312" w:cs="仿宋_GB2312"/>
          <w:color w:val="auto"/>
          <w:sz w:val="32"/>
          <w:szCs w:val="32"/>
          <w:highlight w:val="none"/>
          <w:lang w:val="en-US" w:eastAsia="zh-CN"/>
        </w:rPr>
        <w:t>经费）</w:t>
      </w:r>
      <w:r>
        <w:rPr>
          <w:rFonts w:hint="eastAsia" w:ascii="Times New Roman" w:hAnsi="Times New Roman" w:eastAsia="仿宋_GB2312" w:cs="仿宋_GB2312"/>
          <w:color w:val="auto"/>
          <w:sz w:val="32"/>
          <w:szCs w:val="32"/>
          <w:highlight w:val="none"/>
          <w:lang w:eastAsia="zh-CN"/>
        </w:rPr>
        <w:t>、公共专项资金</w:t>
      </w:r>
      <w:r>
        <w:rPr>
          <w:rFonts w:hint="eastAsia" w:ascii="Times New Roman" w:hAnsi="Times New Roman" w:eastAsia="仿宋_GB2312" w:cs="仿宋_GB2312"/>
          <w:color w:val="auto"/>
          <w:sz w:val="32"/>
          <w:szCs w:val="32"/>
          <w:highlight w:val="none"/>
        </w:rPr>
        <w:t>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ascii="Times New Roman" w:hAnsi="Times New Roman" w:eastAsia="仿宋_GB2312"/>
          <w:b/>
          <w:bCs/>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1.</w:t>
      </w:r>
      <w:r>
        <w:rPr>
          <w:rFonts w:hint="eastAsia" w:ascii="Times New Roman" w:hAnsi="Times New Roman" w:eastAsia="仿宋_GB2312" w:cs="仿宋_GB2312"/>
          <w:b/>
          <w:bCs/>
          <w:color w:val="auto"/>
          <w:sz w:val="32"/>
          <w:szCs w:val="32"/>
          <w:highlight w:val="none"/>
        </w:rPr>
        <w:t>项目资金安排落实、总投入等情况分析</w:t>
      </w:r>
    </w:p>
    <w:p>
      <w:pPr>
        <w:spacing w:line="240" w:lineRule="auto"/>
        <w:ind w:firstLine="640" w:firstLineChars="200"/>
        <w:jc w:val="both"/>
        <w:rPr>
          <w:rFonts w:hint="default" w:ascii="Times New Roman" w:hAnsi="Times New Roman" w:eastAsia="仿宋_GB2312"/>
          <w:color w:val="auto"/>
          <w:sz w:val="32"/>
          <w:szCs w:val="32"/>
          <w:highlight w:val="none"/>
          <w:lang w:val="en-US"/>
        </w:rPr>
      </w:pP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年项目</w:t>
      </w:r>
      <w:r>
        <w:rPr>
          <w:rFonts w:hint="eastAsia" w:ascii="Times New Roman" w:hAnsi="Times New Roman" w:eastAsia="仿宋_GB2312" w:cs="仿宋_GB2312"/>
          <w:color w:val="auto"/>
          <w:sz w:val="32"/>
          <w:szCs w:val="32"/>
          <w:highlight w:val="none"/>
          <w:lang w:val="en-US" w:eastAsia="zh-CN"/>
        </w:rPr>
        <w:t>资金</w:t>
      </w:r>
      <w:r>
        <w:rPr>
          <w:rFonts w:hint="eastAsia" w:ascii="Times New Roman" w:hAnsi="Times New Roman" w:eastAsia="仿宋_GB2312" w:cs="仿宋_GB2312"/>
          <w:color w:val="auto"/>
          <w:sz w:val="32"/>
          <w:szCs w:val="32"/>
          <w:highlight w:val="none"/>
        </w:rPr>
        <w:t>年初预算</w:t>
      </w:r>
      <w:r>
        <w:rPr>
          <w:rFonts w:hint="eastAsia" w:ascii="Times New Roman" w:hAnsi="Times New Roman" w:eastAsia="仿宋_GB2312" w:cs="仿宋_GB2312"/>
          <w:color w:val="auto"/>
          <w:sz w:val="32"/>
          <w:szCs w:val="32"/>
          <w:highlight w:val="none"/>
          <w:lang w:val="en-US" w:eastAsia="zh-CN"/>
        </w:rPr>
        <w:t>安排172,050.44万元，其中部门项目</w:t>
      </w:r>
      <w:r>
        <w:rPr>
          <w:rFonts w:ascii="Times New Roman" w:hAnsi="Times New Roman" w:eastAsia="仿宋_GB2312" w:cs="Times New Roman"/>
          <w:color w:val="auto"/>
          <w:sz w:val="32"/>
          <w:szCs w:val="32"/>
          <w:highlight w:val="none"/>
        </w:rPr>
        <w:t>83</w:t>
      </w:r>
      <w:r>
        <w:rPr>
          <w:rFonts w:hint="eastAsia" w:ascii="Times New Roman" w:hAnsi="Times New Roman" w:eastAsia="仿宋_GB2312" w:cs="Times New Roman"/>
          <w:color w:val="auto"/>
          <w:sz w:val="32"/>
          <w:szCs w:val="32"/>
          <w:highlight w:val="none"/>
          <w:lang w:val="en-US" w:eastAsia="zh-CN"/>
        </w:rPr>
        <w:t>3.44</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、公共项目171,217万元。</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全年预算数155,922.80万元，其中</w:t>
      </w:r>
      <w:r>
        <w:rPr>
          <w:rFonts w:hint="eastAsia" w:ascii="Times New Roman" w:hAnsi="Times New Roman" w:eastAsia="仿宋_GB2312" w:cs="仿宋_GB2312"/>
          <w:color w:val="auto"/>
          <w:sz w:val="32"/>
          <w:szCs w:val="32"/>
          <w:highlight w:val="none"/>
          <w:lang w:val="en-US" w:eastAsia="zh-CN"/>
        </w:rPr>
        <w:t>部门项目</w:t>
      </w:r>
      <w:r>
        <w:rPr>
          <w:rFonts w:hint="default" w:ascii="Times New Roman" w:hAnsi="Times New Roman" w:eastAsia="仿宋_GB2312" w:cs="Times New Roman"/>
          <w:color w:val="auto"/>
          <w:sz w:val="32"/>
          <w:szCs w:val="32"/>
          <w:highlight w:val="none"/>
          <w:lang w:val="en-US" w:eastAsia="zh-CN"/>
        </w:rPr>
        <w:t>3,155.49</w:t>
      </w:r>
      <w:r>
        <w:rPr>
          <w:rFonts w:hint="eastAsia" w:ascii="Times New Roman" w:hAnsi="Times New Roman" w:eastAsia="仿宋_GB2312" w:cs="Times New Roman"/>
          <w:color w:val="auto"/>
          <w:sz w:val="32"/>
          <w:szCs w:val="32"/>
          <w:highlight w:val="none"/>
          <w:lang w:val="en-US" w:eastAsia="zh-CN"/>
        </w:rPr>
        <w:t>万元、公共项目152,767.31万元。</w:t>
      </w:r>
      <w:r>
        <w:rPr>
          <w:rFonts w:ascii="Times New Roman" w:hAnsi="Times New Roman" w:eastAsia="仿宋_GB2312" w:cs="Times New Roman"/>
          <w:color w:val="auto"/>
          <w:sz w:val="32"/>
          <w:szCs w:val="32"/>
          <w:highlight w:val="none"/>
          <w:shd w:val="clear" w:color="auto" w:fill="FFFFFF"/>
        </w:rPr>
        <w:t>本部门202</w:t>
      </w:r>
      <w:r>
        <w:rPr>
          <w:rFonts w:hint="eastAsia" w:ascii="Times New Roman" w:hAnsi="Times New Roman" w:eastAsia="仿宋_GB2312" w:cs="Times New Roman"/>
          <w:color w:val="auto"/>
          <w:sz w:val="32"/>
          <w:szCs w:val="32"/>
          <w:highlight w:val="none"/>
          <w:shd w:val="clear" w:color="auto" w:fill="FFFFFF"/>
          <w:lang w:val="en-US" w:eastAsia="zh-CN"/>
        </w:rPr>
        <w:t>2</w:t>
      </w:r>
      <w:r>
        <w:rPr>
          <w:rFonts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安排</w:t>
      </w:r>
      <w:r>
        <w:rPr>
          <w:rFonts w:ascii="Times New Roman" w:hAnsi="Times New Roman" w:eastAsia="仿宋_GB2312" w:cs="Times New Roman"/>
          <w:color w:val="auto"/>
          <w:sz w:val="32"/>
          <w:szCs w:val="32"/>
          <w:highlight w:val="none"/>
          <w:shd w:val="clear" w:color="auto" w:fill="FFFFFF"/>
        </w:rPr>
        <w:t>一般公共预算财政拨款</w:t>
      </w:r>
      <w:r>
        <w:rPr>
          <w:rFonts w:hint="eastAsia" w:ascii="Times New Roman" w:hAnsi="Times New Roman" w:eastAsia="仿宋_GB2312" w:cs="Times New Roman"/>
          <w:color w:val="auto"/>
          <w:sz w:val="32"/>
          <w:szCs w:val="32"/>
          <w:highlight w:val="none"/>
          <w:shd w:val="clear" w:color="auto" w:fill="FFFFFF"/>
          <w:lang w:val="en-US" w:eastAsia="zh-CN"/>
        </w:rPr>
        <w:t>项目支出</w:t>
      </w:r>
      <w:r>
        <w:rPr>
          <w:rFonts w:hint="eastAsia" w:ascii="Times New Roman" w:hAnsi="Times New Roman" w:eastAsia="仿宋_GB2312" w:cs="Times New Roman"/>
          <w:color w:val="auto"/>
          <w:sz w:val="32"/>
          <w:szCs w:val="32"/>
          <w:highlight w:val="none"/>
          <w:lang w:val="en-US" w:eastAsia="zh-CN"/>
        </w:rPr>
        <w:t>153,879.15万元。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ascii="Times New Roman" w:hAnsi="Times New Roman" w:eastAsia="仿宋_GB2312"/>
          <w:b/>
          <w:bCs/>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2.</w:t>
      </w:r>
      <w:r>
        <w:rPr>
          <w:rFonts w:hint="eastAsia" w:ascii="Times New Roman" w:hAnsi="Times New Roman" w:eastAsia="仿宋_GB2312" w:cs="仿宋_GB2312"/>
          <w:b/>
          <w:bCs/>
          <w:color w:val="auto"/>
          <w:sz w:val="32"/>
          <w:szCs w:val="32"/>
          <w:highlight w:val="none"/>
        </w:rPr>
        <w:t>项目资金实际使用情况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Calibri"/>
          <w:color w:val="auto"/>
          <w:kern w:val="2"/>
          <w:sz w:val="32"/>
          <w:szCs w:val="32"/>
          <w:highlight w:val="none"/>
          <w:lang w:val="en-US" w:eastAsia="zh-CN" w:bidi="ar-SA"/>
        </w:rPr>
      </w:pP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lang w:val="en-US" w:eastAsia="zh-CN"/>
        </w:rPr>
        <w:t>项目总支出153,879.15万元，其中：</w:t>
      </w:r>
      <w:r>
        <w:rPr>
          <w:rFonts w:hint="eastAsia" w:ascii="Times New Roman" w:hAnsi="Times New Roman" w:eastAsia="仿宋_GB2312"/>
          <w:color w:val="auto"/>
          <w:sz w:val="32"/>
          <w:szCs w:val="32"/>
          <w:highlight w:val="none"/>
          <w:lang w:val="en-US" w:eastAsia="zh-CN"/>
        </w:rPr>
        <w:t>部门项目支出决算3,046.26万元、公共项目支出决算150,832.89万元。年末结余资金财政已全部收回。</w:t>
      </w:r>
      <w:r>
        <w:rPr>
          <w:rFonts w:hint="eastAsia" w:ascii="Times New Roman" w:hAnsi="Times New Roman" w:eastAsia="仿宋_GB2312" w:cs="Calibri"/>
          <w:color w:val="auto"/>
          <w:kern w:val="2"/>
          <w:sz w:val="32"/>
          <w:szCs w:val="32"/>
          <w:highlight w:val="none"/>
          <w:lang w:val="en-US" w:eastAsia="zh-CN" w:bidi="ar-SA"/>
        </w:rPr>
        <w:t>项目支出具体明细如下：</w:t>
      </w:r>
    </w:p>
    <w:p>
      <w:pPr>
        <w:pStyle w:val="12"/>
        <w:keepNext w:val="0"/>
        <w:keepLines w:val="0"/>
        <w:pageBreakBefore w:val="0"/>
        <w:widowControl w:val="0"/>
        <w:kinsoku/>
        <w:wordWrap/>
        <w:overflowPunct/>
        <w:topLinePunct w:val="0"/>
        <w:autoSpaceDE/>
        <w:autoSpaceDN/>
        <w:bidi w:val="0"/>
        <w:adjustRightInd/>
        <w:snapToGrid/>
        <w:spacing w:before="157" w:beforeLines="50" w:after="0" w:line="240" w:lineRule="auto"/>
        <w:ind w:left="0" w:leftChars="0" w:firstLine="643" w:firstLineChars="200"/>
        <w:jc w:val="center"/>
        <w:textAlignment w:val="auto"/>
        <w:rPr>
          <w:rFonts w:hint="eastAsia" w:ascii="Times New Roman" w:hAnsi="Times New Roman" w:eastAsia="仿宋_GB2312" w:cs="Calibri"/>
          <w:b/>
          <w:bCs/>
          <w:color w:val="auto"/>
          <w:kern w:val="2"/>
          <w:sz w:val="32"/>
          <w:szCs w:val="32"/>
          <w:highlight w:val="none"/>
          <w:lang w:val="en-US" w:eastAsia="zh-CN" w:bidi="ar-SA"/>
        </w:rPr>
      </w:pPr>
      <w:r>
        <w:rPr>
          <w:rFonts w:hint="eastAsia" w:ascii="Times New Roman" w:hAnsi="Times New Roman" w:eastAsia="仿宋_GB2312" w:cs="Calibri"/>
          <w:b/>
          <w:bCs/>
          <w:color w:val="auto"/>
          <w:kern w:val="2"/>
          <w:sz w:val="32"/>
          <w:szCs w:val="32"/>
          <w:highlight w:val="none"/>
          <w:lang w:val="en-US" w:eastAsia="zh-CN" w:bidi="ar-SA"/>
        </w:rPr>
        <w:t>部门预算项目资金明细表</w:t>
      </w:r>
    </w:p>
    <w:p>
      <w:pPr>
        <w:pStyle w:val="12"/>
        <w:keepNext w:val="0"/>
        <w:keepLines w:val="0"/>
        <w:pageBreakBefore w:val="0"/>
        <w:widowControl w:val="0"/>
        <w:kinsoku/>
        <w:wordWrap/>
        <w:overflowPunct/>
        <w:topLinePunct w:val="0"/>
        <w:autoSpaceDE/>
        <w:autoSpaceDN/>
        <w:bidi w:val="0"/>
        <w:adjustRightInd/>
        <w:snapToGrid/>
        <w:spacing w:after="0"/>
        <w:ind w:left="0" w:leftChars="0" w:firstLine="442" w:firstLineChars="200"/>
        <w:jc w:val="right"/>
        <w:textAlignment w:val="auto"/>
        <w:rPr>
          <w:rFonts w:hint="default" w:ascii="Times New Roman" w:hAnsi="Times New Roman" w:eastAsia="仿宋_GB2312" w:cs="Calibri"/>
          <w:b/>
          <w:bCs/>
          <w:color w:val="auto"/>
          <w:kern w:val="2"/>
          <w:sz w:val="22"/>
          <w:szCs w:val="22"/>
          <w:highlight w:val="none"/>
          <w:lang w:val="en-US" w:eastAsia="zh-CN" w:bidi="ar-SA"/>
        </w:rPr>
      </w:pPr>
      <w:r>
        <w:rPr>
          <w:rFonts w:hint="eastAsia" w:ascii="Times New Roman" w:hAnsi="Times New Roman" w:eastAsia="仿宋_GB2312" w:cs="Calibri"/>
          <w:b/>
          <w:bCs/>
          <w:color w:val="auto"/>
          <w:kern w:val="2"/>
          <w:sz w:val="22"/>
          <w:szCs w:val="22"/>
          <w:highlight w:val="none"/>
          <w:lang w:val="en-US" w:eastAsia="zh-CN" w:bidi="ar-SA"/>
        </w:rPr>
        <w:t>单位：万元</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2255"/>
        <w:gridCol w:w="1220"/>
        <w:gridCol w:w="1220"/>
        <w:gridCol w:w="1220"/>
        <w:gridCol w:w="1079"/>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序号</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项目名称</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年初预算数</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全年预算数</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年末决算数</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执行率</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Style w:val="25"/>
                <w:color w:val="auto"/>
                <w:sz w:val="20"/>
                <w:szCs w:val="20"/>
                <w:highlight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行政审批案卷档案整理专项经费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26.32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43.87%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法制建设及诉讼费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35.93%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60</w:t>
            </w:r>
            <w:r>
              <w:rPr>
                <w:rStyle w:val="27"/>
                <w:color w:val="auto"/>
                <w:sz w:val="20"/>
                <w:szCs w:val="20"/>
                <w:highlight w:val="none"/>
                <w:lang w:val="en-US" w:eastAsia="zh-CN" w:bidi="ar"/>
              </w:rPr>
              <w:t>年代精减下放人员救济费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4.04</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4.04</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89.11%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建设领域行业监管检查工作经费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158.80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158.80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152.63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96.11%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处理私房改造遗留问题工作经费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58.90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58.90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58.90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住房和城乡建设专项经费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147.91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87.01%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建设工程消防设计审查服务经费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45.00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住建局系统信息化运行维护</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188.00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188.00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187.42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99.69%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宣传专项经费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28.50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住房保障工作经费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47.40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47.40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43.61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污水行业监管经费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25.00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87.72%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派驻纪检监察组日常办公经费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0.65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21.67%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供水行业监管经费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13.30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13.30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8.13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61.13%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市直机关干部子女统筹医疗费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0.40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0.40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抚恤金及丧葬费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151.05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151.05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企业军转干部解困资金</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16.50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2022</w:t>
            </w:r>
            <w:r>
              <w:rPr>
                <w:rStyle w:val="27"/>
                <w:color w:val="auto"/>
                <w:sz w:val="20"/>
                <w:szCs w:val="20"/>
                <w:highlight w:val="none"/>
                <w:lang w:val="en-US" w:eastAsia="zh-CN" w:bidi="ar"/>
              </w:rPr>
              <w:t>年特困企业离休干部统筹外经费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12.54</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12.24</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97.61%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元旦、重阳、春节等离退休干部慰问经费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15.50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烈士纪念日活动经费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12.80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12.80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2022</w:t>
            </w:r>
            <w:r>
              <w:rPr>
                <w:rStyle w:val="27"/>
                <w:color w:val="auto"/>
                <w:sz w:val="20"/>
                <w:szCs w:val="20"/>
                <w:highlight w:val="none"/>
                <w:lang w:val="en-US" w:eastAsia="zh-CN" w:bidi="ar"/>
              </w:rPr>
              <w:t>年长沙市自建房指挥部工作经费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364.51</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98.52%</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指标合并设置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2022</w:t>
            </w:r>
            <w:r>
              <w:rPr>
                <w:rStyle w:val="27"/>
                <w:color w:val="auto"/>
                <w:sz w:val="20"/>
                <w:szCs w:val="20"/>
                <w:highlight w:val="none"/>
                <w:lang w:val="en-US" w:eastAsia="zh-CN" w:bidi="ar"/>
              </w:rPr>
              <w:t>年长沙市自建房安全检测鉴定经费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16.15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16.15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自建房专项整治省级补助资金</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w:t>
            </w:r>
            <w:r>
              <w:rPr>
                <w:rStyle w:val="27"/>
                <w:color w:val="auto"/>
                <w:sz w:val="20"/>
                <w:szCs w:val="20"/>
                <w:highlight w:val="none"/>
                <w:lang w:val="en-US" w:eastAsia="zh-CN" w:bidi="ar"/>
              </w:rPr>
              <w:t>百日攻坚</w:t>
            </w:r>
            <w:r>
              <w:rPr>
                <w:rStyle w:val="26"/>
                <w:rFonts w:hint="eastAsia"/>
                <w:color w:val="auto"/>
                <w:sz w:val="20"/>
                <w:szCs w:val="20"/>
                <w:highlight w:val="none"/>
                <w:lang w:val="en-US" w:eastAsia="zh-CN" w:bidi="ar"/>
              </w:rPr>
              <w:t>”</w:t>
            </w:r>
            <w:r>
              <w:rPr>
                <w:rStyle w:val="27"/>
                <w:color w:val="auto"/>
                <w:sz w:val="20"/>
                <w:szCs w:val="20"/>
                <w:highlight w:val="none"/>
                <w:lang w:val="en-US" w:eastAsia="zh-CN" w:bidi="ar"/>
              </w:rPr>
              <w:t>较大安全隐患居民自建房结构安全鉴定费用</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379.52</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379.52</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岳麓大道快速化改造总体方案课题研究</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50.50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指标合并设置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hint="eastAsia"/>
                <w:color w:val="auto"/>
                <w:sz w:val="20"/>
                <w:szCs w:val="20"/>
                <w:highlight w:val="none"/>
                <w:lang w:val="en-US" w:eastAsia="zh-CN" w:bidi="ar"/>
              </w:rPr>
              <w:t>“</w:t>
            </w:r>
            <w:r>
              <w:rPr>
                <w:rStyle w:val="27"/>
                <w:color w:val="auto"/>
                <w:sz w:val="20"/>
                <w:szCs w:val="20"/>
                <w:highlight w:val="none"/>
                <w:lang w:val="en-US" w:eastAsia="zh-CN" w:bidi="ar"/>
              </w:rPr>
              <w:t>十四五</w:t>
            </w:r>
            <w:r>
              <w:rPr>
                <w:rStyle w:val="26"/>
                <w:rFonts w:hint="eastAsia"/>
                <w:color w:val="auto"/>
                <w:sz w:val="20"/>
                <w:szCs w:val="20"/>
                <w:highlight w:val="none"/>
                <w:lang w:val="en-US" w:eastAsia="zh-CN" w:bidi="ar"/>
              </w:rPr>
              <w:t>”</w:t>
            </w:r>
            <w:r>
              <w:rPr>
                <w:rStyle w:val="27"/>
                <w:color w:val="auto"/>
                <w:sz w:val="20"/>
                <w:szCs w:val="20"/>
                <w:highlight w:val="none"/>
                <w:lang w:val="en-US" w:eastAsia="zh-CN" w:bidi="ar"/>
              </w:rPr>
              <w:t>骨干路网建设计划课题研究经费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21.35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21.35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Style w:val="27"/>
                <w:color w:val="auto"/>
                <w:sz w:val="20"/>
                <w:szCs w:val="20"/>
                <w:highlight w:val="none"/>
                <w:lang w:val="en-US" w:eastAsia="zh-CN" w:bidi="ar"/>
              </w:rPr>
              <w:t>地下管线综合信息管理平台（一期）</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279.60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279.60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27</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在建工地视频监控和扬尘在线监测服务费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330.98</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330.98</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28</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第二批信创产品专项经费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121.09</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121.09</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29</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2016</w:t>
            </w:r>
            <w:r>
              <w:rPr>
                <w:rStyle w:val="27"/>
                <w:color w:val="auto"/>
                <w:sz w:val="20"/>
                <w:szCs w:val="20"/>
                <w:highlight w:val="none"/>
                <w:lang w:val="en-US" w:eastAsia="zh-CN" w:bidi="ar"/>
              </w:rPr>
              <w:t>年后新上线信息化系统运行维护经费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69.92</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68.43</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97.87%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30</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2021</w:t>
            </w:r>
            <w:r>
              <w:rPr>
                <w:rStyle w:val="27"/>
                <w:color w:val="auto"/>
                <w:sz w:val="20"/>
                <w:szCs w:val="20"/>
                <w:highlight w:val="none"/>
                <w:lang w:val="en-US" w:eastAsia="zh-CN" w:bidi="ar"/>
              </w:rPr>
              <w:t>年度湖南省土建工程专业初中级职称考试考务费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312.15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312.15</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31</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2021</w:t>
            </w:r>
            <w:r>
              <w:rPr>
                <w:rStyle w:val="27"/>
                <w:color w:val="auto"/>
                <w:sz w:val="20"/>
                <w:szCs w:val="20"/>
                <w:highlight w:val="none"/>
                <w:lang w:val="en-US" w:eastAsia="zh-CN" w:bidi="ar"/>
              </w:rPr>
              <w:t>年度督查激励奖励资金</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97.80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97.80%</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指标合并设置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32</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2021</w:t>
            </w:r>
            <w:r>
              <w:rPr>
                <w:rStyle w:val="27"/>
                <w:color w:val="auto"/>
                <w:sz w:val="20"/>
                <w:szCs w:val="20"/>
                <w:highlight w:val="none"/>
                <w:lang w:val="en-US" w:eastAsia="zh-CN" w:bidi="ar"/>
              </w:rPr>
              <w:t>年度城市管理工作考核奖励经费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33</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Style w:val="26"/>
                <w:rFonts w:eastAsia="宋体"/>
                <w:color w:val="auto"/>
                <w:sz w:val="20"/>
                <w:szCs w:val="20"/>
                <w:highlight w:val="none"/>
                <w:lang w:val="en-US" w:eastAsia="zh-CN" w:bidi="ar"/>
              </w:rPr>
              <w:t>2021</w:t>
            </w:r>
            <w:r>
              <w:rPr>
                <w:rStyle w:val="27"/>
                <w:color w:val="auto"/>
                <w:sz w:val="20"/>
                <w:szCs w:val="20"/>
                <w:highlight w:val="none"/>
                <w:lang w:val="en-US" w:eastAsia="zh-CN" w:bidi="ar"/>
              </w:rPr>
              <w:t>年度安全生产和消防工作考核奖励经费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0.96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19.20%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34</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信访工作考核奖励专项</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auto"/>
                <w:sz w:val="20"/>
                <w:szCs w:val="20"/>
                <w:highlight w:val="none"/>
                <w:u w:val="none"/>
                <w:lang w:val="en-US" w:eastAsia="zh-CN"/>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2.00</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6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合计</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833.44</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3,155.49</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3,046.26</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96.54%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i w:val="0"/>
                <w:iCs w:val="0"/>
                <w:color w:val="auto"/>
                <w:sz w:val="20"/>
                <w:szCs w:val="20"/>
                <w:highlight w:val="none"/>
                <w:u w:val="none"/>
              </w:rPr>
            </w:pPr>
          </w:p>
        </w:tc>
      </w:tr>
    </w:tbl>
    <w:p>
      <w:pPr>
        <w:pStyle w:val="12"/>
        <w:keepNext w:val="0"/>
        <w:keepLines w:val="0"/>
        <w:pageBreakBefore w:val="0"/>
        <w:widowControl w:val="0"/>
        <w:kinsoku/>
        <w:wordWrap/>
        <w:overflowPunct/>
        <w:topLinePunct w:val="0"/>
        <w:autoSpaceDE/>
        <w:autoSpaceDN/>
        <w:bidi w:val="0"/>
        <w:adjustRightInd/>
        <w:snapToGrid/>
        <w:spacing w:before="313" w:beforeLines="100" w:after="0" w:line="240" w:lineRule="auto"/>
        <w:ind w:left="0" w:leftChars="0" w:firstLine="643" w:firstLineChars="200"/>
        <w:jc w:val="center"/>
        <w:textAlignment w:val="auto"/>
        <w:rPr>
          <w:rFonts w:hint="default" w:ascii="Times New Roman" w:hAnsi="Times New Roman" w:eastAsia="仿宋_GB2312" w:cs="Calibri"/>
          <w:b/>
          <w:bCs/>
          <w:color w:val="auto"/>
          <w:kern w:val="2"/>
          <w:sz w:val="32"/>
          <w:szCs w:val="32"/>
          <w:highlight w:val="none"/>
          <w:lang w:val="en-US" w:eastAsia="zh-CN" w:bidi="ar-SA"/>
        </w:rPr>
      </w:pPr>
      <w:r>
        <w:rPr>
          <w:rFonts w:hint="default" w:ascii="Times New Roman" w:hAnsi="Times New Roman" w:eastAsia="仿宋_GB2312" w:cs="Calibri"/>
          <w:b/>
          <w:bCs/>
          <w:color w:val="auto"/>
          <w:kern w:val="2"/>
          <w:sz w:val="32"/>
          <w:szCs w:val="32"/>
          <w:highlight w:val="none"/>
          <w:lang w:val="en-US" w:eastAsia="zh-CN" w:bidi="ar-SA"/>
        </w:rPr>
        <w:t>公共项目资金明细表</w:t>
      </w:r>
    </w:p>
    <w:p>
      <w:pPr>
        <w:pStyle w:val="12"/>
        <w:keepNext w:val="0"/>
        <w:keepLines w:val="0"/>
        <w:pageBreakBefore w:val="0"/>
        <w:widowControl w:val="0"/>
        <w:kinsoku/>
        <w:wordWrap/>
        <w:overflowPunct/>
        <w:topLinePunct w:val="0"/>
        <w:autoSpaceDE/>
        <w:autoSpaceDN/>
        <w:bidi w:val="0"/>
        <w:adjustRightInd/>
        <w:snapToGrid/>
        <w:spacing w:after="0"/>
        <w:ind w:left="0" w:leftChars="0" w:firstLine="442" w:firstLineChars="200"/>
        <w:jc w:val="right"/>
        <w:textAlignment w:val="auto"/>
        <w:rPr>
          <w:rFonts w:hint="default" w:ascii="Times New Roman" w:hAnsi="Times New Roman" w:eastAsia="仿宋_GB2312" w:cs="Calibri"/>
          <w:b/>
          <w:bCs/>
          <w:color w:val="auto"/>
          <w:kern w:val="2"/>
          <w:sz w:val="32"/>
          <w:szCs w:val="32"/>
          <w:highlight w:val="none"/>
          <w:lang w:val="en-US" w:eastAsia="zh-CN" w:bidi="ar-SA"/>
        </w:rPr>
      </w:pPr>
      <w:r>
        <w:rPr>
          <w:rFonts w:hint="eastAsia" w:ascii="Times New Roman" w:hAnsi="Times New Roman" w:eastAsia="仿宋_GB2312" w:cs="Calibri"/>
          <w:b/>
          <w:bCs/>
          <w:color w:val="auto"/>
          <w:kern w:val="2"/>
          <w:sz w:val="22"/>
          <w:szCs w:val="22"/>
          <w:highlight w:val="none"/>
          <w:lang w:val="en-US" w:eastAsia="zh-CN" w:bidi="ar-SA"/>
        </w:rPr>
        <w:t>单位：万元</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1890"/>
        <w:gridCol w:w="1224"/>
        <w:gridCol w:w="1252"/>
        <w:gridCol w:w="1223"/>
        <w:gridCol w:w="990"/>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blHead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项目名称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年初预算数</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全年预算数</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年末决算数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执行率</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污水处理运行费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auto"/>
                <w:kern w:val="0"/>
                <w:sz w:val="20"/>
                <w:szCs w:val="20"/>
                <w:highlight w:val="none"/>
                <w:u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93,868.84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auto"/>
                <w:kern w:val="0"/>
                <w:sz w:val="20"/>
                <w:szCs w:val="20"/>
                <w:highlight w:val="none"/>
                <w:u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93,868.84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cs="Times New Roman"/>
                <w:i w:val="0"/>
                <w:iCs w:val="0"/>
                <w:color w:val="auto"/>
                <w:kern w:val="0"/>
                <w:sz w:val="20"/>
                <w:szCs w:val="20"/>
                <w:highlight w:val="none"/>
                <w:u w:val="none"/>
                <w:lang w:val="en-US" w:eastAsia="zh-CN" w:bidi="ar"/>
              </w:rPr>
              <w:t>100.00</w:t>
            </w: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18"/>
                <w:szCs w:val="18"/>
                <w:highlight w:val="none"/>
                <w:u w:val="none"/>
                <w:lang w:val="en-US" w:eastAsia="zh-CN"/>
              </w:rPr>
            </w:pPr>
            <w:r>
              <w:rPr>
                <w:rFonts w:hint="eastAsia" w:ascii="Times New Roman" w:hAnsi="Times New Roman" w:cs="Times New Roman"/>
                <w:i w:val="0"/>
                <w:iCs w:val="0"/>
                <w:color w:val="auto"/>
                <w:sz w:val="18"/>
                <w:szCs w:val="18"/>
                <w:highlight w:val="none"/>
                <w:u w:val="none"/>
                <w:lang w:val="en-US" w:eastAsia="zh-CN"/>
              </w:rPr>
              <w:t>项目年度决算数179,296.74万元，其中一般公共预算支出93,868.84万元，政府性基金预算支出85,427.90万元。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lang w:val="en-US"/>
              </w:rPr>
            </w:pPr>
            <w:r>
              <w:rPr>
                <w:rFonts w:hint="default" w:ascii="Times New Roman" w:hAnsi="Times New Roman" w:eastAsia="宋体" w:cs="Times New Roman"/>
                <w:i w:val="0"/>
                <w:iCs w:val="0"/>
                <w:color w:val="auto"/>
                <w:kern w:val="0"/>
                <w:sz w:val="20"/>
                <w:szCs w:val="20"/>
                <w:highlight w:val="none"/>
                <w:u w:val="none"/>
                <w:lang w:val="en-US" w:eastAsia="zh-CN" w:bidi="ar"/>
              </w:rPr>
              <w:t>五区市政（排水）维护经费</w:t>
            </w:r>
            <w:r>
              <w:rPr>
                <w:rFonts w:hint="eastAsia" w:ascii="Times New Roman" w:hAnsi="Times New Roman" w:eastAsia="宋体" w:cs="Times New Roman"/>
                <w:i w:val="0"/>
                <w:iCs w:val="0"/>
                <w:color w:val="auto"/>
                <w:kern w:val="0"/>
                <w:sz w:val="20"/>
                <w:szCs w:val="20"/>
                <w:highlight w:val="none"/>
                <w:u w:val="none"/>
                <w:lang w:val="en-US" w:eastAsia="zh-CN" w:bidi="ar"/>
              </w:rPr>
              <w:t>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2,648.00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2022年度财政未下达该笔资金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建设工程施工图审查服务费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5,959.12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5,944.81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99.76%</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建筑节能与绿色建筑专项资金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2022年度财政未下达该笔资金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村镇建设专项资金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5.69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11.38%</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乡镇污水处理厂建设和运行补助资金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6,000.00 </w:t>
            </w:r>
          </w:p>
        </w:tc>
        <w:tc>
          <w:tcPr>
            <w:tcW w:w="1252"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2022年度财政未下达该笔资金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建筑行业发展专项资金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2,611.</w:t>
            </w:r>
            <w:r>
              <w:rPr>
                <w:rFonts w:hint="eastAsia" w:ascii="Times New Roman" w:hAnsi="Times New Roman" w:eastAsia="宋体" w:cs="Times New Roman"/>
                <w:i w:val="0"/>
                <w:iCs w:val="0"/>
                <w:color w:val="auto"/>
                <w:kern w:val="0"/>
                <w:sz w:val="20"/>
                <w:szCs w:val="20"/>
                <w:highlight w:val="none"/>
                <w:u w:val="none"/>
                <w:lang w:val="en-US" w:eastAsia="zh-CN" w:bidi="ar"/>
              </w:rPr>
              <w:t>6</w:t>
            </w:r>
            <w:r>
              <w:rPr>
                <w:rFonts w:hint="default" w:ascii="Times New Roman" w:hAnsi="Times New Roman" w:eastAsia="宋体" w:cs="Times New Roman"/>
                <w:i w:val="0"/>
                <w:iCs w:val="0"/>
                <w:color w:val="auto"/>
                <w:kern w:val="0"/>
                <w:sz w:val="20"/>
                <w:szCs w:val="20"/>
                <w:highlight w:val="none"/>
                <w:u w:val="none"/>
                <w:lang w:val="en-US" w:eastAsia="zh-CN" w:bidi="ar"/>
              </w:rPr>
              <w:t xml:space="preserve">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2,611.</w:t>
            </w:r>
            <w:r>
              <w:rPr>
                <w:rFonts w:hint="eastAsia" w:ascii="Times New Roman" w:hAnsi="Times New Roman" w:eastAsia="宋体" w:cs="Times New Roman"/>
                <w:i w:val="0"/>
                <w:iCs w:val="0"/>
                <w:color w:val="auto"/>
                <w:kern w:val="0"/>
                <w:sz w:val="20"/>
                <w:szCs w:val="20"/>
                <w:highlight w:val="none"/>
                <w:u w:val="none"/>
                <w:lang w:val="en-US" w:eastAsia="zh-CN" w:bidi="ar"/>
              </w:rPr>
              <w:t>6</w:t>
            </w:r>
            <w:r>
              <w:rPr>
                <w:rFonts w:hint="default" w:ascii="Times New Roman" w:hAnsi="Times New Roman" w:eastAsia="宋体" w:cs="Times New Roman"/>
                <w:i w:val="0"/>
                <w:iCs w:val="0"/>
                <w:color w:val="auto"/>
                <w:kern w:val="0"/>
                <w:sz w:val="20"/>
                <w:szCs w:val="20"/>
                <w:highlight w:val="none"/>
                <w:u w:val="none"/>
                <w:lang w:val="en-US" w:eastAsia="zh-CN" w:bidi="ar"/>
              </w:rPr>
              <w:t xml:space="preserve">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i w:val="0"/>
                <w:iCs w:val="0"/>
                <w:color w:val="auto"/>
                <w:kern w:val="0"/>
                <w:sz w:val="20"/>
                <w:szCs w:val="20"/>
                <w:highlight w:val="none"/>
                <w:u w:val="none"/>
                <w:lang w:val="en" w:eastAsia="zh-CN" w:bidi="ar"/>
              </w:rPr>
              <w:t>100.00</w:t>
            </w: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安居工程资金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eastAsia="宋体" w:cs="Times New Roman"/>
                <w:i w:val="0"/>
                <w:iCs w:val="0"/>
                <w:color w:val="auto"/>
                <w:sz w:val="20"/>
                <w:szCs w:val="20"/>
                <w:highlight w:val="none"/>
                <w:u w:val="none"/>
                <w:lang w:val="en-US" w:eastAsia="zh-CN"/>
              </w:rPr>
              <w:t>0</w:t>
            </w:r>
            <w:r>
              <w:rPr>
                <w:rFonts w:hint="default" w:ascii="Times New Roman" w:hAnsi="Times New Roman" w:eastAsia="宋体" w:cs="Times New Roman"/>
                <w:i w:val="0"/>
                <w:iCs w:val="0"/>
                <w:color w:val="auto"/>
                <w:kern w:val="0"/>
                <w:sz w:val="20"/>
                <w:szCs w:val="20"/>
                <w:highlight w:val="none"/>
                <w:u w:val="none"/>
                <w:lang w:val="en-US" w:eastAsia="zh-CN" w:bidi="ar"/>
              </w:rPr>
              <w:t>.00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2022年度财政未下达该笔资金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既有住宅安装电梯市级补助</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2,000.00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2,000.00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精美长沙专项经费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868.51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745.99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85.89%</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物业管理专项工作经费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1,550.00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25.00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25.00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泵站运行经费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8,000.00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7,952.23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99.40%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市排水事务中心泵站提标管网建设等项目经费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3,900.95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3,293.65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84.43%</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防洪排渍经费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700.00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680.70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97.24%</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实施高精尖人才领跑工程购房补贴</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5,000.00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4,134.09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82.68%</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实施青年人才筑梦工程购房补贴</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10,000.00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10,000.00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10,000.00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实施</w:t>
            </w:r>
            <w:r>
              <w:rPr>
                <w:rFonts w:hint="eastAsia" w:ascii="Times New Roman" w:hAnsi="Times New Roman"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长沙工匠</w:t>
            </w:r>
            <w:r>
              <w:rPr>
                <w:rFonts w:hint="eastAsia" w:ascii="Times New Roman" w:hAnsi="Times New Roman" w:cs="Times New Roman"/>
                <w:i w:val="0"/>
                <w:iCs w:val="0"/>
                <w:color w:val="auto"/>
                <w:kern w:val="0"/>
                <w:sz w:val="20"/>
                <w:szCs w:val="20"/>
                <w:highlight w:val="none"/>
                <w:u w:val="none"/>
                <w:lang w:val="en-US" w:eastAsia="zh-CN" w:bidi="ar"/>
              </w:rPr>
              <w:t>”</w:t>
            </w:r>
            <w:r>
              <w:rPr>
                <w:rFonts w:hint="default" w:ascii="Times New Roman" w:hAnsi="Times New Roman" w:eastAsia="宋体" w:cs="Times New Roman"/>
                <w:i w:val="0"/>
                <w:iCs w:val="0"/>
                <w:color w:val="auto"/>
                <w:kern w:val="0"/>
                <w:sz w:val="20"/>
                <w:szCs w:val="20"/>
                <w:highlight w:val="none"/>
                <w:u w:val="none"/>
                <w:lang w:val="en-US" w:eastAsia="zh-CN" w:bidi="ar"/>
              </w:rPr>
              <w:t>铸造工程购房补贴</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300.00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300.00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87.00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29.00%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长沙市地下综合管廊试点建设PPP项目（第一批）</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11,702.00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10,483.29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10,483.29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长沙市敢胜垸、苏托垸污水处理PPP项目（还本付息）</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9,817.00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auto"/>
                <w:kern w:val="0"/>
                <w:sz w:val="20"/>
                <w:szCs w:val="20"/>
                <w:highlight w:val="none"/>
                <w:u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9,000.00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auto"/>
                <w:kern w:val="0"/>
                <w:sz w:val="20"/>
                <w:szCs w:val="20"/>
                <w:highlight w:val="none"/>
                <w:u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9,000.00 </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100.00%</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20"/>
                <w:szCs w:val="20"/>
                <w:highlight w:val="none"/>
                <w:u w:val="none"/>
              </w:rPr>
            </w:pPr>
            <w:r>
              <w:rPr>
                <w:rFonts w:hint="eastAsia" w:ascii="Times New Roman" w:hAnsi="Times New Roman" w:cs="Times New Roman"/>
                <w:i w:val="0"/>
                <w:iCs w:val="0"/>
                <w:color w:val="auto"/>
                <w:sz w:val="18"/>
                <w:szCs w:val="18"/>
                <w:highlight w:val="none"/>
                <w:u w:val="none"/>
                <w:lang w:val="en-US" w:eastAsia="zh-CN"/>
              </w:rPr>
              <w:t>项目年度决算数12,644.90万元，其中一般公共预算支出9,000万元，政府性基金预算支出3,644.90万元。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0"/>
                <w:szCs w:val="20"/>
                <w:highlight w:val="none"/>
                <w:u w:val="none"/>
                <w:lang w:val="en-US" w:eastAsia="zh-CN" w:bidi="ar"/>
              </w:rPr>
              <w:t xml:space="preserve">171,217.00 </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lang w:val="en-US"/>
              </w:rPr>
            </w:pPr>
            <w:r>
              <w:rPr>
                <w:rFonts w:hint="eastAsia" w:ascii="Times New Roman" w:hAnsi="Times New Roman" w:eastAsia="宋体" w:cs="Times New Roman"/>
                <w:b/>
                <w:bCs/>
                <w:i w:val="0"/>
                <w:iCs w:val="0"/>
                <w:color w:val="auto"/>
                <w:kern w:val="0"/>
                <w:sz w:val="20"/>
                <w:szCs w:val="20"/>
                <w:highlight w:val="none"/>
                <w:u w:val="none"/>
                <w:lang w:val="en-US" w:eastAsia="zh-CN" w:bidi="ar"/>
              </w:rPr>
              <w:t>152</w:t>
            </w:r>
            <w:r>
              <w:rPr>
                <w:rFonts w:hint="eastAsia" w:ascii="Times New Roman" w:hAnsi="Times New Roman" w:cs="Times New Roman"/>
                <w:b/>
                <w:bCs/>
                <w:i w:val="0"/>
                <w:iCs w:val="0"/>
                <w:color w:val="auto"/>
                <w:kern w:val="0"/>
                <w:sz w:val="20"/>
                <w:szCs w:val="20"/>
                <w:highlight w:val="none"/>
                <w:u w:val="none"/>
                <w:lang w:val="en-US" w:eastAsia="zh-CN" w:bidi="ar"/>
              </w:rPr>
              <w:t>,</w:t>
            </w:r>
            <w:r>
              <w:rPr>
                <w:rFonts w:hint="eastAsia" w:ascii="Times New Roman" w:hAnsi="Times New Roman" w:eastAsia="宋体" w:cs="Times New Roman"/>
                <w:b/>
                <w:bCs/>
                <w:i w:val="0"/>
                <w:iCs w:val="0"/>
                <w:color w:val="auto"/>
                <w:kern w:val="0"/>
                <w:sz w:val="20"/>
                <w:szCs w:val="20"/>
                <w:highlight w:val="none"/>
                <w:u w:val="none"/>
                <w:lang w:val="en-US" w:eastAsia="zh-CN" w:bidi="ar"/>
              </w:rPr>
              <w:t>767.31</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exact"/>
              <w:jc w:val="center"/>
              <w:textAlignment w:val="center"/>
              <w:rPr>
                <w:rFonts w:hint="eastAsia" w:ascii="Times New Roman" w:hAnsi="Times New Roman" w:eastAsia="宋体" w:cs="Times New Roman"/>
                <w:b/>
                <w:bCs/>
                <w:i w:val="0"/>
                <w:iCs w:val="0"/>
                <w:color w:val="auto"/>
                <w:kern w:val="0"/>
                <w:sz w:val="20"/>
                <w:szCs w:val="20"/>
                <w:highlight w:val="none"/>
                <w:u w:val="none"/>
                <w:lang w:val="en-US" w:eastAsia="zh-CN" w:bidi="ar"/>
              </w:rPr>
            </w:pPr>
            <w:r>
              <w:rPr>
                <w:rFonts w:hint="eastAsia" w:ascii="Times New Roman" w:hAnsi="Times New Roman" w:eastAsia="宋体" w:cs="Times New Roman"/>
                <w:b/>
                <w:bCs/>
                <w:i w:val="0"/>
                <w:iCs w:val="0"/>
                <w:color w:val="auto"/>
                <w:kern w:val="0"/>
                <w:sz w:val="20"/>
                <w:szCs w:val="20"/>
                <w:highlight w:val="none"/>
                <w:u w:val="none"/>
                <w:lang w:val="en-US" w:eastAsia="zh-CN" w:bidi="ar"/>
              </w:rPr>
              <w:fldChar w:fldCharType="begin"/>
            </w:r>
            <w:r>
              <w:rPr>
                <w:rFonts w:hint="eastAsia" w:ascii="Times New Roman" w:hAnsi="Times New Roman" w:eastAsia="宋体" w:cs="Times New Roman"/>
                <w:b/>
                <w:bCs/>
                <w:i w:val="0"/>
                <w:iCs w:val="0"/>
                <w:color w:val="auto"/>
                <w:kern w:val="0"/>
                <w:sz w:val="20"/>
                <w:szCs w:val="20"/>
                <w:highlight w:val="none"/>
                <w:u w:val="none"/>
                <w:lang w:val="en-US" w:eastAsia="zh-CN" w:bidi="ar"/>
              </w:rPr>
              <w:instrText xml:space="preserve"> = sum(E2:E20) \* MERGEFORMAT </w:instrText>
            </w:r>
            <w:r>
              <w:rPr>
                <w:rFonts w:hint="eastAsia" w:ascii="Times New Roman" w:hAnsi="Times New Roman" w:eastAsia="宋体" w:cs="Times New Roman"/>
                <w:b/>
                <w:bCs/>
                <w:i w:val="0"/>
                <w:iCs w:val="0"/>
                <w:color w:val="auto"/>
                <w:kern w:val="0"/>
                <w:sz w:val="20"/>
                <w:szCs w:val="20"/>
                <w:highlight w:val="none"/>
                <w:u w:val="none"/>
                <w:lang w:val="en-US" w:eastAsia="zh-CN" w:bidi="ar"/>
              </w:rPr>
              <w:fldChar w:fldCharType="separate"/>
            </w:r>
            <w:r>
              <w:rPr>
                <w:rFonts w:hint="eastAsia" w:ascii="Times New Roman" w:hAnsi="Times New Roman" w:eastAsia="宋体" w:cs="Times New Roman"/>
                <w:b/>
                <w:bCs/>
                <w:i w:val="0"/>
                <w:iCs w:val="0"/>
                <w:color w:val="auto"/>
                <w:kern w:val="0"/>
                <w:sz w:val="20"/>
                <w:szCs w:val="20"/>
                <w:highlight w:val="none"/>
                <w:u w:val="none"/>
                <w:lang w:val="en-US" w:eastAsia="zh-CN" w:bidi="ar"/>
              </w:rPr>
              <w:t>150</w:t>
            </w:r>
            <w:r>
              <w:rPr>
                <w:rFonts w:hint="eastAsia" w:ascii="Times New Roman" w:hAnsi="Times New Roman" w:cs="Times New Roman"/>
                <w:b/>
                <w:bCs/>
                <w:i w:val="0"/>
                <w:iCs w:val="0"/>
                <w:color w:val="auto"/>
                <w:kern w:val="0"/>
                <w:sz w:val="20"/>
                <w:szCs w:val="20"/>
                <w:highlight w:val="none"/>
                <w:u w:val="none"/>
                <w:lang w:val="en-US" w:eastAsia="zh-CN" w:bidi="ar"/>
              </w:rPr>
              <w:t>,</w:t>
            </w:r>
            <w:r>
              <w:rPr>
                <w:rFonts w:hint="eastAsia" w:ascii="Times New Roman" w:hAnsi="Times New Roman" w:eastAsia="宋体" w:cs="Times New Roman"/>
                <w:b/>
                <w:bCs/>
                <w:i w:val="0"/>
                <w:iCs w:val="0"/>
                <w:color w:val="auto"/>
                <w:kern w:val="0"/>
                <w:sz w:val="20"/>
                <w:szCs w:val="20"/>
                <w:highlight w:val="none"/>
                <w:u w:val="none"/>
                <w:lang w:val="en-US" w:eastAsia="zh-CN" w:bidi="ar"/>
              </w:rPr>
              <w:t>832.89</w:t>
            </w:r>
            <w:r>
              <w:rPr>
                <w:rFonts w:hint="eastAsia" w:ascii="Times New Roman" w:hAnsi="Times New Roman" w:eastAsia="宋体" w:cs="Times New Roman"/>
                <w:b/>
                <w:bCs/>
                <w:i w:val="0"/>
                <w:iCs w:val="0"/>
                <w:color w:val="auto"/>
                <w:kern w:val="0"/>
                <w:sz w:val="20"/>
                <w:szCs w:val="20"/>
                <w:highlight w:val="none"/>
                <w:u w:val="none"/>
                <w:lang w:val="en-US" w:eastAsia="zh-CN" w:bidi="ar"/>
              </w:rPr>
              <w:fldChar w:fldCharType="end"/>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lang w:val="en-US"/>
              </w:rPr>
            </w:pPr>
            <w:r>
              <w:rPr>
                <w:rFonts w:hint="eastAsia" w:ascii="Times New Roman" w:hAnsi="Times New Roman" w:cs="Times New Roman"/>
                <w:b/>
                <w:bCs/>
                <w:i w:val="0"/>
                <w:iCs w:val="0"/>
                <w:color w:val="auto"/>
                <w:kern w:val="0"/>
                <w:sz w:val="20"/>
                <w:szCs w:val="20"/>
                <w:highlight w:val="none"/>
                <w:u w:val="none"/>
                <w:lang w:val="en-US" w:eastAsia="zh-CN" w:bidi="ar"/>
              </w:rPr>
              <w:t>98.73%</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b/>
                <w:bCs/>
                <w:i w:val="0"/>
                <w:iCs w:val="0"/>
                <w:color w:val="auto"/>
                <w:sz w:val="22"/>
                <w:szCs w:val="22"/>
                <w:highlight w:val="none"/>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firstLine="643" w:firstLineChars="200"/>
        <w:jc w:val="left"/>
        <w:textAlignment w:val="auto"/>
        <w:rPr>
          <w:rFonts w:ascii="Times New Roman" w:hAnsi="Times New Roman" w:eastAsia="仿宋_GB2312"/>
          <w:b/>
          <w:bCs/>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3.</w:t>
      </w:r>
      <w:r>
        <w:rPr>
          <w:rFonts w:hint="eastAsia" w:ascii="Times New Roman" w:hAnsi="Times New Roman" w:eastAsia="仿宋_GB2312" w:cs="仿宋_GB2312"/>
          <w:b/>
          <w:bCs/>
          <w:color w:val="auto"/>
          <w:sz w:val="32"/>
          <w:szCs w:val="32"/>
          <w:highlight w:val="none"/>
        </w:rPr>
        <w:t>项目资金管理情况</w:t>
      </w:r>
    </w:p>
    <w:p>
      <w:pPr>
        <w:spacing w:line="240" w:lineRule="auto"/>
        <w:ind w:firstLine="640"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为加强和规范财政专项资金管理，提高财政专项资金使用效益，有效发挥财政专项资金的导向和激励作用，</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结合单位实际，印发了《长沙市住房和城乡建设局财务管理制度</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长沙市住房和城乡建设局财政专项资金管理办法</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长沙市住房和城乡建设局机关自行采购管理办法</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长沙市住房和城乡建设局局属事业单位财务审计规范建设指南》</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关于进一步规范财经管理严肃财经纪律的通知</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关于调整市住建局财经工作领导小组和议事规则的通知</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以及各专项资金管理办法等相关规定，对项目资金进行管理。根据各专项的特点，市住建局相关业务处室、计审处会同市财政局按规范、公开、透明的原则制定了具体的管理办法或实施细则，明确专项资金的绩效目标、使用范围和对象、管理职责、分配办法、申报条件及审批程序、存续期限和监督评价、责任追究等内容。</w:t>
      </w:r>
      <w:r>
        <w:rPr>
          <w:rFonts w:hint="eastAsia" w:ascii="Times New Roman" w:hAnsi="Times New Roman" w:eastAsia="仿宋_GB2312" w:cs="仿宋_GB2312"/>
          <w:color w:val="auto"/>
          <w:sz w:val="32"/>
          <w:szCs w:val="32"/>
          <w:highlight w:val="none"/>
          <w:lang w:val="en-US" w:eastAsia="zh-CN"/>
        </w:rPr>
        <w:t>在项目实施过程中，各项管理制度基本执行到位。</w:t>
      </w:r>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三、项目组织实施情况</w:t>
      </w:r>
    </w:p>
    <w:p>
      <w:pPr>
        <w:pStyle w:val="18"/>
        <w:ind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一）项目组织情况分析</w:t>
      </w:r>
    </w:p>
    <w:p>
      <w:pPr>
        <w:pStyle w:val="18"/>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项目组织严密、实施有序。每个专项均根据年度工作要点和上级部门相关要求，由各处室按照职能分工制定工作方案，明确任务内容，专人负责实施，合理安排时间。对于符合政府采购条件的项目，</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依实际情况采取公开招标等方式确定项目实施方，并与之签订合同，特殊情况需要对项目进行调整的，采取集体讨论决策方式，通过后对项目进行调整。项目实施过程中，定期对项目实施情况进行跟踪检查，发现问题的，及时进行沟通，要求项目实施方进行整改，项目竣工后，各处室安排专人负责进行项目验收工作，确保项目实施质量。</w:t>
      </w:r>
    </w:p>
    <w:p>
      <w:pPr>
        <w:pStyle w:val="18"/>
        <w:ind w:firstLine="643" w:firstLineChars="200"/>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1.部门项目</w:t>
      </w:r>
    </w:p>
    <w:p>
      <w:pPr>
        <w:pStyle w:val="18"/>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行政审批案卷档案整理专项经费。本局行政审批和政务服务处严格遵守《中华人民共和国档案管理法》并采取通过政府购买服务方式，委托专业档案整理机构对将以前年度的纸质档案进行电子化扫描，2021年6月以后实际产生的纸质案卷整理归档、电子化扫描，建设档案查询、借阅功能，根据实际产生的纸质卷，完成电子卷；从而达到行政审批案卷规范化整理归档、高效查询利用的目标。</w:t>
      </w:r>
    </w:p>
    <w:p>
      <w:pPr>
        <w:pStyle w:val="18"/>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（2）法制建设及诉讼费。本局法制处严格遵守《长沙市住房和城乡建设局财务管理制度》《长沙市</w:t>
      </w:r>
      <w:bookmarkStart w:id="5" w:name="_GoBack"/>
      <w:bookmarkEnd w:id="5"/>
      <w:r>
        <w:rPr>
          <w:rFonts w:hint="eastAsia" w:ascii="Times New Roman" w:hAnsi="Times New Roman" w:eastAsia="仿宋_GB2312" w:cs="仿宋_GB2312"/>
          <w:color w:val="auto"/>
          <w:sz w:val="32"/>
          <w:szCs w:val="32"/>
          <w:highlight w:val="none"/>
          <w:lang w:val="en-US" w:eastAsia="zh-CN"/>
        </w:rPr>
        <w:t>住房和城乡建设局自行采购管理办法》等制度，通过聘请法律顾问，统筹局机关法律诉讼事项，解决相关法律问题并且加强执法宣传，提高机关普法意识；2022年已及时、依法办结行政复议案件10件、行政诉讼案件87件。配合人民法院依法受理和审理行政案件，建立行政诉讼工作机制，积极推进行政负责人出庭应诉工作。做好普法宣传，落实“谁执法谁普法”责任制，提高全局依法行政意识。</w:t>
      </w:r>
    </w:p>
    <w:p>
      <w:pPr>
        <w:pStyle w:val="18"/>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60年代精减下放人员救济费。本局离退处严格按照《关于进一步做好六十年代精减退职老职工生活救济工作的通知》（湘民救发〔2007〕1号）文件要求，每半年组织发放一次60年代下放人员救济费及抚恤金，2022年已全部发放到位。</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建设领域行业监管检查工作经费。本局相关处室严格遵守《长沙市市直机关培训费管理办法》《长沙市住房和城乡建设局财务管理制度》等管理制度，保障本局财务内控、审计、绩效评价等监督检查及相关综合性工作顺利开展；局系统全年业务及党建培训如期进行；施工图审查质量监督检查及住建行业监管及物业小区引领工作有序开展。</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w:t>
      </w:r>
      <w:r>
        <w:rPr>
          <w:rFonts w:hint="default" w:ascii="Times New Roman" w:hAnsi="Times New Roman" w:eastAsia="仿宋_GB2312" w:cs="仿宋_GB2312"/>
          <w:color w:val="auto"/>
          <w:sz w:val="32"/>
          <w:szCs w:val="32"/>
          <w:highlight w:val="none"/>
          <w:lang w:val="en-US" w:eastAsia="zh-CN"/>
        </w:rPr>
        <w:t>处理私房改造遗留问题工作经费</w:t>
      </w:r>
      <w:r>
        <w:rPr>
          <w:rFonts w:hint="eastAsia" w:ascii="Times New Roman" w:hAnsi="Times New Roman" w:eastAsia="仿宋_GB2312" w:cs="仿宋_GB2312"/>
          <w:color w:val="auto"/>
          <w:sz w:val="32"/>
          <w:szCs w:val="32"/>
          <w:highlight w:val="none"/>
          <w:lang w:val="en-US" w:eastAsia="zh-CN"/>
        </w:rPr>
        <w:t>。本局压实责任，强化机制，一户一户地认真梳理，研究举措，抓好落实，从而保障了2022年度私改遗办日常工作运转正常并妥善做好信访维稳工作，处理出租私房社会主义改造遗留问题工作，做好外出办案调查、纠纷协调处理、稳控化解上访问题及安置房屋管理维修等工作。</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w:t>
      </w:r>
      <w:r>
        <w:rPr>
          <w:rFonts w:hint="default" w:ascii="Times New Roman" w:hAnsi="Times New Roman" w:eastAsia="仿宋_GB2312" w:cs="仿宋_GB2312"/>
          <w:color w:val="auto"/>
          <w:sz w:val="32"/>
          <w:szCs w:val="32"/>
          <w:highlight w:val="none"/>
          <w:lang w:val="en-US" w:eastAsia="zh-CN"/>
        </w:rPr>
        <w:t>住房和城乡建设专项经费</w:t>
      </w:r>
      <w:r>
        <w:rPr>
          <w:rFonts w:hint="eastAsia" w:ascii="Times New Roman" w:hAnsi="Times New Roman" w:eastAsia="仿宋_GB2312" w:cs="仿宋_GB2312"/>
          <w:color w:val="auto"/>
          <w:sz w:val="32"/>
          <w:szCs w:val="32"/>
          <w:highlight w:val="none"/>
          <w:lang w:val="en-US" w:eastAsia="zh-CN"/>
        </w:rPr>
        <w:t>。本局房地产市场监管处、建筑节能与科技处、办公室、行政审批处、机关党委等部门严格遵守《长沙市建设科技项目管理办法》《机关公务车管理办法》等规定，完成了房地产市场监测及预警预报、长效机制评估，开展了若干重点课题研究，保障了综治维稳、信访安保等维稳工作。2022年度开展并完成了14家建筑业企业资质评审工作，保障日常运转的办公设备的购置支出，保障了日常运行中公务车调度使用到位及本局管理的各行业、各部门需要开展的一些综合性工作的开展。</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（7）</w:t>
      </w:r>
      <w:r>
        <w:rPr>
          <w:rFonts w:hint="default" w:ascii="Times New Roman" w:hAnsi="Times New Roman" w:eastAsia="仿宋_GB2312" w:cs="仿宋_GB2312"/>
          <w:color w:val="auto"/>
          <w:sz w:val="32"/>
          <w:szCs w:val="32"/>
          <w:highlight w:val="none"/>
          <w:lang w:val="en-US" w:eastAsia="zh-CN"/>
        </w:rPr>
        <w:t>建设工程消防设计审查服务经费</w:t>
      </w:r>
      <w:r>
        <w:rPr>
          <w:rFonts w:hint="eastAsia" w:ascii="Times New Roman" w:hAnsi="Times New Roman" w:eastAsia="仿宋_GB2312" w:cs="仿宋_GB2312"/>
          <w:color w:val="auto"/>
          <w:sz w:val="32"/>
          <w:szCs w:val="32"/>
          <w:highlight w:val="none"/>
          <w:lang w:val="en-US" w:eastAsia="zh-CN"/>
        </w:rPr>
        <w:t>。本局设计处对消防设计工作进行审查，提出意见，从而提高消防设计质量；并根据安排完成2022年度内消防审查、消防验收、备案和抽查等消防审查审批事项。</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（8）</w:t>
      </w:r>
      <w:r>
        <w:rPr>
          <w:rFonts w:hint="default" w:ascii="Times New Roman" w:hAnsi="Times New Roman" w:eastAsia="仿宋_GB2312" w:cs="仿宋_GB2312"/>
          <w:color w:val="auto"/>
          <w:sz w:val="32"/>
          <w:szCs w:val="32"/>
          <w:highlight w:val="none"/>
          <w:lang w:val="en-US" w:eastAsia="zh-CN"/>
        </w:rPr>
        <w:t>住建局系统信息化运行维护</w:t>
      </w:r>
      <w:r>
        <w:rPr>
          <w:rFonts w:hint="eastAsia" w:ascii="Times New Roman" w:hAnsi="Times New Roman" w:eastAsia="仿宋_GB2312" w:cs="仿宋_GB2312"/>
          <w:color w:val="auto"/>
          <w:sz w:val="32"/>
          <w:szCs w:val="32"/>
          <w:highlight w:val="none"/>
          <w:lang w:val="en-US" w:eastAsia="zh-CN"/>
        </w:rPr>
        <w:t>。本局信息处依据相关信息化管理制度，并通过政府采购、自行采购及购买服务的方式签订服务合同，从而保障2022年局机关及局系统信息化设备、网络、业务系统等正常运行。</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（9）</w:t>
      </w:r>
      <w:r>
        <w:rPr>
          <w:rFonts w:hint="default" w:ascii="Times New Roman" w:hAnsi="Times New Roman" w:eastAsia="仿宋_GB2312" w:cs="仿宋_GB2312"/>
          <w:color w:val="auto"/>
          <w:sz w:val="32"/>
          <w:szCs w:val="32"/>
          <w:highlight w:val="none"/>
          <w:lang w:val="en-US" w:eastAsia="zh-CN"/>
        </w:rPr>
        <w:t>宣传专项经费</w:t>
      </w:r>
      <w:r>
        <w:rPr>
          <w:rFonts w:hint="eastAsia" w:ascii="Times New Roman" w:hAnsi="Times New Roman" w:eastAsia="仿宋_GB2312" w:cs="仿宋_GB2312"/>
          <w:color w:val="auto"/>
          <w:sz w:val="32"/>
          <w:szCs w:val="32"/>
          <w:highlight w:val="none"/>
          <w:lang w:val="en-US" w:eastAsia="zh-CN"/>
        </w:rPr>
        <w:t>。本局宣教处严格以刊播次数为准进行管理，并与长沙晚报和长沙新闻频道达成宣传报道合作协议，进行宣传报道，从而达到强化政务公开、提升政府形象的目标，保障2022年住建部门宣传工作开展。</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（10）</w:t>
      </w:r>
      <w:r>
        <w:rPr>
          <w:rFonts w:hint="default" w:ascii="Times New Roman" w:hAnsi="Times New Roman" w:eastAsia="仿宋_GB2312" w:cs="仿宋_GB2312"/>
          <w:color w:val="auto"/>
          <w:sz w:val="32"/>
          <w:szCs w:val="32"/>
          <w:highlight w:val="none"/>
          <w:lang w:val="en-US" w:eastAsia="zh-CN"/>
        </w:rPr>
        <w:t>住房保障工作经费</w:t>
      </w:r>
      <w:r>
        <w:rPr>
          <w:rFonts w:hint="eastAsia" w:ascii="Times New Roman" w:hAnsi="Times New Roman" w:eastAsia="仿宋_GB2312" w:cs="仿宋_GB2312"/>
          <w:color w:val="auto"/>
          <w:sz w:val="32"/>
          <w:szCs w:val="32"/>
          <w:highlight w:val="none"/>
          <w:lang w:val="en-US" w:eastAsia="zh-CN"/>
        </w:rPr>
        <w:t>。本局住房保障规划项目处、指导处严格按照年度工作计划及工作铺排进行，保证了与住房保障工作相关的档案整理、扫描管理、会议、培训、监督检查、调研宣传、资料印刷、设备购置等工作的顺利开展。</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（11）</w:t>
      </w:r>
      <w:r>
        <w:rPr>
          <w:rFonts w:hint="default" w:ascii="Times New Roman" w:hAnsi="Times New Roman" w:eastAsia="仿宋_GB2312" w:cs="仿宋_GB2312"/>
          <w:color w:val="auto"/>
          <w:sz w:val="32"/>
          <w:szCs w:val="32"/>
          <w:highlight w:val="none"/>
          <w:lang w:val="en-US" w:eastAsia="zh-CN"/>
        </w:rPr>
        <w:t>污水行业监管经费</w:t>
      </w:r>
      <w:r>
        <w:rPr>
          <w:rFonts w:hint="eastAsia" w:ascii="Times New Roman" w:hAnsi="Times New Roman" w:eastAsia="仿宋_GB2312" w:cs="仿宋_GB2312"/>
          <w:color w:val="auto"/>
          <w:sz w:val="32"/>
          <w:szCs w:val="32"/>
          <w:highlight w:val="none"/>
          <w:lang w:val="en-US" w:eastAsia="zh-CN"/>
        </w:rPr>
        <w:t>。本局排水处严格遵守《城镇污水处理工作考核暂行办法》《城镇污水处理厂污染物排放标准》《特许经营合同》等制度及相关规定，对污水处理厂的正常运行进行管理，加强技术指导，定期委托省质量技术监督局对各污水处理厂的尾水流量进行校核，每月定期对污水处理厂出水流量计、每年对污泥分散项目地磅进行校核，校核结果均在允许偏差内。</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（12）</w:t>
      </w:r>
      <w:r>
        <w:rPr>
          <w:rFonts w:hint="default" w:ascii="Times New Roman" w:hAnsi="Times New Roman" w:eastAsia="仿宋_GB2312" w:cs="仿宋_GB2312"/>
          <w:color w:val="auto"/>
          <w:sz w:val="32"/>
          <w:szCs w:val="32"/>
          <w:highlight w:val="none"/>
          <w:lang w:val="en-US" w:eastAsia="zh-CN"/>
        </w:rPr>
        <w:t>派驻纪检监察组日常办公经费</w:t>
      </w:r>
      <w:r>
        <w:rPr>
          <w:rFonts w:hint="eastAsia" w:ascii="Times New Roman" w:hAnsi="Times New Roman" w:eastAsia="仿宋_GB2312" w:cs="仿宋_GB2312"/>
          <w:color w:val="auto"/>
          <w:sz w:val="32"/>
          <w:szCs w:val="32"/>
          <w:highlight w:val="none"/>
          <w:lang w:val="en-US" w:eastAsia="zh-CN"/>
        </w:rPr>
        <w:t>。本局依据相关规定使用，保障了派驻纪检组工作的正常开展。</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（13）</w:t>
      </w:r>
      <w:r>
        <w:rPr>
          <w:rFonts w:hint="default" w:ascii="Times New Roman" w:hAnsi="Times New Roman" w:eastAsia="仿宋_GB2312" w:cs="仿宋_GB2312"/>
          <w:color w:val="auto"/>
          <w:sz w:val="32"/>
          <w:szCs w:val="32"/>
          <w:highlight w:val="none"/>
          <w:lang w:val="en-US" w:eastAsia="zh-CN"/>
        </w:rPr>
        <w:t>供水行业监管经费</w:t>
      </w:r>
      <w:r>
        <w:rPr>
          <w:rFonts w:hint="eastAsia" w:ascii="Times New Roman" w:hAnsi="Times New Roman" w:eastAsia="仿宋_GB2312" w:cs="仿宋_GB2312"/>
          <w:color w:val="auto"/>
          <w:sz w:val="32"/>
          <w:szCs w:val="32"/>
          <w:highlight w:val="none"/>
          <w:lang w:val="en-US" w:eastAsia="zh-CN"/>
        </w:rPr>
        <w:t>。本局供水处按照《长沙市城市节约用水宣传周活动实施方案》，贯彻落实习近平总书记“节水优先、空间均衡、系统治理、两手发力”理念，切实把节约用水工作作为建设资源节约型和环境友好型社会的一项重要任务，推进长沙市创建国家节水型城市工作；2022年5月15日—21日，组织开展了长沙市城市节约用水宣传周系列活动，提升了全民的节水意识，营造了全民节水、惜水、亲水的良好氛围；拨付了“长沙市城镇供水监管系统”建设经费尾款3.13万元，目前系统运行良好，有力提升了行业监管信息化、智慧化水平，加快推进我市城市节约用水工作，增强全民节水意识，切实提高水资源利用率。</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（14）</w:t>
      </w:r>
      <w:r>
        <w:rPr>
          <w:rFonts w:hint="default" w:ascii="Times New Roman" w:hAnsi="Times New Roman" w:eastAsia="仿宋_GB2312" w:cs="仿宋_GB2312"/>
          <w:color w:val="auto"/>
          <w:sz w:val="32"/>
          <w:szCs w:val="32"/>
          <w:highlight w:val="none"/>
          <w:lang w:val="en-US" w:eastAsia="zh-CN"/>
        </w:rPr>
        <w:t>市直机关干部子女统筹医疗费</w:t>
      </w:r>
      <w:r>
        <w:rPr>
          <w:rFonts w:hint="eastAsia" w:ascii="Times New Roman" w:hAnsi="Times New Roman" w:eastAsia="仿宋_GB2312" w:cs="仿宋_GB2312"/>
          <w:color w:val="auto"/>
          <w:sz w:val="32"/>
          <w:szCs w:val="32"/>
          <w:highlight w:val="none"/>
          <w:lang w:val="en-US" w:eastAsia="zh-CN"/>
        </w:rPr>
        <w:t>。本局组织人事处严格按照政策文件，完成对市直机关干部子女统筹医疗费的报销。</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（15）</w:t>
      </w:r>
      <w:r>
        <w:rPr>
          <w:rFonts w:hint="default" w:ascii="Times New Roman" w:hAnsi="Times New Roman" w:eastAsia="仿宋_GB2312" w:cs="仿宋_GB2312"/>
          <w:color w:val="auto"/>
          <w:sz w:val="32"/>
          <w:szCs w:val="32"/>
          <w:highlight w:val="none"/>
          <w:lang w:val="en-US" w:eastAsia="zh-CN"/>
        </w:rPr>
        <w:t>抚恤金及丧葬费</w:t>
      </w:r>
      <w:r>
        <w:rPr>
          <w:rFonts w:hint="eastAsia" w:ascii="Times New Roman" w:hAnsi="Times New Roman" w:eastAsia="仿宋_GB2312" w:cs="仿宋_GB2312"/>
          <w:color w:val="auto"/>
          <w:sz w:val="32"/>
          <w:szCs w:val="32"/>
          <w:highlight w:val="none"/>
          <w:lang w:val="en-US" w:eastAsia="zh-CN"/>
        </w:rPr>
        <w:t>。本局组织人事处根据相关标准足额、按时发放抚恤金及丧葬费；2022年向去世干部家属发放抚恤金及丧葬费的工作均已完成。</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（16）</w:t>
      </w:r>
      <w:r>
        <w:rPr>
          <w:rFonts w:hint="default" w:ascii="Times New Roman" w:hAnsi="Times New Roman" w:eastAsia="仿宋_GB2312" w:cs="仿宋_GB2312"/>
          <w:color w:val="auto"/>
          <w:sz w:val="32"/>
          <w:szCs w:val="32"/>
          <w:highlight w:val="none"/>
          <w:lang w:val="en-US" w:eastAsia="zh-CN"/>
        </w:rPr>
        <w:t>企业军转干部解困资金</w:t>
      </w:r>
      <w:r>
        <w:rPr>
          <w:rFonts w:hint="eastAsia" w:ascii="Times New Roman" w:hAnsi="Times New Roman" w:eastAsia="仿宋_GB2312" w:cs="仿宋_GB2312"/>
          <w:color w:val="auto"/>
          <w:sz w:val="32"/>
          <w:szCs w:val="32"/>
          <w:highlight w:val="none"/>
          <w:lang w:val="en-US" w:eastAsia="zh-CN"/>
        </w:rPr>
        <w:t>。本局组织人事处根据相关文件要求，2022年底前完成对企业军转干部解困资金的发放，保障军转干部的生活质量，维护社会稳定。</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（17）</w:t>
      </w:r>
      <w:r>
        <w:rPr>
          <w:rFonts w:hint="default" w:ascii="Times New Roman" w:hAnsi="Times New Roman" w:eastAsia="仿宋_GB2312" w:cs="仿宋_GB2312"/>
          <w:color w:val="auto"/>
          <w:sz w:val="32"/>
          <w:szCs w:val="32"/>
          <w:highlight w:val="none"/>
          <w:lang w:val="en-US" w:eastAsia="zh-CN"/>
        </w:rPr>
        <w:t>2022年特困企业离休干部统筹外经费</w:t>
      </w:r>
      <w:r>
        <w:rPr>
          <w:rFonts w:hint="eastAsia" w:ascii="Times New Roman" w:hAnsi="Times New Roman" w:eastAsia="仿宋_GB2312" w:cs="仿宋_GB2312"/>
          <w:color w:val="auto"/>
          <w:sz w:val="32"/>
          <w:szCs w:val="32"/>
          <w:highlight w:val="none"/>
          <w:lang w:val="en-US" w:eastAsia="zh-CN"/>
        </w:rPr>
        <w:t>。本局离退处按照标准发放2022年特困企业离休干部统筹外经费，进而改善企业离休人员生活，促进消费。</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（18）</w:t>
      </w:r>
      <w:r>
        <w:rPr>
          <w:rFonts w:hint="default" w:ascii="Times New Roman" w:hAnsi="Times New Roman" w:eastAsia="仿宋_GB2312" w:cs="仿宋_GB2312"/>
          <w:color w:val="auto"/>
          <w:sz w:val="32"/>
          <w:szCs w:val="32"/>
          <w:highlight w:val="none"/>
          <w:lang w:val="en-US" w:eastAsia="zh-CN"/>
        </w:rPr>
        <w:t>元旦、重阳、春节等离退休干部慰问经费</w:t>
      </w:r>
      <w:r>
        <w:rPr>
          <w:rFonts w:hint="eastAsia" w:ascii="Times New Roman" w:hAnsi="Times New Roman" w:eastAsia="仿宋_GB2312" w:cs="仿宋_GB2312"/>
          <w:color w:val="auto"/>
          <w:sz w:val="32"/>
          <w:szCs w:val="32"/>
          <w:highlight w:val="none"/>
          <w:lang w:val="en-US" w:eastAsia="zh-CN"/>
        </w:rPr>
        <w:t>。本局离退处对离退休人员节日、生日等进行慰问，2022年度慰问经费100%发放到位。</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（19）</w:t>
      </w:r>
      <w:r>
        <w:rPr>
          <w:rFonts w:hint="default" w:ascii="Times New Roman" w:hAnsi="Times New Roman" w:eastAsia="仿宋_GB2312" w:cs="仿宋_GB2312"/>
          <w:color w:val="auto"/>
          <w:sz w:val="32"/>
          <w:szCs w:val="32"/>
          <w:highlight w:val="none"/>
          <w:lang w:val="en-US" w:eastAsia="zh-CN"/>
        </w:rPr>
        <w:t>烈士纪念日活动经费</w:t>
      </w:r>
      <w:r>
        <w:rPr>
          <w:rFonts w:hint="eastAsia" w:ascii="Times New Roman" w:hAnsi="Times New Roman" w:eastAsia="仿宋_GB2312" w:cs="仿宋_GB2312"/>
          <w:color w:val="auto"/>
          <w:sz w:val="32"/>
          <w:szCs w:val="32"/>
          <w:highlight w:val="none"/>
          <w:lang w:val="en-US" w:eastAsia="zh-CN"/>
        </w:rPr>
        <w:t>。本局质安处按时完成“烈士纪念日”主席台搭建及安全检测工作，确保湖南省暨长沙市烈士纪念日向英雄烈士敬献花篮仪式顺利进行。</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w:t>
      </w:r>
      <w:r>
        <w:rPr>
          <w:rFonts w:hint="default" w:ascii="Times New Roman" w:hAnsi="Times New Roman" w:eastAsia="仿宋_GB2312" w:cs="仿宋_GB2312"/>
          <w:color w:val="auto"/>
          <w:sz w:val="32"/>
          <w:szCs w:val="32"/>
          <w:highlight w:val="none"/>
          <w:lang w:val="en-US" w:eastAsia="zh-CN"/>
        </w:rPr>
        <w:t>2022年长沙市自建房指挥部工作经费</w:t>
      </w:r>
      <w:r>
        <w:rPr>
          <w:rFonts w:hint="eastAsia" w:ascii="Times New Roman" w:hAnsi="Times New Roman" w:eastAsia="仿宋_GB2312" w:cs="仿宋_GB2312"/>
          <w:color w:val="auto"/>
          <w:sz w:val="32"/>
          <w:szCs w:val="32"/>
          <w:highlight w:val="none"/>
          <w:lang w:val="en-US" w:eastAsia="zh-CN"/>
        </w:rPr>
        <w:t>。本局相关处室按照省市有关规定进行自建房安全隐患排查，通过业务培训、交叉检查、数据核查等措施排查市自建房结构性安全隐患，及时整治，保障居民住房安全，减少经济损失。</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（21）</w:t>
      </w:r>
      <w:r>
        <w:rPr>
          <w:rFonts w:hint="default" w:ascii="Times New Roman" w:hAnsi="Times New Roman" w:eastAsia="仿宋_GB2312" w:cs="仿宋_GB2312"/>
          <w:color w:val="auto"/>
          <w:sz w:val="32"/>
          <w:szCs w:val="32"/>
          <w:highlight w:val="none"/>
          <w:lang w:val="en-US" w:eastAsia="zh-CN"/>
        </w:rPr>
        <w:t>岳麓大道快速化改造总体方案课题研究、</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十四五</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骨干路网建设计划课题研究</w:t>
      </w:r>
      <w:r>
        <w:rPr>
          <w:rFonts w:hint="eastAsia" w:ascii="Times New Roman" w:hAnsi="Times New Roman" w:eastAsia="仿宋_GB2312" w:cs="仿宋_GB2312"/>
          <w:color w:val="auto"/>
          <w:sz w:val="32"/>
          <w:szCs w:val="32"/>
          <w:highlight w:val="none"/>
          <w:lang w:val="en-US" w:eastAsia="zh-CN"/>
        </w:rPr>
        <w:t>经费。本局总工室按程序开展招标采购、按要求开展专家评审，经验收课题研究达到计划要求；已提交研究成果并将研究成果纳入年度计划，推动实施，建成后可有效改善城市交通条件。</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（22）</w:t>
      </w:r>
      <w:r>
        <w:rPr>
          <w:rFonts w:hint="default" w:ascii="Times New Roman" w:hAnsi="Times New Roman" w:eastAsia="仿宋_GB2312" w:cs="仿宋_GB2312"/>
          <w:color w:val="auto"/>
          <w:sz w:val="32"/>
          <w:szCs w:val="32"/>
          <w:highlight w:val="none"/>
          <w:lang w:val="en-US" w:eastAsia="zh-CN"/>
        </w:rPr>
        <w:t>地下管线综合信息管理平台（一期</w:t>
      </w:r>
      <w:r>
        <w:rPr>
          <w:rFonts w:hint="eastAsia" w:ascii="Times New Roman" w:hAnsi="Times New Roman" w:eastAsia="仿宋_GB2312" w:cs="仿宋_GB2312"/>
          <w:color w:val="auto"/>
          <w:sz w:val="32"/>
          <w:szCs w:val="32"/>
          <w:highlight w:val="none"/>
          <w:lang w:val="en-US" w:eastAsia="zh-CN"/>
        </w:rPr>
        <w:t>）。本局管线处按照相关要求通过政府采购确定了长沙市</w:t>
      </w:r>
      <w:r>
        <w:rPr>
          <w:rFonts w:hint="default" w:ascii="Times New Roman" w:hAnsi="Times New Roman" w:eastAsia="仿宋_GB2312" w:cs="仿宋_GB2312"/>
          <w:color w:val="auto"/>
          <w:sz w:val="32"/>
          <w:szCs w:val="32"/>
          <w:highlight w:val="none"/>
          <w:lang w:val="en-US" w:eastAsia="zh-CN"/>
        </w:rPr>
        <w:t>地下管线综合信息管理平台（一期</w:t>
      </w:r>
      <w:r>
        <w:rPr>
          <w:rFonts w:hint="eastAsia" w:ascii="Times New Roman" w:hAnsi="Times New Roman" w:eastAsia="仿宋_GB2312" w:cs="仿宋_GB2312"/>
          <w:color w:val="auto"/>
          <w:sz w:val="32"/>
          <w:szCs w:val="32"/>
          <w:highlight w:val="none"/>
          <w:lang w:val="en-US" w:eastAsia="zh-CN"/>
        </w:rPr>
        <w:t>）项目由湖南大麓科技有限公司负责承建，2022年度完成了管线年度计划填报工作、功能优化升级及遗留问题整改，并完成了项目初步验收。</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（23）在建工地视频监控和扬尘在线监测服务费。本局信息处按计划要求，完成了在建工地视频监控和扬尘在线监测服务，助力文明创建。</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（24）第二批信创产品专项经费。本局信息处、办公室按照市委市政府有关规定完成第二批信创产品的采购和使用，完成信创设备替换，保障办公运行相关工作。</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（25）2016年后新上线信息化系统运行维护经费。本局信息处组织实施的长沙市住建行业诚信一体化监管系统软件，通过了市数据局验收，</w:t>
      </w:r>
      <w:r>
        <w:rPr>
          <w:rFonts w:hint="eastAsia" w:ascii="Times New Roman" w:hAnsi="Times New Roman" w:eastAsia="仿宋_GB2312" w:cs="仿宋_GB2312"/>
          <w:color w:val="auto"/>
          <w:sz w:val="32"/>
          <w:szCs w:val="32"/>
          <w:highlight w:val="none"/>
        </w:rPr>
        <w:t>推进住建一体化诚信平台加强信用平台数据收集，</w:t>
      </w:r>
      <w:r>
        <w:rPr>
          <w:rFonts w:hint="eastAsia" w:ascii="Times New Roman" w:hAnsi="Times New Roman" w:eastAsia="仿宋_GB2312" w:cs="仿宋_GB2312"/>
          <w:color w:val="auto"/>
          <w:sz w:val="32"/>
          <w:szCs w:val="32"/>
          <w:highlight w:val="none"/>
          <w:lang w:val="en-US" w:eastAsia="zh-CN"/>
        </w:rPr>
        <w:t>建立了以物业企业自行填报，小区党组织、区县、市级可以动态评价的工作系统。</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（26）2021年度湖南省土建工程专业初中级职称考试考务费。本局宣传教育处对当年度所有报名且通过资格审核的24574名考生完成土建工程专业初中级职称组考，对合格人员核发工程师职称证书。</w:t>
      </w:r>
    </w:p>
    <w:p>
      <w:pPr>
        <w:pStyle w:val="18"/>
        <w:numPr>
          <w:ilvl w:val="0"/>
          <w:numId w:val="0"/>
        </w:numPr>
        <w:ind w:firstLine="640" w:firstLineChars="200"/>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27）督查激励等奖励资金，包括2021年度督查激励奖励资金、2021年度城市管理工作考核奖励经费、2021年度安全生产和消防工作考核奖励经费及信访工作考核奖励专项。本项目资金主要用于弥补日常运行经费，2022年度本局使用该项资金完成了优化工程报建手续宣传片制作1项，采购视频会议系统设备1套，保证局办公、信息发布、监控、视频会议系统、工程造价管理系统、职工住房补贴业务系统日常运转正常。</w:t>
      </w:r>
    </w:p>
    <w:p>
      <w:pPr>
        <w:pStyle w:val="18"/>
        <w:numPr>
          <w:ilvl w:val="0"/>
          <w:numId w:val="0"/>
        </w:numPr>
        <w:ind w:firstLine="643" w:firstLineChars="200"/>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2.公共项目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highlight w:val="none"/>
          <w:lang w:val="en-US" w:eastAsia="zh-CN"/>
        </w:rPr>
        <w:t>（1）污水处理运行费。</w:t>
      </w:r>
      <w:r>
        <w:rPr>
          <w:rFonts w:hint="eastAsia" w:ascii="Times New Roman" w:hAnsi="Times New Roman" w:eastAsia="仿宋_GB2312" w:cs="Times New Roman"/>
          <w:color w:val="auto"/>
          <w:sz w:val="32"/>
          <w:szCs w:val="32"/>
          <w:lang w:val="en-US" w:eastAsia="zh-CN"/>
        </w:rPr>
        <w:t>本局</w:t>
      </w:r>
      <w:r>
        <w:rPr>
          <w:rFonts w:hint="eastAsia" w:ascii="Times New Roman" w:hAnsi="Times New Roman" w:eastAsia="仿宋_GB2312" w:cs="Times New Roman"/>
          <w:color w:val="auto"/>
          <w:sz w:val="32"/>
          <w:szCs w:val="32"/>
        </w:rPr>
        <w:t>为规范主城区污水处理厂和污泥分散处理处置工作，制定了《长沙市主城区污泥分散处理处置监管办法》《长沙市城镇污水处理厂运行监管实施细则》《长沙市污泥集中处置监管实施细则》等管理制度，并委托下属单位长沙市城区排水事务中心（以下简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市排水事务中心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）负责日常的监督管理工作。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污水处理厂运营监管方面，市排水事务中心一是指导各运营单位实行生产计划、运营情况报备制，根据运营者提供日报、月报、年报和预算计划，及时掌握各污水处理厂的运营情况。二是督促各污水处理厂对出水水质进行实时监测，并按日自检。三是对污水处理厂的运行保障、运行工艺、设备维护等方面进行日常监管，并出具反映各污水处理厂生产运行情况的监管月报。四是对各污水处理厂的污水处理服务费进行初审，报市住建局进行审核。</w:t>
      </w:r>
    </w:p>
    <w:p>
      <w:pPr>
        <w:widowControl/>
        <w:spacing w:line="240" w:lineRule="auto"/>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rPr>
        <w:t>污泥分散处置监管方面，市排水事务中心一是负责审核由污泥深度脱水运营单位提供的生产台账、检测台账、计量台账等污泥处置报表资料，并将审核无误后的报表资料归档保存。二是每月不定期对污泥深度脱水运营单位的生产运行、工艺设备、安全管理等日常生产情况进行现场检查。三是对各污水处理厂的污泥处置费进行初审，报市住建局进行审核。</w:t>
      </w:r>
    </w:p>
    <w:p>
      <w:pPr>
        <w:keepNext w:val="0"/>
        <w:keepLines w:val="0"/>
        <w:pageBreakBefore w:val="0"/>
        <w:kinsoku/>
        <w:wordWrap/>
        <w:overflowPunct/>
        <w:topLinePunct w:val="0"/>
        <w:autoSpaceDE/>
        <w:autoSpaceDN/>
        <w:bidi w:val="0"/>
        <w:spacing w:line="240" w:lineRule="auto"/>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仿宋_GB2312"/>
          <w:color w:val="auto"/>
          <w:sz w:val="32"/>
          <w:szCs w:val="32"/>
          <w:highlight w:val="none"/>
          <w:lang w:val="en-US" w:eastAsia="zh-CN"/>
        </w:rPr>
        <w:t>（2）五区市政（排水）维护经费基数。</w:t>
      </w:r>
      <w:r>
        <w:rPr>
          <w:rFonts w:hint="eastAsia" w:ascii="Times New Roman" w:hAnsi="Times New Roman" w:eastAsia="仿宋_GB2312" w:cs="Times New Roman"/>
          <w:color w:val="auto"/>
          <w:sz w:val="32"/>
          <w:szCs w:val="32"/>
          <w:lang w:val="en-US" w:eastAsia="zh-CN"/>
        </w:rPr>
        <w:t>本局</w:t>
      </w:r>
      <w:r>
        <w:rPr>
          <w:rFonts w:hint="default" w:ascii="Times New Roman" w:hAnsi="Times New Roman" w:eastAsia="仿宋_GB2312" w:cs="Times New Roman"/>
          <w:color w:val="auto"/>
          <w:sz w:val="32"/>
          <w:szCs w:val="32"/>
        </w:rPr>
        <w:t>制定了《长沙市城市市政排水管网维护管理工作监管细则》，明确维护范围、标准和要求，并委托下属单位市排水事务中心对内五区各市政排水管网的日常维护情况进行监督管理。市排水事务中心一是负责指导内五区各辖区部门制定月度工作计划，编制年度工作报告，定期开展排水管网运行维护工作的技术指导。二是负责对市政排水管网清浚、辖区堵点改造、城区防涝排渍等工作进行日常监管，并形成抽检季报，督促各区维护单位加强管理，规范运行。</w:t>
      </w:r>
      <w:r>
        <w:rPr>
          <w:rFonts w:hint="eastAsia"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局</w:t>
      </w:r>
      <w:r>
        <w:rPr>
          <w:rFonts w:hint="eastAsia"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rPr>
        <w:t>2022年11月9日去函市财政局商请拨付2022年五区市政（排水）维护经费2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648万元，市财政局</w:t>
      </w:r>
      <w:r>
        <w:rPr>
          <w:rFonts w:hint="eastAsia"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rPr>
        <w:t>2023年1月4日下发该经费资金指标文长财建指</w:t>
      </w:r>
      <w:r>
        <w:rPr>
          <w:rFonts w:hint="eastAsia" w:ascii="Times New Roman" w:hAnsi="Times New Roman" w:eastAsia="仿宋_GB2312" w:cs="仿宋_GB2312"/>
          <w:color w:val="auto"/>
          <w:sz w:val="32"/>
          <w:szCs w:val="32"/>
          <w:highlight w:val="none"/>
          <w:lang w:val="en-US" w:eastAsia="zh-CN"/>
        </w:rPr>
        <w:t>〔2023〕</w:t>
      </w:r>
      <w:r>
        <w:rPr>
          <w:rFonts w:hint="default" w:ascii="Times New Roman" w:hAnsi="Times New Roman" w:eastAsia="仿宋_GB2312" w:cs="Times New Roman"/>
          <w:color w:val="auto"/>
          <w:sz w:val="32"/>
          <w:szCs w:val="32"/>
        </w:rPr>
        <w:t>2号</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spacing w:line="240" w:lineRule="auto"/>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highlight w:val="none"/>
          <w:lang w:val="en-US" w:eastAsia="zh-CN"/>
        </w:rPr>
        <w:t>（3）建设工程施工图审查服务费。</w:t>
      </w:r>
      <w:r>
        <w:rPr>
          <w:rFonts w:hint="eastAsia" w:ascii="Times New Roman" w:hAnsi="Times New Roman" w:eastAsia="仿宋_GB2312" w:cs="Times New Roman"/>
          <w:color w:val="auto"/>
          <w:sz w:val="32"/>
          <w:szCs w:val="32"/>
          <w:lang w:val="en-US" w:eastAsia="zh-CN"/>
        </w:rPr>
        <w:t>本局</w:t>
      </w:r>
      <w:r>
        <w:rPr>
          <w:rFonts w:hint="default" w:ascii="Times New Roman" w:hAnsi="Times New Roman" w:eastAsia="仿宋_GB2312" w:cs="Times New Roman"/>
          <w:color w:val="auto"/>
          <w:sz w:val="32"/>
          <w:szCs w:val="32"/>
        </w:rPr>
        <w:t>按照《政府购买施工图审查服务操作实施细则》的要求，核定项目施工图审查控制价，在湖南省施工图管理信息系统发起施工图审查机构的遴选，签订审查服务合同，核实并支付施工图审查费用。对建设单位符合施工图政府购买服务的遗留项目和新增项目，督促其完善资料并及时申请报销施工图审查服务费。</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建筑节能与绿色建筑专项资金。该公共项目根据市财政局、市住建局2017年3月16日联合印发了《长沙市建筑节能与绿色建筑专项资金管理办法》执行，主要是用于推动我市建筑节能与绿色建筑发展，重点支持建筑节能与绿色建筑示范项目建设、既有建筑节能改造、公共建筑节能监管体系建设、绿色建筑技术研发与推广及科技创新、建筑节能和绿色建筑宣传培训等工作，专项资金由市住建局会同市财政局共同管理，每年项目预算为500万元，有效期5年，于2022年3月到期。建筑节能与绿色建筑专项资金2022年度因新的资金管理办法暂未出台而导致未执行。</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村镇建设专项资金。2022年村镇建设专项资金预算5,000万元，根据《村镇建设专项资金管理办法》（长住建发〔2021〕88号）等文件精神，经各区县（市）申报，区县（市）住建局、财政局初审，项目资金经局党组会审议通过，并在本局政务网上公示无异议，2022年11月30日经市人民政府审定同意后，本局于2022年12月1日去函市财政局申请拨付，市财政局于2023年1月3日和3月2日，分两批下发该专项补助资金指标文。</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（6）乡镇污水处理厂建设和运行补助资金。根据《长沙市乡镇污水处理厂建设和运行补助资金管理办法》（长住建发</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2021</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121号）等文件精神，乡镇污水处理厂建设和运行补助资金经各区县（市）申报，区县（市）住建局、财政局审核和征求市生态环境局意见，项目资金在本局政务网上公示无异议，2022年11月23日经市人民政府审定同意后，本局及时去函市财政局商请拨付，市财政局于2023年3月24日下发该专项补助资金指标文。</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（7）建筑行业发展专项资金。本局行业处严格遵守《长沙市建筑业引导专项资金管理办法》（长住建发</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2020</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56号），按当年度文件中明确的企业数量奖励1家晋升特级资质的企业；15家首次晋升一级施工总承包的企业；1家年纳税2亿元以上的企业；2家年纳税1.5亿元以上的企业；11个荣获国家级优质工程奖（鲁班奖、国家优质工程奖）的企业；77家荣获省级优质工程（芙蓉奖、省优质工程奖）的企业；42家科技创新企业。</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8）安居工程资金。该公共项目由于公租房划转给长房集团后，由长房集团负责公租房运营管理相关工作。公租房租金收入作为长房经营性收入，由长房负责收支。2022年财政预算的2,000万由于财政资金紧张未拨付至本局，本局未使用2022财政预算资金。</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9）既有住宅安装电梯市级补助。项目严格遵守《长沙市既有多层住宅增设电梯管理规定》（长政办发〔2018〕11号）、《关于进一步做好我市既有多层住宅增设电梯工作的通知》（长住建发〔2021〕33号）等规定，由各区政府负责具体实施，2022年完成了长沙市既有多层住宅增设电梯建设1001台。</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10）精美长沙专项经费。本局精美办严格遵守长沙市住房和城乡建设局长沙市财政局关于《“精美长沙”建设工作专项资金管理办法》，2022年我办对中心城区及长望浏宁报送参评了19个示范项目，同时印发了《长沙市既有小区品质提升三年行动方案设计手册》《长沙市既有小区品质提升设计导则》《长沙市既有小区品质提升工作手册》，</w:t>
      </w:r>
      <w:r>
        <w:rPr>
          <w:rFonts w:hint="eastAsia" w:ascii="Times New Roman" w:hAnsi="Times New Roman" w:eastAsia="仿宋_GB2312" w:cs="Times New Roman"/>
          <w:color w:val="auto"/>
          <w:sz w:val="32"/>
          <w:szCs w:val="32"/>
          <w:lang w:val="en-US" w:eastAsia="zh-CN"/>
        </w:rPr>
        <w:t>助力</w:t>
      </w:r>
      <w:r>
        <w:rPr>
          <w:rFonts w:hint="eastAsia" w:ascii="Times New Roman" w:hAnsi="Times New Roman" w:eastAsia="仿宋_GB2312" w:cs="Times New Roman"/>
          <w:color w:val="auto"/>
          <w:sz w:val="32"/>
          <w:szCs w:val="32"/>
        </w:rPr>
        <w:t>小区品质提升</w:t>
      </w:r>
      <w:r>
        <w:rPr>
          <w:rFonts w:hint="eastAsia" w:ascii="Times New Roman" w:hAnsi="Times New Roman" w:eastAsia="仿宋_GB2312" w:cs="仿宋_GB2312"/>
          <w:color w:val="auto"/>
          <w:sz w:val="32"/>
          <w:szCs w:val="32"/>
          <w:highlight w:val="none"/>
          <w:lang w:val="en-US" w:eastAsia="zh-CN"/>
        </w:rPr>
        <w:t>。</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11）物业管理专项工作经费。本局物监处根据《长沙市全面加强小区治理三年行动计划（2021—2023年）》的文件要求，分解任务有序推进，2022年组织了街道社区物业专干和各物业企业安全管理人员参与学习，物业行业11000多人参与培训，扩散到全市3000多个物业项目；加强物业行业监管，打造“红色物业”，发布物业企业“红黑榜”。</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12）泵站运行经费。市排水事务中心做好中心泵站设备设施保养、维护维修工作，汛前、汛中、汛后开展三次设备大排查工作，2022年中心泵站设备完好率97.81%；做好管网日常巡查与管线排查工作；2022年泵站污水提升累计开机34.97万小时，提升污水4.9亿吨，日均135.29万吨，较2021年同期降低2.93%（2021年同期为139.37万吨）；泵站排渍累计开机3227.16台时，排渍雨水3152.80万吨，为2021年同期的0.99倍（2021年同期为3197.44万吨）；全年未发生因泵站设备原因造成泵站排口污水下河、泵站服务区内涝事件，45座泵站安全运行，62.7公里排水管网安全运行。</w:t>
      </w:r>
    </w:p>
    <w:p>
      <w:pPr>
        <w:pStyle w:val="18"/>
        <w:numPr>
          <w:ilvl w:val="0"/>
          <w:numId w:val="0"/>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（13）市排水事务中心泵站提标管网建设等项目经费。市排水事务中心严格遵守工程管理制度，在2022年底前完成项目施工第一、二、三、四标段扫尾工作，完成中心城区21座泵站改造及7处涵闸改造任务。</w:t>
      </w:r>
    </w:p>
    <w:p>
      <w:pPr>
        <w:pStyle w:val="18"/>
        <w:numPr>
          <w:ilvl w:val="0"/>
          <w:numId w:val="1"/>
        </w:numPr>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防洪排渍经费。市排水事务中心认真贯彻落实市委市政府工作要求，全面部署2022年城区防涝排渍工作。2022年度25处易涝风险点，已完成整改的22处，其他3处正在有序推进整改。进一步压实排渍泵站、通江高排管涵、涵闸等排水设施的行政、技术和巡查“三个责任人”责任，将6个城区、78个街道、740个社区全部纳入网格化责任体系管理，有效解决城区积水内涝问题，避免汛期出现人员伤亡和大的财产损失。</w:t>
      </w:r>
    </w:p>
    <w:p>
      <w:pPr>
        <w:pStyle w:val="18"/>
        <w:numPr>
          <w:ilvl w:val="0"/>
          <w:numId w:val="1"/>
        </w:numPr>
        <w:ind w:firstLine="640" w:firstLineChars="200"/>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实施高精尖人才领跑工程购房补贴</w:t>
      </w:r>
      <w:r>
        <w:rPr>
          <w:rFonts w:hint="eastAsia" w:ascii="Times New Roman" w:hAnsi="Times New Roman" w:eastAsia="仿宋_GB2312" w:cs="仿宋_GB2312"/>
          <w:color w:val="auto"/>
          <w:sz w:val="32"/>
          <w:szCs w:val="32"/>
          <w:highlight w:val="none"/>
          <w:lang w:val="en-US" w:eastAsia="zh-CN"/>
        </w:rPr>
        <w:t>。长沙市房屋交易管理中心严格遵守《长沙市建设创新创业人才高地的若干措施》（长发</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2017</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10号）、《专项资金管理办法》，2022年共计发放高精尖人才购房补贴25人。</w:t>
      </w:r>
    </w:p>
    <w:p>
      <w:pPr>
        <w:pStyle w:val="18"/>
        <w:numPr>
          <w:ilvl w:val="0"/>
          <w:numId w:val="1"/>
        </w:numPr>
        <w:ind w:firstLine="640" w:firstLineChars="200"/>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实施青年人才筑梦工程购房补贴</w:t>
      </w:r>
      <w:r>
        <w:rPr>
          <w:rFonts w:hint="eastAsia" w:ascii="Times New Roman" w:hAnsi="Times New Roman" w:eastAsia="仿宋_GB2312" w:cs="仿宋_GB2312"/>
          <w:color w:val="auto"/>
          <w:sz w:val="32"/>
          <w:szCs w:val="32"/>
          <w:highlight w:val="none"/>
          <w:lang w:val="en-US" w:eastAsia="zh-CN"/>
        </w:rPr>
        <w:t>。长沙市房屋交易管理中心严格遵守《长沙市建设创新创业人才高地的若干措施》（长发</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2017</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10号）、《专项资金管理办法》，2022年共计发放青年人才购房补贴3743人。</w:t>
      </w:r>
    </w:p>
    <w:p>
      <w:pPr>
        <w:pStyle w:val="18"/>
        <w:numPr>
          <w:ilvl w:val="0"/>
          <w:numId w:val="1"/>
        </w:numPr>
        <w:ind w:firstLine="640" w:firstLineChars="200"/>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实施</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长沙工匠</w:t>
      </w:r>
      <w:r>
        <w:rPr>
          <w:rFonts w:hint="eastAsia" w:ascii="Times New Roman" w:hAnsi="Times New Roman" w:eastAsia="仿宋_GB2312" w:cs="仿宋_GB2312"/>
          <w:color w:val="auto"/>
          <w:sz w:val="32"/>
          <w:szCs w:val="32"/>
          <w:highlight w:val="none"/>
          <w:lang w:val="en-US" w:eastAsia="zh-CN"/>
        </w:rPr>
        <w:t>”</w:t>
      </w:r>
      <w:r>
        <w:rPr>
          <w:rFonts w:hint="default" w:ascii="Times New Roman" w:hAnsi="Times New Roman" w:eastAsia="仿宋_GB2312" w:cs="仿宋_GB2312"/>
          <w:color w:val="auto"/>
          <w:sz w:val="32"/>
          <w:szCs w:val="32"/>
          <w:highlight w:val="none"/>
          <w:lang w:val="en-US" w:eastAsia="zh-CN"/>
        </w:rPr>
        <w:t>铸造工程购房补贴</w:t>
      </w:r>
      <w:r>
        <w:rPr>
          <w:rFonts w:hint="eastAsia" w:ascii="Times New Roman" w:hAnsi="Times New Roman" w:eastAsia="仿宋_GB2312" w:cs="仿宋_GB2312"/>
          <w:color w:val="auto"/>
          <w:sz w:val="32"/>
          <w:szCs w:val="32"/>
          <w:highlight w:val="none"/>
          <w:lang w:val="en-US" w:eastAsia="zh-CN"/>
        </w:rPr>
        <w:t>。长沙市房屋交易管理中心严格遵守《长沙市建设创新创业人才高地的若干措施》（长发</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2017</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10号）、《专项资金管理办法》，2022年共计发放高技能人才购房补贴29人。</w:t>
      </w:r>
    </w:p>
    <w:p>
      <w:pPr>
        <w:pStyle w:val="18"/>
        <w:numPr>
          <w:ilvl w:val="0"/>
          <w:numId w:val="1"/>
        </w:numPr>
        <w:ind w:firstLine="640" w:firstLineChars="200"/>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长沙市地下综合管廊试点建设PPP项目（第一批）</w:t>
      </w:r>
      <w:r>
        <w:rPr>
          <w:rFonts w:hint="eastAsia" w:ascii="Times New Roman" w:hAnsi="Times New Roman" w:eastAsia="仿宋_GB2312" w:cs="仿宋_GB2312"/>
          <w:color w:val="auto"/>
          <w:sz w:val="32"/>
          <w:szCs w:val="32"/>
          <w:highlight w:val="none"/>
          <w:lang w:val="en-US" w:eastAsia="zh-CN"/>
        </w:rPr>
        <w:t>。本局及长沙中建城投管廊建设投资有限责任公司按照《地下综合管廊绩效考核管理办法》，保障了已投入使用的37公里管廊的安全运营的同时启动了湘府东路3.1公里综合管廊的建设。</w:t>
      </w:r>
    </w:p>
    <w:p>
      <w:pPr>
        <w:pStyle w:val="18"/>
        <w:numPr>
          <w:ilvl w:val="0"/>
          <w:numId w:val="1"/>
        </w:numPr>
        <w:ind w:firstLine="640" w:firstLineChars="200"/>
        <w:rPr>
          <w:rFonts w:hint="default" w:ascii="Times New Roman" w:hAnsi="Times New Roman" w:eastAsia="仿宋_GB2312" w:cs="仿宋_GB2312"/>
          <w:color w:val="auto"/>
          <w:sz w:val="32"/>
          <w:szCs w:val="32"/>
          <w:highlight w:val="none"/>
          <w:lang w:val="en-US" w:eastAsia="zh-CN"/>
        </w:rPr>
      </w:pPr>
      <w:r>
        <w:rPr>
          <w:rFonts w:hint="default" w:ascii="Times New Roman" w:hAnsi="Times New Roman" w:eastAsia="仿宋_GB2312" w:cs="仿宋_GB2312"/>
          <w:color w:val="auto"/>
          <w:sz w:val="32"/>
          <w:szCs w:val="32"/>
          <w:highlight w:val="none"/>
          <w:lang w:val="en-US" w:eastAsia="zh-CN"/>
        </w:rPr>
        <w:t>长沙市敢胜垸、苏托垸污水处理PPP项目（还本付息）</w:t>
      </w:r>
      <w:r>
        <w:rPr>
          <w:rFonts w:hint="eastAsia" w:ascii="Times New Roman" w:hAnsi="Times New Roman" w:eastAsia="仿宋_GB2312" w:cs="仿宋_GB2312"/>
          <w:color w:val="auto"/>
          <w:sz w:val="32"/>
          <w:szCs w:val="32"/>
          <w:highlight w:val="none"/>
          <w:lang w:val="en-US" w:eastAsia="zh-CN"/>
        </w:rPr>
        <w:t>。本局排水处严格按照《长沙市敢胜垸、苏托垸污水处理PPP项目特许经营合同》执行，保障污水处理厂稳定运行。</w:t>
      </w:r>
    </w:p>
    <w:p>
      <w:pPr>
        <w:pStyle w:val="18"/>
        <w:ind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二）项目管理情况分析</w:t>
      </w:r>
    </w:p>
    <w:p>
      <w:pPr>
        <w:pStyle w:val="18"/>
        <w:ind w:firstLine="640" w:firstLineChars="200"/>
        <w:rPr>
          <w:rFonts w:hint="default" w:ascii="Times New Roman" w:hAnsi="Times New Roman" w:eastAsia="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建立了</w:t>
      </w:r>
      <w:r>
        <w:rPr>
          <w:rFonts w:hint="eastAsia" w:ascii="Times New Roman" w:hAnsi="Times New Roman" w:eastAsia="仿宋_GB2312" w:cs="Times New Roman"/>
          <w:color w:val="auto"/>
          <w:kern w:val="2"/>
          <w:sz w:val="32"/>
          <w:szCs w:val="32"/>
          <w:lang w:val="en-US" w:eastAsia="zh-CN" w:bidi="ar-SA"/>
        </w:rPr>
        <w:t>《关于城市污水处理厂运行监管实施细则（暂行）》《长沙市污泥集中处置监管实施细则》《长沙市城市排水设施运行监管手册》《长沙市主城区污泥分散处理处置监管办法》《长沙市城市市政排水管网维护管理工作监管细则》《长沙市排水口维护管理规程》</w:t>
      </w:r>
      <w:r>
        <w:rPr>
          <w:rFonts w:hint="default" w:ascii="Times New Roman" w:hAnsi="Times New Roman" w:eastAsia="仿宋_GB2312" w:cs="Times New Roman"/>
          <w:color w:val="auto"/>
          <w:sz w:val="32"/>
          <w:szCs w:val="32"/>
          <w:lang w:val="en-US" w:eastAsia="zh-CN"/>
        </w:rPr>
        <w:t>《长沙市建筑业引导专项资金管理办法》</w:t>
      </w:r>
      <w:r>
        <w:rPr>
          <w:rFonts w:hint="eastAsia" w:ascii="Times New Roman" w:hAnsi="Times New Roman" w:eastAsia="仿宋_GB2312" w:cs="Times New Roman"/>
          <w:color w:val="auto"/>
          <w:kern w:val="2"/>
          <w:sz w:val="32"/>
          <w:szCs w:val="32"/>
          <w:lang w:val="en-US" w:eastAsia="zh-CN" w:bidi="ar-SA"/>
        </w:rPr>
        <w:t>《长沙市建筑节能与绿色建筑专项资金管理办法》《长沙市乡镇污水处理厂建设和运行考核办法》</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仿宋_GB2312"/>
          <w:color w:val="auto"/>
          <w:sz w:val="32"/>
          <w:szCs w:val="32"/>
          <w:highlight w:val="none"/>
          <w:lang w:val="en-US" w:eastAsia="zh-CN"/>
        </w:rPr>
        <w:t>管理</w:t>
      </w:r>
      <w:r>
        <w:rPr>
          <w:rFonts w:hint="eastAsia" w:ascii="Times New Roman" w:hAnsi="Times New Roman" w:eastAsia="仿宋_GB2312" w:cs="仿宋_GB2312"/>
          <w:color w:val="auto"/>
          <w:sz w:val="32"/>
          <w:szCs w:val="32"/>
          <w:highlight w:val="none"/>
        </w:rPr>
        <w:t>制度，定期召开财经工作领导小组会议，研究重大经济决策、大额资金使用的意见和建议</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完成日常检查监督管理等情况；在财务管理方面，强化预算控制。根据制度要求，所有支出严格控制在财政预算内。对于各项支出，业务部门需向财务部门申报用款计划，财务部门对照预算做到专款专用，不挤占挪用，无特殊情况、无预算不予支出。如确需调整预算，则要求按程序请求财政进行预算指标调整，以保证工作的顺利开展。项目实施严格按照专项资金管理办法实施，在项目实施过程中，各项管理制度基本执行到位。</w:t>
      </w:r>
    </w:p>
    <w:p>
      <w:pPr>
        <w:numPr>
          <w:ilvl w:val="0"/>
          <w:numId w:val="2"/>
        </w:numPr>
        <w:spacing w:line="240" w:lineRule="auto"/>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资产管理情况</w:t>
      </w:r>
    </w:p>
    <w:p>
      <w:pPr>
        <w:widowControl/>
        <w:numPr>
          <w:ilvl w:val="0"/>
          <w:numId w:val="0"/>
        </w:numPr>
        <w:ind w:firstLine="643" w:firstLineChars="20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（一）制度建设情况</w:t>
      </w:r>
    </w:p>
    <w:p>
      <w:pPr>
        <w:pStyle w:val="24"/>
        <w:ind w:left="0" w:leftChars="0"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为加强资产管理工作，提高资产运行绩效、加强调剂共享情况、强化固定资产管理工作，</w:t>
      </w:r>
      <w:r>
        <w:rPr>
          <w:rFonts w:hint="eastAsia" w:ascii="Times New Roman" w:hAnsi="Times New Roman" w:eastAsia="仿宋_GB2312" w:cs="Times New Roman"/>
          <w:color w:val="auto"/>
          <w:kern w:val="0"/>
          <w:sz w:val="32"/>
          <w:szCs w:val="32"/>
          <w:highlight w:val="none"/>
          <w:lang w:eastAsia="zh-CN"/>
        </w:rPr>
        <w:t>本局</w:t>
      </w:r>
      <w:r>
        <w:rPr>
          <w:rFonts w:hint="default" w:ascii="Times New Roman" w:hAnsi="Times New Roman" w:eastAsia="仿宋_GB2312" w:cs="Times New Roman"/>
          <w:color w:val="auto"/>
          <w:kern w:val="0"/>
          <w:sz w:val="32"/>
          <w:szCs w:val="32"/>
          <w:highlight w:val="none"/>
        </w:rPr>
        <w:t>编制了财经规范建设工作文件制度，具体出台了《长沙市住房和城乡建设局关于印发</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长沙市住房和城乡建设局财务管理制度</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长沙市住房和城乡建设局财政专项资金管理办法</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长沙市住房和城乡建设局机关自行采购管理办法</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长沙市住房和城乡建设局局属事业单位财务审计规范建设指南</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的通知》（长住建发〔2020〕72号）相关文件。完善了资产管理制度，并加强了对局属单位的资产管理。</w:t>
      </w:r>
    </w:p>
    <w:p>
      <w:pPr>
        <w:pStyle w:val="24"/>
        <w:ind w:left="0" w:leftChars="0" w:firstLine="643" w:firstLineChars="200"/>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（二）资产管理措施</w:t>
      </w:r>
    </w:p>
    <w:p>
      <w:pPr>
        <w:pStyle w:val="24"/>
        <w:ind w:left="0" w:leftChars="0" w:firstLine="640" w:firstLineChars="200"/>
        <w:rPr>
          <w:rFonts w:hint="default"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sz w:val="32"/>
          <w:szCs w:val="32"/>
          <w:highlight w:val="none"/>
          <w:lang w:val="en-US" w:eastAsia="zh-CN"/>
        </w:rPr>
        <w:t>本局</w:t>
      </w:r>
      <w:r>
        <w:rPr>
          <w:rFonts w:hint="default" w:ascii="Times New Roman" w:hAnsi="Times New Roman" w:eastAsia="仿宋_GB2312" w:cs="Times New Roman"/>
          <w:color w:val="auto"/>
          <w:sz w:val="32"/>
          <w:szCs w:val="32"/>
          <w:highlight w:val="none"/>
          <w:lang w:val="en-US" w:eastAsia="zh-CN"/>
        </w:rPr>
        <w:t>资产管理</w:t>
      </w:r>
      <w:r>
        <w:rPr>
          <w:rFonts w:hint="default" w:ascii="Times New Roman" w:hAnsi="Times New Roman" w:eastAsia="仿宋_GB2312" w:cs="Times New Roman"/>
          <w:color w:val="auto"/>
          <w:sz w:val="32"/>
          <w:szCs w:val="32"/>
          <w:highlight w:val="none"/>
        </w:rPr>
        <w:t>严格按照《长沙市市级行政事业单位国有资产使用管理规定》（长财资产〔2019〕75号）执行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每月月底将财务账和资产卡片账进行对账，保证账账相符；每年定期对局机关固定资产进行盘点并根据资产变化情况进行卡片更新，保证账实相符。每月做好资产月报的申报工作</w:t>
      </w:r>
      <w:r>
        <w:rPr>
          <w:rFonts w:hint="default" w:ascii="Times New Roman" w:hAnsi="Times New Roman" w:eastAsia="仿宋_GB2312" w:cs="Times New Roman"/>
          <w:color w:val="auto"/>
          <w:kern w:val="0"/>
          <w:sz w:val="32"/>
          <w:szCs w:val="32"/>
          <w:highlight w:val="none"/>
        </w:rPr>
        <w:t>及对局属单位资产月报的审核工作；及时做好资产配置预算的申报和调整预算申报工作；严格按照资产配置预算采购固定资产，无资产配置预算不进行采购；对采购的固定资产按严格验收程序进行验收，及时登记入账，对资产使用进行登记管理；加强了对无形资产的登记使用登记管理和账务登记管理；对局属单位的资产划转、处置进行指导和审核；及时做好资产年报的申报工作及审核工作。通过严格的资产管理工作实现了资源优化配置，降低了行政成本，提高了使用效益，保障单位正常运转。</w:t>
      </w:r>
    </w:p>
    <w:p>
      <w:pPr>
        <w:pStyle w:val="24"/>
        <w:ind w:left="0" w:leftChars="0" w:firstLine="643" w:firstLineChars="200"/>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（三）资产配置和处置程序</w:t>
      </w:r>
    </w:p>
    <w:p>
      <w:pPr>
        <w:pStyle w:val="24"/>
        <w:ind w:left="0" w:leftChars="0" w:firstLine="643" w:firstLineChars="200"/>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rPr>
        <w:t>资产配置</w:t>
      </w:r>
    </w:p>
    <w:p>
      <w:pPr>
        <w:pStyle w:val="24"/>
        <w:ind w:left="0" w:leftChars="0"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本局</w:t>
      </w:r>
      <w:r>
        <w:rPr>
          <w:rFonts w:hint="default" w:ascii="Times New Roman" w:hAnsi="Times New Roman" w:eastAsia="仿宋_GB2312" w:cs="Times New Roman"/>
          <w:color w:val="auto"/>
          <w:sz w:val="32"/>
          <w:szCs w:val="32"/>
          <w:highlight w:val="none"/>
        </w:rPr>
        <w:t>资产配置严格执行财政局《长沙市市级行政事业单位国有资产配置管理规定》（长财资产〔2018〕32号）、《长沙市市级行政事业单位通用资产配置标准》（长财资产〔2018〕33号）等相关文件规定。</w:t>
      </w:r>
      <w:r>
        <w:rPr>
          <w:rFonts w:hint="default" w:ascii="Times New Roman" w:hAnsi="Times New Roman" w:eastAsia="仿宋_GB2312" w:cs="Times New Roman"/>
          <w:color w:val="auto"/>
          <w:sz w:val="32"/>
          <w:szCs w:val="32"/>
          <w:highlight w:val="none"/>
          <w:lang w:val="en-US" w:eastAsia="zh-CN"/>
        </w:rPr>
        <w:t>所有</w:t>
      </w:r>
      <w:r>
        <w:rPr>
          <w:rFonts w:hint="default" w:ascii="Times New Roman" w:hAnsi="Times New Roman" w:eastAsia="仿宋_GB2312" w:cs="Times New Roman"/>
          <w:color w:val="auto"/>
          <w:sz w:val="32"/>
          <w:szCs w:val="32"/>
          <w:highlight w:val="none"/>
        </w:rPr>
        <w:t>固定资产均纳入财政局资产管理信息系统管理，每年在资产信息系统中与预算同步申报下一年度的资产配置计划。</w:t>
      </w:r>
    </w:p>
    <w:p>
      <w:pPr>
        <w:spacing w:line="240" w:lineRule="auto"/>
        <w:ind w:firstLine="633" w:firstLineChars="19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2022年度</w:t>
      </w:r>
      <w:r>
        <w:rPr>
          <w:rFonts w:hint="eastAsia" w:ascii="Times New Roman" w:hAnsi="Times New Roman" w:eastAsia="仿宋_GB2312" w:cs="Times New Roman"/>
          <w:color w:val="auto"/>
          <w:sz w:val="32"/>
          <w:szCs w:val="32"/>
          <w:highlight w:val="none"/>
          <w:lang w:eastAsia="zh-CN"/>
        </w:rPr>
        <w:t>本局</w:t>
      </w:r>
      <w:r>
        <w:rPr>
          <w:rFonts w:hint="default" w:ascii="Times New Roman" w:hAnsi="Times New Roman" w:eastAsia="仿宋_GB2312" w:cs="Times New Roman"/>
          <w:color w:val="auto"/>
          <w:sz w:val="32"/>
          <w:szCs w:val="32"/>
          <w:highlight w:val="none"/>
        </w:rPr>
        <w:t>配置固定资产335.35万元（账面原值）。从资产类别分析，配置设备330.12万元，占98.44%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配置家具、用具5.23万元，占1.56%；从配置方式分析，新购305.71万元，占91.16%；调拨29.63万元，占8.84%。配置无形资产145.18万元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从资产类别分析配置计算机软件145.18万元，占100%。从配置方式分析，新购145.18万元，占100%。</w:t>
      </w:r>
    </w:p>
    <w:p>
      <w:pPr>
        <w:ind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截</w:t>
      </w:r>
      <w:r>
        <w:rPr>
          <w:rFonts w:hint="default" w:ascii="Times New Roman" w:hAnsi="Times New Roman" w:eastAsia="仿宋_GB2312" w:cs="Times New Roman"/>
          <w:color w:val="auto"/>
          <w:sz w:val="32"/>
          <w:szCs w:val="32"/>
          <w:highlight w:val="none"/>
          <w:lang w:val="en-US" w:eastAsia="zh-CN"/>
        </w:rPr>
        <w:t>至</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年末，</w:t>
      </w:r>
      <w:r>
        <w:rPr>
          <w:rFonts w:hint="eastAsia" w:ascii="Times New Roman" w:hAnsi="Times New Roman" w:eastAsia="仿宋_GB2312" w:cs="Times New Roman"/>
          <w:color w:val="auto"/>
          <w:sz w:val="32"/>
          <w:szCs w:val="32"/>
          <w:highlight w:val="none"/>
          <w:lang w:val="en-US" w:eastAsia="zh-CN"/>
        </w:rPr>
        <w:t>本局</w:t>
      </w:r>
      <w:r>
        <w:rPr>
          <w:rFonts w:hint="default" w:ascii="Times New Roman" w:hAnsi="Times New Roman" w:eastAsia="仿宋_GB2312" w:cs="Times New Roman"/>
          <w:color w:val="auto"/>
          <w:sz w:val="32"/>
          <w:szCs w:val="32"/>
          <w:highlight w:val="none"/>
        </w:rPr>
        <w:t>固定资产净值443.35万元，较上年增长79.45%，占资产总额5.13%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无形资产1,335.1</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万元，较上年增长-3.51%，占资产总额15.46%</w:t>
      </w:r>
      <w:r>
        <w:rPr>
          <w:rFonts w:hint="default" w:ascii="Times New Roman" w:hAnsi="Times New Roman" w:eastAsia="仿宋_GB2312" w:cs="Times New Roman"/>
          <w:color w:val="auto"/>
          <w:sz w:val="32"/>
          <w:szCs w:val="32"/>
          <w:highlight w:val="none"/>
          <w:lang w:eastAsia="zh-CN"/>
        </w:rPr>
        <w:t>。</w:t>
      </w:r>
    </w:p>
    <w:p>
      <w:pPr>
        <w:pStyle w:val="24"/>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lang w:val="en-US" w:eastAsia="zh-CN"/>
        </w:rPr>
        <w:t>资产处置</w:t>
      </w:r>
    </w:p>
    <w:p>
      <w:pPr>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本局</w:t>
      </w:r>
      <w:r>
        <w:rPr>
          <w:rFonts w:hint="default" w:ascii="Times New Roman" w:hAnsi="Times New Roman" w:eastAsia="仿宋_GB2312" w:cs="Times New Roman"/>
          <w:color w:val="auto"/>
          <w:sz w:val="32"/>
          <w:szCs w:val="32"/>
          <w:highlight w:val="none"/>
          <w:lang w:val="en-US" w:eastAsia="zh-CN"/>
        </w:rPr>
        <w:t>资产处置严格按《关于明确市属行政事业单位资产处置审批权限有关事项的通知》（长财资产〔2019〕45号）文件要求执行。资产处置应按以下程序执行：（一）申报。单位提出资产处置申请，须提交资产处置申报材料向主管部门或市财政局申报。（二）审批。主管部门对单位报送的国有资产处置申请进行审核，属于权限内的，予以批复；属于权限外的，加具审核意见后，由申报单位报市财政局审批。（三）评估。市直行政事业单位以出售、出让、转让、置换等方式处置的国有资产及尚有变现价值或使用价值的报废资产，由产权单位委托具有资质的资产评估机构对其进行价值评估，评估报告须按审批权限，报市财政局或主管部门备案。（四）处置。经市政府、市财政局或主管部门批准后，单位应当及时办理资产处置相关手续。（五）缴款。单位资产处置收入，单位持书面申请及主管部门或市财政局的资产处置批复，至市财政局开具非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缴款通知书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并将资产处置收入全额缴入国库，实行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收支两条线</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管理。若无资产处置收入，单位须书面说明情况，国家或市另有规定的，从其规定。（六）账务处理。资产处置完毕，单位应当凭资产处置批复文件、处置结果等有关资料，及时按照现行财务会计制度的规定进行账务处理。（七）系统核销。单位资产处置后，应当在进行账务处理的同时，及时更新行政事业资产管理信息系统中相应资产卡片信息，进行资产核销处理，做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账实相符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账账相符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。本局2022年度无资产处置情况。</w:t>
      </w:r>
    </w:p>
    <w:p>
      <w:pPr>
        <w:spacing w:line="240" w:lineRule="auto"/>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五、政府性基金预算支出情况</w:t>
      </w:r>
    </w:p>
    <w:p>
      <w:pPr>
        <w:pStyle w:val="18"/>
        <w:ind w:firstLine="64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一</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资金支出情况</w:t>
      </w:r>
    </w:p>
    <w:p>
      <w:pPr>
        <w:pStyle w:val="18"/>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本局</w:t>
      </w:r>
      <w:r>
        <w:rPr>
          <w:rFonts w:hint="default" w:ascii="Times New Roman" w:hAnsi="Times New Roman" w:eastAsia="仿宋_GB2312" w:cs="Times New Roman"/>
          <w:color w:val="auto"/>
          <w:sz w:val="32"/>
          <w:szCs w:val="32"/>
          <w:highlight w:val="none"/>
        </w:rPr>
        <w:t>政府性基金上年结转0.00万元，202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年政府性基金收入103,648.60万元，202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年政府性基金支出89,072.80万元，其中：其他污水处理费安排的支出89,072.80万元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污水处理运行费85,427.90万元、长沙市敢胜垸、苏托垸污水处理PPP项目（还本付息）</w:t>
      </w:r>
      <w:r>
        <w:rPr>
          <w:rFonts w:hint="eastAsia" w:ascii="Times New Roman" w:hAnsi="Times New Roman" w:eastAsia="仿宋_GB2312" w:cs="Times New Roman"/>
          <w:color w:val="auto"/>
          <w:sz w:val="32"/>
          <w:szCs w:val="32"/>
          <w:highlight w:val="none"/>
        </w:rPr>
        <w:t>3,644.90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年项目结余14,575.80万元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年末结余资金财政已全部收回</w:t>
      </w:r>
      <w:r>
        <w:rPr>
          <w:rFonts w:hint="default" w:ascii="Times New Roman" w:hAnsi="Times New Roman" w:eastAsia="仿宋_GB2312" w:cs="Times New Roman"/>
          <w:color w:val="auto"/>
          <w:sz w:val="32"/>
          <w:szCs w:val="32"/>
          <w:highlight w:val="none"/>
        </w:rPr>
        <w:t>。</w:t>
      </w:r>
    </w:p>
    <w:p>
      <w:pPr>
        <w:pStyle w:val="18"/>
        <w:ind w:firstLine="64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（二）绩效目标完成情况</w:t>
      </w:r>
    </w:p>
    <w:p>
      <w:pPr>
        <w:pStyle w:val="18"/>
        <w:numPr>
          <w:ilvl w:val="-1"/>
          <w:numId w:val="0"/>
        </w:numPr>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2022年政府性基金支出项目为污水处理运行费及长沙市敢胜垸、苏托垸污水处理PPP项目（还本付息）项目，绩效目标为</w:t>
      </w:r>
      <w:r>
        <w:rPr>
          <w:rFonts w:hint="default" w:ascii="Times New Roman" w:hAnsi="Times New Roman" w:eastAsia="仿宋_GB2312" w:cs="Times New Roman"/>
          <w:color w:val="auto"/>
          <w:sz w:val="32"/>
          <w:szCs w:val="32"/>
          <w:lang w:val="en-US" w:eastAsia="zh-CN"/>
        </w:rPr>
        <w:t>长沙市主城区</w:t>
      </w:r>
      <w:r>
        <w:rPr>
          <w:rFonts w:hint="eastAsia" w:ascii="Times New Roman" w:hAnsi="Times New Roman" w:eastAsia="仿宋_GB2312" w:cs="Times New Roman"/>
          <w:color w:val="auto"/>
          <w:sz w:val="32"/>
          <w:szCs w:val="32"/>
          <w:lang w:val="en-US" w:eastAsia="zh-CN"/>
        </w:rPr>
        <w:t>14座</w:t>
      </w:r>
      <w:r>
        <w:rPr>
          <w:rFonts w:hint="eastAsia" w:ascii="Times New Roman" w:hAnsi="Times New Roman" w:eastAsia="仿宋_GB2312" w:cs="Times New Roman"/>
          <w:color w:val="auto"/>
          <w:sz w:val="32"/>
          <w:szCs w:val="32"/>
          <w:highlight w:val="none"/>
          <w:lang w:val="en-US" w:eastAsia="zh-CN"/>
        </w:rPr>
        <w:t>污水处理厂（含敢胜垸、苏托垸）稳定运行，出水水质达标、分散污泥妥善处置，实际完成情况为2022年污水处理厂出水达标率100%，污泥无害化处置率100%。</w:t>
      </w:r>
    </w:p>
    <w:p>
      <w:pPr>
        <w:pStyle w:val="18"/>
        <w:ind w:firstLine="640"/>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（三）产出和效益情况</w:t>
      </w:r>
    </w:p>
    <w:p>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长沙市主城区污水处理厂建成并运行</w:t>
      </w:r>
      <w:r>
        <w:rPr>
          <w:rFonts w:hint="eastAsia" w:ascii="Times New Roman" w:hAnsi="Times New Roman" w:eastAsia="仿宋_GB2312" w:cs="Times New Roman"/>
          <w:color w:val="auto"/>
          <w:sz w:val="32"/>
          <w:szCs w:val="32"/>
          <w:lang w:val="en-US" w:eastAsia="zh-CN"/>
        </w:rPr>
        <w:t>14座</w:t>
      </w:r>
      <w:r>
        <w:rPr>
          <w:rFonts w:hint="default" w:ascii="Times New Roman" w:hAnsi="Times New Roman" w:eastAsia="仿宋_GB2312" w:cs="Times New Roman"/>
          <w:color w:val="auto"/>
          <w:sz w:val="32"/>
          <w:szCs w:val="32"/>
          <w:lang w:val="en-US" w:eastAsia="zh-CN"/>
        </w:rPr>
        <w:t>，长沙市主城区污水处理能力提升至296.5万吨/日，其中一级A标准130万吨/日，准四类水标准166.5万吨/日，出水在线平台检测合格率100%，城市污水处理率98.6</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生活污泥处置采取集中和分散式处置相结合的方式，总处理规模为1800吨/日，其中集中处置1000吨/日（黑糜峰垃圾焚烧掺烧资源化处置），分散处置800吨/日（岳麓污泥散置项目500吨/日，长善垸污泥分散处置项目300吨/日，均进行资源化处置）。</w:t>
      </w:r>
    </w:p>
    <w:p>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2022年我市新增</w:t>
      </w:r>
      <w:r>
        <w:rPr>
          <w:rFonts w:hint="eastAsia" w:ascii="Times New Roman" w:hAnsi="Times New Roman" w:eastAsia="仿宋_GB2312" w:cs="Times New Roman"/>
          <w:color w:val="auto"/>
          <w:sz w:val="32"/>
          <w:szCs w:val="32"/>
          <w:lang w:val="en-US" w:eastAsia="zh-CN"/>
        </w:rPr>
        <w:t>城区</w:t>
      </w:r>
      <w:r>
        <w:rPr>
          <w:rFonts w:hint="default" w:ascii="Times New Roman" w:hAnsi="Times New Roman" w:eastAsia="仿宋_GB2312" w:cs="Times New Roman"/>
          <w:color w:val="auto"/>
          <w:sz w:val="32"/>
          <w:szCs w:val="32"/>
          <w:lang w:val="en-US" w:eastAsia="zh-CN"/>
        </w:rPr>
        <w:t>污水处理厂处理规模49万吨。其中岳麓污水处理厂三期项目从5月12日进入商业试运营，新增规模15万吨/日。开福污水处理厂三期扩建项目已建设完成，从4月1日进入商业试运行，新增处理规模15万吨/日。花桥水质净化厂三期扩建第一组新增10万吨每日处理规模已具备投运条件，自2022年3月7日进入运营并计量，新开铺污水处理厂提标改造项目新增规模9万吨/日已达标排放。2022年共处理污水约88169.88</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预估值</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万吨，较去年同期增长了1050.03万吨，同比增长1.21%，日均处理污水241.56万吨。污泥分散处理处置及资源化利用项目累计处理处置污泥（折合成含水率80%）203241.72（预估值）吨。其中长善垸污泥深度处理项目累计处理处置湿泥99795.49（预估值）吨，岳麓污水厂污泥深度处理项目累计处理处置湿泥量103446.23（预估值）吨，平均日产泥556吨，污泥经深度脱水后送至末端处置单位进行资源化利用。</w:t>
      </w:r>
    </w:p>
    <w:p>
      <w:pPr>
        <w:spacing w:line="240" w:lineRule="auto"/>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2022年主城区</w:t>
      </w:r>
      <w:r>
        <w:rPr>
          <w:rFonts w:hint="eastAsia" w:ascii="Times New Roman" w:hAnsi="Times New Roman" w:eastAsia="仿宋_GB2312" w:cs="Times New Roman"/>
          <w:color w:val="auto"/>
          <w:kern w:val="2"/>
          <w:sz w:val="32"/>
          <w:szCs w:val="32"/>
          <w:lang w:val="en-US" w:eastAsia="zh-CN" w:bidi="ar-SA"/>
        </w:rPr>
        <w:t>污水处理厂出厂水质基本达到了环保部门要求，出水在线平台检测合格率达到100%。污泥排放均符合国家城镇建设行业标准《城市污水处理厂污水污泥排放标准CJ3025-93》，安全处置率100%，为构建湘江流域水环境生态安全屏障，保障湘江库区人民群众生产、生活用水安全作出重要贡献。</w:t>
      </w:r>
    </w:p>
    <w:p>
      <w:pPr>
        <w:spacing w:line="240" w:lineRule="auto"/>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六、国有资本经营预算支出情况</w:t>
      </w:r>
    </w:p>
    <w:p>
      <w:pPr>
        <w:spacing w:line="240" w:lineRule="auto"/>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本局</w:t>
      </w:r>
      <w:r>
        <w:rPr>
          <w:rFonts w:hint="default" w:ascii="Times New Roman" w:hAnsi="Times New Roman" w:eastAsia="仿宋_GB2312" w:cs="Times New Roman"/>
          <w:color w:val="auto"/>
          <w:sz w:val="32"/>
          <w:szCs w:val="32"/>
          <w:highlight w:val="none"/>
        </w:rPr>
        <w:t>无国有资本经营预算支出。</w:t>
      </w:r>
    </w:p>
    <w:p>
      <w:pPr>
        <w:spacing w:line="240" w:lineRule="auto"/>
        <w:ind w:firstLine="640" w:firstLineChars="200"/>
        <w:jc w:val="lef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七、社会保险基金预算支出情况</w:t>
      </w:r>
    </w:p>
    <w:p>
      <w:pPr>
        <w:spacing w:line="240" w:lineRule="auto"/>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本局</w:t>
      </w:r>
      <w:r>
        <w:rPr>
          <w:rFonts w:hint="default" w:ascii="Times New Roman" w:hAnsi="Times New Roman" w:eastAsia="仿宋_GB2312" w:cs="Times New Roman"/>
          <w:color w:val="auto"/>
          <w:sz w:val="32"/>
          <w:szCs w:val="32"/>
          <w:highlight w:val="none"/>
        </w:rPr>
        <w:t>无社会保险基金预算支出。</w:t>
      </w:r>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八、部门整体支出绩效情况</w:t>
      </w:r>
    </w:p>
    <w:p>
      <w:pPr>
        <w:spacing w:line="240" w:lineRule="auto"/>
        <w:ind w:firstLine="643" w:firstLineChars="200"/>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lang w:val="en-US" w:eastAsia="zh-CN"/>
        </w:rPr>
        <w:t>（一）</w:t>
      </w:r>
      <w:r>
        <w:rPr>
          <w:rFonts w:hint="eastAsia" w:ascii="楷体" w:hAnsi="楷体" w:eastAsia="楷体" w:cs="楷体"/>
          <w:b/>
          <w:bCs/>
          <w:color w:val="auto"/>
          <w:kern w:val="0"/>
          <w:sz w:val="32"/>
          <w:szCs w:val="32"/>
          <w:highlight w:val="none"/>
        </w:rPr>
        <w:t>绩效目标完成情况</w:t>
      </w:r>
    </w:p>
    <w:p>
      <w:pPr>
        <w:spacing w:line="240" w:lineRule="auto"/>
        <w:ind w:firstLine="640" w:firstLineChars="200"/>
        <w:rPr>
          <w:rFonts w:hint="default" w:ascii="Times New Roman" w:hAnsi="Times New Roman" w:eastAsia="仿宋_GB2312"/>
          <w:color w:val="auto"/>
          <w:kern w:val="0"/>
          <w:sz w:val="32"/>
          <w:szCs w:val="32"/>
          <w:highlight w:val="none"/>
        </w:rPr>
      </w:pPr>
      <w:r>
        <w:rPr>
          <w:rFonts w:hint="eastAsia" w:ascii="Times New Roman" w:hAnsi="Times New Roman" w:eastAsia="仿宋_GB2312"/>
          <w:color w:val="auto"/>
          <w:kern w:val="0"/>
          <w:sz w:val="32"/>
          <w:szCs w:val="32"/>
          <w:highlight w:val="none"/>
          <w:lang w:eastAsia="zh-CN"/>
        </w:rPr>
        <w:t>本局</w:t>
      </w:r>
      <w:r>
        <w:rPr>
          <w:rFonts w:ascii="Times New Roman" w:hAnsi="Times New Roman" w:eastAsia="仿宋_GB2312"/>
          <w:color w:val="auto"/>
          <w:kern w:val="0"/>
          <w:sz w:val="32"/>
          <w:szCs w:val="32"/>
          <w:highlight w:val="none"/>
        </w:rPr>
        <w:t>各部门根据</w:t>
      </w:r>
      <w:r>
        <w:rPr>
          <w:rFonts w:hint="default" w:ascii="Times New Roman" w:hAnsi="Times New Roman" w:eastAsia="仿宋_GB2312"/>
          <w:color w:val="auto"/>
          <w:kern w:val="0"/>
          <w:sz w:val="32"/>
          <w:szCs w:val="32"/>
          <w:highlight w:val="none"/>
        </w:rPr>
        <w:t>202</w:t>
      </w:r>
      <w:r>
        <w:rPr>
          <w:rFonts w:hint="eastAsia" w:ascii="Times New Roman" w:hAnsi="Times New Roman" w:eastAsia="仿宋_GB2312"/>
          <w:color w:val="auto"/>
          <w:kern w:val="0"/>
          <w:sz w:val="32"/>
          <w:szCs w:val="32"/>
          <w:highlight w:val="none"/>
          <w:lang w:val="en-US" w:eastAsia="zh-CN"/>
        </w:rPr>
        <w:t>2</w:t>
      </w:r>
      <w:r>
        <w:rPr>
          <w:rFonts w:hint="default" w:ascii="Times New Roman" w:hAnsi="Times New Roman" w:eastAsia="仿宋_GB2312"/>
          <w:color w:val="auto"/>
          <w:kern w:val="0"/>
          <w:sz w:val="32"/>
          <w:szCs w:val="32"/>
          <w:highlight w:val="none"/>
        </w:rPr>
        <w:t>年工作计划，认真履行职责，较好地完成了年初确定的各项工作任务，为推进住房及城镇建设事业和全</w:t>
      </w:r>
      <w:r>
        <w:rPr>
          <w:rFonts w:hint="eastAsia" w:ascii="Times New Roman" w:hAnsi="Times New Roman" w:eastAsia="仿宋_GB2312"/>
          <w:color w:val="auto"/>
          <w:kern w:val="0"/>
          <w:sz w:val="32"/>
          <w:szCs w:val="32"/>
          <w:highlight w:val="none"/>
          <w:lang w:val="en-US" w:eastAsia="zh-CN"/>
        </w:rPr>
        <w:t>市</w:t>
      </w:r>
      <w:r>
        <w:rPr>
          <w:rFonts w:hint="default" w:ascii="Times New Roman" w:hAnsi="Times New Roman" w:eastAsia="仿宋_GB2312"/>
          <w:color w:val="auto"/>
          <w:kern w:val="0"/>
          <w:sz w:val="32"/>
          <w:szCs w:val="32"/>
          <w:highlight w:val="none"/>
        </w:rPr>
        <w:t>经济社会发展作出了积极贡献。</w:t>
      </w:r>
    </w:p>
    <w:p>
      <w:pPr>
        <w:numPr>
          <w:ilvl w:val="-1"/>
          <w:numId w:val="0"/>
        </w:numPr>
        <w:spacing w:line="240" w:lineRule="auto"/>
        <w:ind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1</w:t>
      </w:r>
      <w:r>
        <w:rPr>
          <w:rFonts w:hint="eastAsia" w:ascii="Times New Roman" w:hAnsi="Times New Roman" w:eastAsia="仿宋_GB2312"/>
          <w:color w:val="auto"/>
          <w:kern w:val="0"/>
          <w:sz w:val="32"/>
          <w:szCs w:val="32"/>
          <w:highlight w:val="none"/>
          <w:lang w:eastAsia="zh-CN"/>
        </w:rPr>
        <w:t>）</w:t>
      </w:r>
      <w:r>
        <w:rPr>
          <w:rFonts w:hint="eastAsia" w:ascii="Times New Roman" w:hAnsi="Times New Roman" w:eastAsia="仿宋_GB2312"/>
          <w:color w:val="auto"/>
          <w:kern w:val="0"/>
          <w:sz w:val="32"/>
          <w:szCs w:val="32"/>
          <w:highlight w:val="none"/>
          <w:lang w:val="en-US" w:eastAsia="zh-CN"/>
        </w:rPr>
        <w:t>2022年</w:t>
      </w:r>
      <w:r>
        <w:rPr>
          <w:rFonts w:hint="default" w:ascii="Times New Roman" w:hAnsi="Times New Roman" w:eastAsia="仿宋_GB2312" w:cs="Times New Roman"/>
          <w:color w:val="auto"/>
          <w:sz w:val="32"/>
          <w:szCs w:val="32"/>
          <w:lang w:val="en-US" w:eastAsia="zh-CN"/>
        </w:rPr>
        <w:t>长沙市主城区各污水处理厂污水处理设施运行稳定，全年未发生重大安全事故，除经批准的计划内检修和改扩建管网接驳停产外，各污水处理厂全年均正常运行。202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年度主城区的污水处理厂日均处理污水296.5</w:t>
      </w:r>
      <w:r>
        <w:rPr>
          <w:rFonts w:hint="eastAsia" w:ascii="仿宋_GB2312" w:hAnsi="Times New Roman" w:eastAsia="仿宋_GB2312" w:cs="Times New Roman"/>
          <w:color w:val="auto"/>
          <w:sz w:val="32"/>
          <w:szCs w:val="32"/>
          <w:lang w:val="en-US" w:eastAsia="zh-CN"/>
        </w:rPr>
        <w:t>万吨</w:t>
      </w:r>
      <w:r>
        <w:rPr>
          <w:rFonts w:hint="default" w:ascii="Times New Roman" w:hAnsi="Times New Roman" w:eastAsia="仿宋_GB2312" w:cs="Times New Roman"/>
          <w:color w:val="auto"/>
          <w:sz w:val="32"/>
          <w:szCs w:val="32"/>
          <w:lang w:val="en-US" w:eastAsia="zh-CN"/>
        </w:rPr>
        <w:t>，污水处理率达98.</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0%，圆满完成年度工作目标。污水处理厂出厂水质基本达到了环保部门要求，出水在线平台检测合格率达到100%。</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（2）成立市级专班，累计排查自建房1108204栋，采取整治措施53089栋，拆除存在重大安全隐患自建房1828栋；全市共排查既有建筑260145栋，排查在建建筑7723栋，处罚企业207家。</w:t>
      </w:r>
    </w:p>
    <w:p>
      <w:pPr>
        <w:pStyle w:val="12"/>
        <w:numPr>
          <w:ilvl w:val="0"/>
          <w:numId w:val="0"/>
        </w:numPr>
        <w:spacing w:after="0"/>
        <w:ind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（3）中央环保督察整改重点项目共13个，其中6个项目已开工，2个项目已基本完成前期工作即将开工，5个项目正在前期工作开展阶段，实际完成投资11.054亿元。</w:t>
      </w:r>
    </w:p>
    <w:p>
      <w:pPr>
        <w:pStyle w:val="12"/>
        <w:numPr>
          <w:ilvl w:val="0"/>
          <w:numId w:val="0"/>
        </w:numPr>
        <w:ind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（4）全市摸排2022年实施既有小区品质提升项目共227个，已完成200个，通过十期《家门口的蝶变》向社会推介一批高品质、高颜值的示范项目，激发了群众参与既有小区品质提升行动的热情。</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（5）从房源筹集、资金管理、土地供应、税费优惠等方面出台政策文件39个，形成了住房租赁市场发展的政策框架体系；三年共筹集租赁住房11.71万套，完成中央任务10.5万套的111.55%。</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（6）截至2022年11月底，我市注册建筑业企业8896家，其中特级企业17家，一级总包企业240家。</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（7）2022年既有多层住宅加装电梯1257台，超额完成年度计划，发放补贴数4750万元。</w:t>
      </w:r>
    </w:p>
    <w:p>
      <w:pPr>
        <w:pStyle w:val="12"/>
        <w:numPr>
          <w:ilvl w:val="0"/>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8）2022年共计处理10批次、65人次评标专家；共核查文件185份，发现问题项目87个，全部要求建设单位进行修改；已录入了1097家代理机构的基本信息，对14家代理机构的不规范行为进行了扣分处理，收录了76家招标代理机构的700余条执业信息，核查代理公司专职人员1000余人次。</w:t>
      </w:r>
    </w:p>
    <w:p>
      <w:pPr>
        <w:pStyle w:val="12"/>
        <w:numPr>
          <w:ilvl w:val="0"/>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9）今年全市乡镇完成85公里配套管网建设和34座乡镇污水处理厂的在线监测和视频监控。全年下达19座厂进水COD浓度提升工作，其中有9座乡镇污水处理厂进水COD浓度提升工作纳入市纪委“洞庭清波”专项行动督察。截至2022年12月，19座乡镇厂进水COD浓度基本达到60mg/L以上。</w:t>
      </w:r>
    </w:p>
    <w:p>
      <w:pPr>
        <w:pStyle w:val="12"/>
        <w:numPr>
          <w:ilvl w:val="0"/>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（10）在门户网站主动公开信息3777条，按时完成市数据资源局发布的数据治理任务，长政通共激活用户1470名，实现了100%全覆盖全激活，月活率均在90%以上。</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（11）全市城区新建污水管网135公里（含长望浏宁），改造污水管网59公里，新建雨水管网89公里，改造雨水管网31公里，已完成年度排水管网建设任务。</w:t>
      </w:r>
    </w:p>
    <w:p>
      <w:pPr>
        <w:pStyle w:val="12"/>
        <w:numPr>
          <w:ilvl w:val="-1"/>
          <w:numId w:val="0"/>
        </w:numPr>
        <w:spacing w:after="0"/>
        <w:ind w:left="0" w:leftChars="0" w:firstLine="640" w:firstLineChars="200"/>
        <w:rPr>
          <w:rFonts w:hint="eastAsia" w:ascii="Times New Roman" w:hAnsi="Times New Roman" w:eastAsia="仿宋_GB2312"/>
          <w:color w:val="auto"/>
          <w:kern w:val="0"/>
          <w:sz w:val="32"/>
          <w:szCs w:val="32"/>
          <w:highlight w:val="none"/>
          <w:lang w:val="en-US" w:eastAsia="zh-CN"/>
        </w:rPr>
      </w:pPr>
      <w:r>
        <w:rPr>
          <w:rFonts w:hint="eastAsia" w:ascii="Times New Roman" w:hAnsi="Times New Roman" w:eastAsia="仿宋_GB2312"/>
          <w:color w:val="auto"/>
          <w:kern w:val="0"/>
          <w:sz w:val="32"/>
          <w:szCs w:val="32"/>
          <w:highlight w:val="none"/>
          <w:lang w:val="en-US" w:eastAsia="zh-CN"/>
        </w:rPr>
        <w:t>（12）《长沙市住房和城乡建设局2021年度预算执行及其他财政收支情况审计》指出20个问题，16个问题已经整改到位，4个问题正在整改中（系持续整改问题），《长沙市2019年至2021年城建专项资金管理使用情况专项审计》指出的两个问题已经全部整改到位。</w:t>
      </w:r>
    </w:p>
    <w:p>
      <w:pPr>
        <w:spacing w:line="240" w:lineRule="auto"/>
        <w:ind w:firstLine="643" w:firstLineChars="200"/>
        <w:rPr>
          <w:rFonts w:hint="default"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（二）产出和效益情况</w:t>
      </w:r>
    </w:p>
    <w:p>
      <w:pPr>
        <w:spacing w:line="240" w:lineRule="auto"/>
        <w:ind w:firstLine="643" w:firstLineChars="200"/>
        <w:rPr>
          <w:rFonts w:hint="eastAsia" w:ascii="Times New Roman" w:hAnsi="Times New Roman" w:eastAsia="仿宋_GB2312"/>
          <w:b w:val="0"/>
          <w:bCs w:val="0"/>
          <w:color w:val="auto"/>
          <w:kern w:val="0"/>
          <w:sz w:val="32"/>
          <w:szCs w:val="32"/>
          <w:highlight w:val="none"/>
          <w:lang w:val="en-US" w:eastAsia="zh-CN"/>
        </w:rPr>
      </w:pPr>
      <w:r>
        <w:rPr>
          <w:rFonts w:hint="eastAsia" w:ascii="Times New Roman" w:hAnsi="Times New Roman" w:eastAsia="仿宋_GB2312"/>
          <w:b/>
          <w:bCs/>
          <w:color w:val="auto"/>
          <w:kern w:val="0"/>
          <w:sz w:val="32"/>
          <w:szCs w:val="32"/>
          <w:highlight w:val="none"/>
          <w:lang w:eastAsia="zh-CN"/>
        </w:rPr>
        <w:t>（</w:t>
      </w:r>
      <w:r>
        <w:rPr>
          <w:rFonts w:hint="eastAsia" w:ascii="Times New Roman" w:hAnsi="Times New Roman" w:eastAsia="仿宋_GB2312"/>
          <w:b/>
          <w:bCs/>
          <w:color w:val="auto"/>
          <w:kern w:val="0"/>
          <w:sz w:val="32"/>
          <w:szCs w:val="32"/>
          <w:highlight w:val="none"/>
          <w:lang w:val="en-US" w:eastAsia="zh-CN"/>
        </w:rPr>
        <w:t>1</w:t>
      </w:r>
      <w:r>
        <w:rPr>
          <w:rFonts w:hint="eastAsia" w:ascii="Times New Roman" w:hAnsi="Times New Roman" w:eastAsia="仿宋_GB2312"/>
          <w:b/>
          <w:bCs/>
          <w:color w:val="auto"/>
          <w:kern w:val="0"/>
          <w:sz w:val="32"/>
          <w:szCs w:val="32"/>
          <w:highlight w:val="none"/>
          <w:lang w:eastAsia="zh-CN"/>
        </w:rPr>
        <w:t>）</w:t>
      </w:r>
      <w:r>
        <w:rPr>
          <w:rFonts w:hint="eastAsia" w:ascii="Times New Roman" w:hAnsi="Times New Roman" w:eastAsia="仿宋_GB2312"/>
          <w:b/>
          <w:bCs/>
          <w:color w:val="auto"/>
          <w:kern w:val="0"/>
          <w:sz w:val="32"/>
          <w:szCs w:val="32"/>
          <w:highlight w:val="none"/>
          <w:lang w:val="en-US" w:eastAsia="zh-CN"/>
        </w:rPr>
        <w:t>奋力打响自建房安全整治攻坚战。</w:t>
      </w:r>
      <w:r>
        <w:rPr>
          <w:rFonts w:hint="eastAsia" w:ascii="Times New Roman" w:hAnsi="Times New Roman" w:eastAsia="仿宋_GB2312"/>
          <w:b w:val="0"/>
          <w:bCs w:val="0"/>
          <w:color w:val="auto"/>
          <w:kern w:val="0"/>
          <w:sz w:val="32"/>
          <w:szCs w:val="32"/>
          <w:highlight w:val="none"/>
          <w:lang w:val="en-US" w:eastAsia="zh-CN"/>
        </w:rPr>
        <w:t>坚持人民至上、生命至上，知重负重、迎难而上，第一时间率队救援现场，第一时间开展专项整治，组建工作专班，全面推进“百日攻坚”行动。在市委、市政府的高位统筹下，迅速构建市县和部门协同推进工作格局，落实“三到位”“六步法”要求，扎实开展“四查、四改、四帮、四治”，先后落实两轮排查一轮核查，开展一轮隐患整治，动员投入力量10.4万人，市县两级财政投入15.18亿元，做到了率先完成普查，率先开展整治，率先完善政策，率先健全队伍，率先建立平台。截至目前，全市共排查居民自建房110.81万栋，初判隐患61.44万栋，其中初判存在结构安全性隐患的75706栋，实际存在结构安全性隐患的9037栋，目前全部完成整治销号，其中拆除C、D级安全隐患自建房3613栋，有效管控和消除了一批重大安全隐患，守住了“危房不住人，人不进危房”的底线。</w:t>
      </w:r>
    </w:p>
    <w:p>
      <w:pPr>
        <w:pStyle w:val="1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baseline"/>
        <w:rPr>
          <w:rFonts w:hint="eastAsia" w:ascii="Times New Roman" w:hAnsi="Times New Roman" w:eastAsia="仿宋_GB2312" w:cs="Calibri"/>
          <w:b w:val="0"/>
          <w:bCs w:val="0"/>
          <w:color w:val="auto"/>
          <w:kern w:val="0"/>
          <w:sz w:val="32"/>
          <w:szCs w:val="32"/>
          <w:highlight w:val="none"/>
          <w:lang w:val="en-US" w:eastAsia="zh-CN" w:bidi="ar-SA"/>
        </w:rPr>
      </w:pPr>
      <w:r>
        <w:rPr>
          <w:rFonts w:hint="eastAsia" w:ascii="Times New Roman" w:hAnsi="Times New Roman" w:eastAsia="仿宋_GB2312" w:cs="Calibri"/>
          <w:b/>
          <w:bCs/>
          <w:color w:val="auto"/>
          <w:kern w:val="0"/>
          <w:sz w:val="32"/>
          <w:szCs w:val="32"/>
          <w:highlight w:val="none"/>
          <w:lang w:val="en-US" w:eastAsia="zh-CN" w:bidi="ar-SA"/>
        </w:rPr>
        <w:t>（2）全力统筹住建领域发展与安全。</w:t>
      </w:r>
      <w:r>
        <w:rPr>
          <w:rFonts w:hint="eastAsia" w:ascii="Times New Roman" w:hAnsi="Times New Roman" w:eastAsia="仿宋_GB2312" w:cs="Calibri"/>
          <w:b w:val="0"/>
          <w:bCs w:val="0"/>
          <w:color w:val="auto"/>
          <w:kern w:val="0"/>
          <w:sz w:val="32"/>
          <w:szCs w:val="32"/>
          <w:highlight w:val="none"/>
          <w:lang w:val="en-US" w:eastAsia="zh-CN" w:bidi="ar-SA"/>
        </w:rPr>
        <w:t>坚决推进</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保交楼</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重大任务，以竣工交付为目标，实行</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专班推动</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一企一策、一楼一策</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四方见面</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等机制，坚持封闭运行、金融支持，争取国家专项借款资金16.4亿元，累计交房19962套，218.61万平米，有力维护了群众利益和社会稳定。深化</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大质安</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监管格局，围绕房屋市政在建工程开展安全生产和扬尘防治开展多类专项治理行动，督促整改项目4306个次，责令停工454起，集中约谈相关参建单位251次，累计消除各类安全隐患1.2万余处。加强监管执法联动，层层递进深化建安领域风险隐患综合治理，累计行政处罚104起，处罚金额236.9万元。专项推进高层建筑风险隐患排查整治、</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两违清查</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等任务，排查高层建筑外立面潜在安全隐患372个，逐步推进整改。深化城区排水防涝体系建设，成功应对强降雨10次，城市供水经受旱情大考。面对量大件多的信访压力，完善常态排查、信息共享、调度督办、群众沟通机制，国家信访局交办65件信访积案全部办结，有序有力化解38批次集访，确保了住建领域总体平稳。</w:t>
      </w:r>
    </w:p>
    <w:p>
      <w:pPr>
        <w:pStyle w:val="1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baseline"/>
        <w:rPr>
          <w:rFonts w:hint="eastAsia" w:ascii="Times New Roman" w:hAnsi="Times New Roman" w:eastAsia="仿宋_GB2312" w:cs="Calibri"/>
          <w:b w:val="0"/>
          <w:bCs w:val="0"/>
          <w:color w:val="auto"/>
          <w:kern w:val="0"/>
          <w:sz w:val="32"/>
          <w:szCs w:val="32"/>
          <w:highlight w:val="none"/>
          <w:lang w:val="en-US" w:eastAsia="zh-CN" w:bidi="ar-SA"/>
        </w:rPr>
      </w:pPr>
      <w:r>
        <w:rPr>
          <w:rFonts w:hint="eastAsia" w:ascii="Times New Roman" w:hAnsi="Times New Roman" w:eastAsia="仿宋_GB2312" w:cs="Calibri"/>
          <w:b/>
          <w:bCs/>
          <w:color w:val="auto"/>
          <w:kern w:val="0"/>
          <w:sz w:val="32"/>
          <w:szCs w:val="32"/>
          <w:highlight w:val="none"/>
          <w:lang w:val="en-US" w:eastAsia="zh-CN" w:bidi="ar-SA"/>
        </w:rPr>
        <w:t>（3）强力推动支柱产业逆势增长。</w:t>
      </w:r>
      <w:r>
        <w:rPr>
          <w:rFonts w:hint="eastAsia" w:ascii="Times New Roman" w:hAnsi="Times New Roman" w:eastAsia="仿宋_GB2312" w:cs="Calibri"/>
          <w:b w:val="0"/>
          <w:bCs w:val="0"/>
          <w:color w:val="auto"/>
          <w:kern w:val="0"/>
          <w:sz w:val="32"/>
          <w:szCs w:val="32"/>
          <w:highlight w:val="none"/>
          <w:lang w:val="en-US" w:eastAsia="zh-CN" w:bidi="ar-SA"/>
        </w:rPr>
        <w:t>房地产业完成开发投资2</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424.93亿元，同比增长8.4</w:t>
      </w:r>
      <w:r>
        <w:rPr>
          <w:rFonts w:hint="eastAsia" w:eastAsia="仿宋_GB2312" w:cs="Calibri"/>
          <w:b w:val="0"/>
          <w:bCs w:val="0"/>
          <w:color w:val="auto"/>
          <w:kern w:val="0"/>
          <w:sz w:val="32"/>
          <w:szCs w:val="32"/>
          <w:highlight w:val="none"/>
          <w:lang w:val="en-US" w:eastAsia="zh-CN" w:bidi="ar-SA"/>
        </w:rPr>
        <w:t>0</w:t>
      </w:r>
      <w:r>
        <w:rPr>
          <w:rFonts w:hint="eastAsia" w:ascii="Times New Roman" w:hAnsi="Times New Roman" w:eastAsia="仿宋_GB2312" w:cs="Calibri"/>
          <w:b w:val="0"/>
          <w:bCs w:val="0"/>
          <w:color w:val="auto"/>
          <w:kern w:val="0"/>
          <w:sz w:val="32"/>
          <w:szCs w:val="32"/>
          <w:highlight w:val="none"/>
          <w:lang w:val="en-US" w:eastAsia="zh-CN" w:bidi="ar-SA"/>
        </w:rPr>
        <w:t>%，住宅供应1</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325.88万平米，成交1377.6万平米，均居全国22个重点城市第3位，仅次于上海、成都。积极应对房地产市场变化，推出盘活存量房作为租赁房政策，大力发展保障性租赁住房、公租房，打造高品质商品住宅，形成</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保障房、刚需房、改需房</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三房联动的合理体系，推动住房问题从</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有没有</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向</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好不好</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转型，工作经验得到住建部倪虹部长点名肯定，在全省住房和城乡建设工作会议上作典型发言。加快建筑业绿色化、智能化、数字化转型，成功创建全国首批智能建造试点城市、湖南省绿色建造试点城市，建筑业总产值达到7</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362.56亿元，同比增长7.9</w:t>
      </w:r>
      <w:r>
        <w:rPr>
          <w:rFonts w:hint="eastAsia" w:eastAsia="仿宋_GB2312" w:cs="Calibri"/>
          <w:b w:val="0"/>
          <w:bCs w:val="0"/>
          <w:color w:val="auto"/>
          <w:kern w:val="0"/>
          <w:sz w:val="32"/>
          <w:szCs w:val="32"/>
          <w:highlight w:val="none"/>
          <w:lang w:val="en-US" w:eastAsia="zh-CN" w:bidi="ar-SA"/>
        </w:rPr>
        <w:t>0</w:t>
      </w:r>
      <w:r>
        <w:rPr>
          <w:rFonts w:hint="eastAsia" w:ascii="Times New Roman" w:hAnsi="Times New Roman" w:eastAsia="仿宋_GB2312" w:cs="Calibri"/>
          <w:b w:val="0"/>
          <w:bCs w:val="0"/>
          <w:color w:val="auto"/>
          <w:kern w:val="0"/>
          <w:sz w:val="32"/>
          <w:szCs w:val="32"/>
          <w:highlight w:val="none"/>
          <w:lang w:val="en-US" w:eastAsia="zh-CN" w:bidi="ar-SA"/>
        </w:rPr>
        <w:t>%，利税102.25亿元，新增2家国家级装配式建筑生产基地，3个项目获鲁班奖，79个项目获</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省优质工程奖</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深化工程建设项目审批制度改革，推进分阶段办理施工许可，加快省市工程建设审批系统深度融合，连续四年获评全省工改工作优秀单位。持续开展住建领域招投标突出问题专项治理，累计曝光74条次住建领域从业单位和人员的不良信用记录，营商环境得到新提升。</w:t>
      </w:r>
    </w:p>
    <w:p>
      <w:pPr>
        <w:pStyle w:val="1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baseline"/>
        <w:rPr>
          <w:rFonts w:hint="eastAsia" w:ascii="Times New Roman" w:hAnsi="Times New Roman" w:eastAsia="仿宋_GB2312" w:cs="Calibri"/>
          <w:b w:val="0"/>
          <w:bCs w:val="0"/>
          <w:color w:val="auto"/>
          <w:kern w:val="0"/>
          <w:sz w:val="32"/>
          <w:szCs w:val="32"/>
          <w:highlight w:val="none"/>
          <w:lang w:val="en-US" w:eastAsia="zh-CN" w:bidi="ar-SA"/>
        </w:rPr>
      </w:pPr>
      <w:r>
        <w:rPr>
          <w:rFonts w:hint="eastAsia" w:ascii="Times New Roman" w:hAnsi="Times New Roman" w:eastAsia="仿宋_GB2312" w:cs="Calibri"/>
          <w:b/>
          <w:bCs/>
          <w:color w:val="auto"/>
          <w:kern w:val="0"/>
          <w:sz w:val="32"/>
          <w:szCs w:val="32"/>
          <w:highlight w:val="none"/>
          <w:lang w:val="en-US" w:eastAsia="zh-CN" w:bidi="ar-SA"/>
        </w:rPr>
        <w:t>（4）着力完善市政基础设施体系。</w:t>
      </w:r>
      <w:r>
        <w:rPr>
          <w:rFonts w:hint="eastAsia" w:ascii="Times New Roman" w:hAnsi="Times New Roman" w:eastAsia="仿宋_GB2312" w:cs="Calibri"/>
          <w:b w:val="0"/>
          <w:bCs w:val="0"/>
          <w:color w:val="auto"/>
          <w:kern w:val="0"/>
          <w:sz w:val="32"/>
          <w:szCs w:val="32"/>
          <w:highlight w:val="none"/>
          <w:lang w:val="en-US" w:eastAsia="zh-CN" w:bidi="ar-SA"/>
        </w:rPr>
        <w:t>坚持地上地下统筹推进，铺排市政基础设施项目638个，完成投资552.96亿元。与各市直部门和平台公司等主体单位一道稳投资、抓项目、优服务、促进度，湘雅路隧道等4条过江通道超额完成投资目标；轨道交通6号线实现载客运营，长株潭城际轨道交通西环线开通试运行；打通湘江新区谷丰路等12条断头路、瓶颈路，做大城区支撑更足，做优片区连通更畅，做精市区配套更优。第二轮中央环保督察反馈城区水环境问题的13个重点治理项目全面启动，专班成立运行、有序运转，石碑大港等6个项目开工建设，累计完成投资11.05亿元，获评省级海绵城市建设示范城市。牵头推动</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新城建</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试点，启动智慧住建一体化平台建设，建设工程智慧监管系统、排水与污水处理智慧管理系统、城镇供水监管系统实现试运行。推进城市生命线管理系统建设，住建领域智慧化、数字化、信息化能力稳步增强。</w:t>
      </w:r>
    </w:p>
    <w:p>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643"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Calibri"/>
          <w:b/>
          <w:bCs/>
          <w:color w:val="auto"/>
          <w:kern w:val="0"/>
          <w:sz w:val="32"/>
          <w:szCs w:val="32"/>
          <w:highlight w:val="none"/>
          <w:lang w:val="en-US" w:eastAsia="zh-CN" w:bidi="ar-SA"/>
        </w:rPr>
        <w:t>（5）污水污泥合理处置，保护长沙水环境。</w:t>
      </w:r>
      <w:r>
        <w:rPr>
          <w:rFonts w:hint="default" w:ascii="Times New Roman" w:hAnsi="Times New Roman" w:eastAsia="仿宋_GB2312" w:cs="Times New Roman"/>
          <w:color w:val="auto"/>
          <w:sz w:val="32"/>
          <w:szCs w:val="32"/>
          <w:lang w:val="en-US" w:eastAsia="zh-CN"/>
        </w:rPr>
        <w:t>长沙市主城区污水处理厂建成并运行</w:t>
      </w:r>
      <w:r>
        <w:rPr>
          <w:rFonts w:hint="eastAsia" w:ascii="Times New Roman" w:hAnsi="Times New Roman" w:eastAsia="仿宋_GB2312" w:cs="Times New Roman"/>
          <w:color w:val="auto"/>
          <w:sz w:val="32"/>
          <w:szCs w:val="32"/>
          <w:lang w:val="en-US" w:eastAsia="zh-CN"/>
        </w:rPr>
        <w:t>14座</w:t>
      </w:r>
      <w:r>
        <w:rPr>
          <w:rFonts w:hint="default" w:ascii="Times New Roman" w:hAnsi="Times New Roman" w:eastAsia="仿宋_GB2312" w:cs="Times New Roman"/>
          <w:color w:val="auto"/>
          <w:sz w:val="32"/>
          <w:szCs w:val="32"/>
          <w:lang w:val="en-US" w:eastAsia="zh-CN"/>
        </w:rPr>
        <w:t>，长沙市主城区污水处理能力提升至296.5万吨/日，其中一级A标准130万吨/日，准四类水标准166.5万吨/日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2022年共处理污水约88169.88</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预估值</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万吨，较去年同期增长了1050.03万吨，同比增长1.21%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，日均处理污水241.56万吨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出水在线平台检测合格率100%，城市污水处理率98.6</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生活污泥处置采取集中和分散式处置相结合的方式，总处理规模为1800吨/日，其中集中处置1000吨/日（黑糜峰垃圾焚烧掺烧资源化处置），分散处置800吨/日（岳麓污泥散置项目500吨/日，长善垸污泥分散处置项目300吨/日，均进行资源化处置）。污泥分散处理处置及资源化利用项目累计处理处置污泥（折合成含水率80%）203241.72（预估值）吨</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kern w:val="2"/>
          <w:sz w:val="32"/>
          <w:szCs w:val="32"/>
          <w:lang w:val="en-US" w:eastAsia="zh-CN" w:bidi="ar-SA"/>
        </w:rPr>
        <w:t>污泥安全处置率100%。</w:t>
      </w:r>
    </w:p>
    <w:p>
      <w:pPr>
        <w:spacing w:line="240" w:lineRule="auto"/>
        <w:ind w:firstLine="0" w:firstLineChars="0"/>
        <w:rPr>
          <w:rFonts w:hint="eastAsia"/>
          <w:color w:val="auto"/>
          <w:lang w:val="en-US" w:eastAsia="zh-CN"/>
        </w:rPr>
      </w:pPr>
      <w:r>
        <w:rPr>
          <w:rFonts w:hint="eastAsia" w:ascii="Times New Roman" w:hAnsi="Times New Roman" w:eastAsia="仿宋_GB2312" w:cs="Times New Roman"/>
          <w:color w:val="auto"/>
          <w:sz w:val="32"/>
          <w:szCs w:val="32"/>
          <w:lang w:val="en-US" w:eastAsia="zh-CN"/>
        </w:rPr>
        <w:t>该项目的实施</w:t>
      </w:r>
      <w:r>
        <w:rPr>
          <w:rFonts w:hint="eastAsia" w:ascii="Times New Roman" w:hAnsi="Times New Roman" w:eastAsia="仿宋_GB2312" w:cs="Times New Roman"/>
          <w:color w:val="auto"/>
          <w:kern w:val="2"/>
          <w:sz w:val="32"/>
          <w:szCs w:val="32"/>
          <w:lang w:val="en-US" w:eastAsia="zh-CN" w:bidi="ar-SA"/>
        </w:rPr>
        <w:t>提高了长沙市的综合竞争力，能更好的改善和保护长沙市的生态环境，保护湘江流域的水环境，完善了长沙市基础市政设施，对长沙市的经济建设有着十分重要的意义。同时可以保障湘江库区人民群众生产、生活用水安全，改善长沙市的生活环境及质量、创建良好的对外形象，又可给长沙市的招商引资提供良好的外部环境。</w:t>
      </w:r>
    </w:p>
    <w:p>
      <w:pPr>
        <w:pStyle w:val="1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baseline"/>
        <w:rPr>
          <w:rFonts w:hint="eastAsia" w:ascii="Times New Roman" w:hAnsi="Times New Roman" w:eastAsia="仿宋_GB2312" w:cs="Calibri"/>
          <w:b w:val="0"/>
          <w:bCs w:val="0"/>
          <w:color w:val="auto"/>
          <w:kern w:val="0"/>
          <w:sz w:val="32"/>
          <w:szCs w:val="32"/>
          <w:highlight w:val="none"/>
          <w:lang w:val="en-US" w:eastAsia="zh-CN" w:bidi="ar-SA"/>
        </w:rPr>
      </w:pPr>
      <w:r>
        <w:rPr>
          <w:rFonts w:hint="eastAsia" w:ascii="Times New Roman" w:hAnsi="Times New Roman" w:eastAsia="仿宋_GB2312" w:cs="Calibri"/>
          <w:b/>
          <w:bCs/>
          <w:color w:val="auto"/>
          <w:kern w:val="0"/>
          <w:sz w:val="32"/>
          <w:szCs w:val="32"/>
          <w:highlight w:val="none"/>
          <w:lang w:val="en-US" w:eastAsia="zh-CN" w:bidi="ar-SA"/>
        </w:rPr>
        <w:t>（</w:t>
      </w:r>
      <w:r>
        <w:rPr>
          <w:rFonts w:hint="eastAsia" w:eastAsia="仿宋_GB2312" w:cs="Calibri"/>
          <w:b/>
          <w:bCs/>
          <w:color w:val="auto"/>
          <w:kern w:val="0"/>
          <w:sz w:val="32"/>
          <w:szCs w:val="32"/>
          <w:highlight w:val="none"/>
          <w:lang w:val="en-US" w:eastAsia="zh-CN" w:bidi="ar-SA"/>
        </w:rPr>
        <w:t>6</w:t>
      </w:r>
      <w:r>
        <w:rPr>
          <w:rFonts w:hint="eastAsia" w:ascii="Times New Roman" w:hAnsi="Times New Roman" w:eastAsia="仿宋_GB2312" w:cs="Calibri"/>
          <w:b/>
          <w:bCs/>
          <w:color w:val="auto"/>
          <w:kern w:val="0"/>
          <w:sz w:val="32"/>
          <w:szCs w:val="32"/>
          <w:highlight w:val="none"/>
          <w:lang w:val="en-US" w:eastAsia="zh-CN" w:bidi="ar-SA"/>
        </w:rPr>
        <w:t>）构建多渠道住房保障体系。</w:t>
      </w:r>
      <w:r>
        <w:rPr>
          <w:rFonts w:hint="eastAsia" w:ascii="Times New Roman" w:hAnsi="Times New Roman" w:eastAsia="仿宋_GB2312" w:cs="Calibri"/>
          <w:b w:val="0"/>
          <w:bCs w:val="0"/>
          <w:color w:val="auto"/>
          <w:kern w:val="0"/>
          <w:sz w:val="32"/>
          <w:szCs w:val="32"/>
          <w:highlight w:val="none"/>
          <w:lang w:val="en-US" w:eastAsia="zh-CN" w:bidi="ar-SA"/>
        </w:rPr>
        <w:t>住房保障扩面提效，筹集保障性租赁住房29970套，建设公租房336套，发放公租房租赁补贴6209户，超额完成国家住房租赁试点建设任务。稳步实施小区治理和既有小区品质提升三年行动，推进202个既有小区提质改造，打造了一批亮点工程和示范小区，惠及居民22万多户，撬动社会投资5.38亿元。以</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党建聚合力</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工程为统领，打造红色小区、红色物业。增设既有多层住宅电梯1270台，1.5万余户、6万多居民获享上下楼便利，工作</w:t>
      </w:r>
      <w:r>
        <w:rPr>
          <w:rFonts w:hint="eastAsia" w:eastAsia="仿宋_GB2312" w:cs="Calibri"/>
          <w:b w:val="0"/>
          <w:bCs w:val="0"/>
          <w:color w:val="auto"/>
          <w:kern w:val="0"/>
          <w:sz w:val="32"/>
          <w:szCs w:val="32"/>
          <w:highlight w:val="none"/>
          <w:lang w:val="en-US" w:eastAsia="zh-CN" w:bidi="ar-SA"/>
        </w:rPr>
        <w:t>成果</w:t>
      </w:r>
      <w:r>
        <w:rPr>
          <w:rFonts w:hint="eastAsia" w:ascii="Times New Roman" w:hAnsi="Times New Roman" w:eastAsia="仿宋_GB2312" w:cs="Calibri"/>
          <w:b w:val="0"/>
          <w:bCs w:val="0"/>
          <w:color w:val="auto"/>
          <w:kern w:val="0"/>
          <w:sz w:val="32"/>
          <w:szCs w:val="32"/>
          <w:highlight w:val="none"/>
          <w:lang w:val="en-US" w:eastAsia="zh-CN" w:bidi="ar-SA"/>
        </w:rPr>
        <w:t>得到省政府主要领导肯定。实施老旧小区二次供水设施户表改造，新建、改造供水管网126.7公里，城市公共供水管网漏损率降至8.8</w:t>
      </w:r>
      <w:r>
        <w:rPr>
          <w:rFonts w:hint="eastAsia" w:eastAsia="仿宋_GB2312" w:cs="Calibri"/>
          <w:b w:val="0"/>
          <w:bCs w:val="0"/>
          <w:color w:val="auto"/>
          <w:kern w:val="0"/>
          <w:sz w:val="32"/>
          <w:szCs w:val="32"/>
          <w:highlight w:val="none"/>
          <w:lang w:val="en-US" w:eastAsia="zh-CN" w:bidi="ar-SA"/>
        </w:rPr>
        <w:t>0</w:t>
      </w:r>
      <w:r>
        <w:rPr>
          <w:rFonts w:hint="eastAsia" w:ascii="Times New Roman" w:hAnsi="Times New Roman" w:eastAsia="仿宋_GB2312" w:cs="Calibri"/>
          <w:b w:val="0"/>
          <w:bCs w:val="0"/>
          <w:color w:val="auto"/>
          <w:kern w:val="0"/>
          <w:sz w:val="32"/>
          <w:szCs w:val="32"/>
          <w:highlight w:val="none"/>
          <w:lang w:val="en-US" w:eastAsia="zh-CN" w:bidi="ar-SA"/>
        </w:rPr>
        <w:t>%。创新成立长沙市供水行政执法综合办公室，对用水违法行为进行高压打击。努力建设和美乡村，持续巩固19个市级特色小城镇，重点培育57个特色小村庄，完成34座乡镇污水处理厂智慧化提升，新建88公里乡镇污水管网。出台长沙市农村住房质量安全监督、住房建设竣工验收管理办法等指导性文件，培训乡村建设工匠610人次，农村危房保持</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动态清零</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w:t>
      </w:r>
    </w:p>
    <w:p>
      <w:pPr>
        <w:pStyle w:val="16"/>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baseline"/>
        <w:rPr>
          <w:rFonts w:hint="eastAsia"/>
          <w:color w:val="auto"/>
          <w:highlight w:val="none"/>
          <w:lang w:val="en-US" w:eastAsia="zh-CN"/>
        </w:rPr>
      </w:pPr>
      <w:r>
        <w:rPr>
          <w:rFonts w:hint="eastAsia" w:ascii="Times New Roman" w:hAnsi="Times New Roman" w:eastAsia="仿宋_GB2312" w:cs="Calibri"/>
          <w:b/>
          <w:bCs/>
          <w:color w:val="auto"/>
          <w:kern w:val="0"/>
          <w:sz w:val="32"/>
          <w:szCs w:val="32"/>
          <w:highlight w:val="none"/>
          <w:lang w:val="en-US" w:eastAsia="zh-CN" w:bidi="ar-SA"/>
        </w:rPr>
        <w:t>（</w:t>
      </w:r>
      <w:r>
        <w:rPr>
          <w:rFonts w:hint="eastAsia" w:eastAsia="仿宋_GB2312" w:cs="Calibri"/>
          <w:b/>
          <w:bCs/>
          <w:color w:val="auto"/>
          <w:kern w:val="0"/>
          <w:sz w:val="32"/>
          <w:szCs w:val="32"/>
          <w:highlight w:val="none"/>
          <w:lang w:val="en-US" w:eastAsia="zh-CN" w:bidi="ar-SA"/>
        </w:rPr>
        <w:t>7</w:t>
      </w:r>
      <w:r>
        <w:rPr>
          <w:rFonts w:hint="eastAsia" w:ascii="Times New Roman" w:hAnsi="Times New Roman" w:eastAsia="仿宋_GB2312" w:cs="Calibri"/>
          <w:b/>
          <w:bCs/>
          <w:color w:val="auto"/>
          <w:kern w:val="0"/>
          <w:sz w:val="32"/>
          <w:szCs w:val="32"/>
          <w:highlight w:val="none"/>
          <w:lang w:val="en-US" w:eastAsia="zh-CN" w:bidi="ar-SA"/>
        </w:rPr>
        <w:t>）党建引领小区治理。</w:t>
      </w:r>
      <w:r>
        <w:rPr>
          <w:rFonts w:hint="eastAsia" w:ascii="Times New Roman" w:hAnsi="Times New Roman" w:eastAsia="仿宋_GB2312" w:cs="Calibri"/>
          <w:b w:val="0"/>
          <w:bCs w:val="0"/>
          <w:color w:val="auto"/>
          <w:kern w:val="0"/>
          <w:sz w:val="32"/>
          <w:szCs w:val="32"/>
          <w:highlight w:val="none"/>
          <w:lang w:val="en-US" w:eastAsia="zh-CN" w:bidi="ar-SA"/>
        </w:rPr>
        <w:t>推进住建一体化诚信平台加强信用平台数据收集，建立了以物业企业自行填报，小区党组织、区县、市级可以动态评价的工作系统；运用红黑榜定期公布物业企业服务情况，建立以</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信用</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为核心的物业管理监管体系，营造诚实守信的物业管理市场环境。深化党建引领物业小区治理，加强社区物业党建联建，全面建立物业行业党委，建立健全党组织充分参与的物业行业诚信评价制约体系，培育一批党建引领物业管理优秀项目。全市共成立小区党支部2170个，党员人数10.71万人，搭建了</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街道党工委+社区党总支+小区党支部+楼栋党小组</w:t>
      </w:r>
      <w:r>
        <w:rPr>
          <w:rFonts w:hint="eastAsia" w:eastAsia="仿宋_GB2312" w:cs="Calibri"/>
          <w:b w:val="0"/>
          <w:bCs w:val="0"/>
          <w:color w:val="auto"/>
          <w:kern w:val="0"/>
          <w:sz w:val="32"/>
          <w:szCs w:val="32"/>
          <w:highlight w:val="none"/>
          <w:lang w:val="en-US" w:eastAsia="zh-CN" w:bidi="ar-SA"/>
        </w:rPr>
        <w:t>”</w:t>
      </w:r>
      <w:r>
        <w:rPr>
          <w:rFonts w:hint="eastAsia" w:ascii="Times New Roman" w:hAnsi="Times New Roman" w:eastAsia="仿宋_GB2312" w:cs="Calibri"/>
          <w:b w:val="0"/>
          <w:bCs w:val="0"/>
          <w:color w:val="auto"/>
          <w:kern w:val="0"/>
          <w:sz w:val="32"/>
          <w:szCs w:val="32"/>
          <w:highlight w:val="none"/>
          <w:lang w:val="en-US" w:eastAsia="zh-CN" w:bidi="ar-SA"/>
        </w:rPr>
        <w:t>四级架构，形成以小区党支部为核心，物业企业、居委会、业委会参加的协调运行机制。指导文件已征求资规、城管等相关单位意见，于近期出台；已指导区县创建了垃圾分类精品小区20余个。</w:t>
      </w:r>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九、存在的问题及原因分析</w:t>
      </w:r>
    </w:p>
    <w:p>
      <w:pPr>
        <w:pStyle w:val="18"/>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在全国财政</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过紧日子</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仿宋_GB2312"/>
          <w:color w:val="auto"/>
          <w:sz w:val="32"/>
          <w:szCs w:val="32"/>
          <w:highlight w:val="none"/>
        </w:rPr>
        <w:t>的大背景下、资金保障持续吃紧的情况下，</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在较好完成</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年中心工作的同时，还存在以下</w:t>
      </w:r>
      <w:r>
        <w:rPr>
          <w:rFonts w:hint="eastAsia" w:ascii="Times New Roman" w:hAnsi="Times New Roman" w:eastAsia="仿宋_GB2312" w:cs="仿宋_GB2312"/>
          <w:color w:val="auto"/>
          <w:sz w:val="32"/>
          <w:szCs w:val="32"/>
          <w:highlight w:val="none"/>
          <w:lang w:val="en-US" w:eastAsia="zh-CN"/>
        </w:rPr>
        <w:t>方面的</w:t>
      </w:r>
      <w:r>
        <w:rPr>
          <w:rFonts w:hint="eastAsia" w:ascii="Times New Roman" w:hAnsi="Times New Roman" w:eastAsia="仿宋_GB2312" w:cs="仿宋_GB2312"/>
          <w:color w:val="auto"/>
          <w:sz w:val="32"/>
          <w:szCs w:val="32"/>
          <w:highlight w:val="none"/>
        </w:rPr>
        <w:t>问题：</w:t>
      </w:r>
    </w:p>
    <w:p>
      <w:pPr>
        <w:pStyle w:val="18"/>
        <w:ind w:firstLine="643" w:firstLineChars="200"/>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一</w:t>
      </w: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预算绩效管理方面</w:t>
      </w:r>
    </w:p>
    <w:p>
      <w:pPr>
        <w:pStyle w:val="18"/>
        <w:ind w:firstLine="643" w:firstLineChars="200"/>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1.预算编制不精准，部分项目资金预算执行率较低</w:t>
      </w:r>
    </w:p>
    <w:p>
      <w:pPr>
        <w:pStyle w:val="18"/>
        <w:spacing w:line="240" w:lineRule="auto"/>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2022年本局机关全年预算数为266,136.49万元，全年执行数为249,263.79万元，预算执行率为93.66%。主要原因系部分项目支出预算执行率不高，</w:t>
      </w:r>
      <w:r>
        <w:rPr>
          <w:rFonts w:hint="eastAsia" w:ascii="Times New Roman" w:hAnsi="Times New Roman" w:eastAsia="仿宋_GB2312" w:cs="Times New Roman"/>
          <w:color w:val="auto"/>
          <w:kern w:val="2"/>
          <w:sz w:val="32"/>
          <w:szCs w:val="32"/>
          <w:lang w:val="en-US" w:eastAsia="zh-CN" w:bidi="ar-SA"/>
        </w:rPr>
        <w:t>具体情况如下：</w:t>
      </w:r>
    </w:p>
    <w:p>
      <w:pPr>
        <w:pStyle w:val="18"/>
        <w:spacing w:line="240" w:lineRule="auto"/>
        <w:ind w:firstLine="480" w:firstLineChars="200"/>
        <w:jc w:val="righ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24"/>
          <w:szCs w:val="24"/>
          <w:lang w:val="en-US" w:eastAsia="zh-CN" w:bidi="ar-SA"/>
        </w:rPr>
        <w:t>单位：万元</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2002"/>
        <w:gridCol w:w="1133"/>
        <w:gridCol w:w="1162"/>
        <w:gridCol w:w="833"/>
        <w:gridCol w:w="29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全年预算数</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年末决算数</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行政审批案卷档案整理专项经费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60.00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26.32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43.87%</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2022</w:t>
            </w:r>
            <w:r>
              <w:rPr>
                <w:rStyle w:val="28"/>
                <w:color w:val="auto"/>
                <w:lang w:val="en-US" w:eastAsia="zh-CN" w:bidi="ar"/>
              </w:rPr>
              <w:t>年市司法局案卷评查发现档案整理不规范，为规范档案整理，扣除</w:t>
            </w:r>
            <w:r>
              <w:rPr>
                <w:rStyle w:val="29"/>
                <w:rFonts w:eastAsia="宋体"/>
                <w:color w:val="auto"/>
                <w:lang w:val="en-US" w:eastAsia="zh-CN" w:bidi="ar"/>
              </w:rPr>
              <w:t>10</w:t>
            </w:r>
            <w:r>
              <w:rPr>
                <w:rStyle w:val="28"/>
                <w:color w:val="auto"/>
                <w:lang w:val="en-US" w:eastAsia="zh-CN" w:bidi="ar"/>
              </w:rPr>
              <w:t>万元待案卷整理机构整改落实后再予以支付。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法制建设及诉讼费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28.00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10.06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35.93%</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一是聘用法律顾问合同期限为</w:t>
            </w:r>
            <w:r>
              <w:rPr>
                <w:rStyle w:val="29"/>
                <w:rFonts w:eastAsia="宋体"/>
                <w:color w:val="auto"/>
                <w:lang w:val="en-US" w:eastAsia="zh-CN" w:bidi="ar"/>
              </w:rPr>
              <w:t>2022</w:t>
            </w:r>
            <w:r>
              <w:rPr>
                <w:rStyle w:val="28"/>
                <w:color w:val="auto"/>
                <w:lang w:val="en-US" w:eastAsia="zh-CN" w:bidi="ar"/>
              </w:rPr>
              <w:t>年</w:t>
            </w:r>
            <w:r>
              <w:rPr>
                <w:rStyle w:val="29"/>
                <w:rFonts w:eastAsia="宋体"/>
                <w:color w:val="auto"/>
                <w:lang w:val="en-US" w:eastAsia="zh-CN" w:bidi="ar"/>
              </w:rPr>
              <w:t>12</w:t>
            </w:r>
            <w:r>
              <w:rPr>
                <w:rStyle w:val="28"/>
                <w:color w:val="auto"/>
                <w:lang w:val="en-US" w:eastAsia="zh-CN" w:bidi="ar"/>
              </w:rPr>
              <w:t>月</w:t>
            </w:r>
            <w:r>
              <w:rPr>
                <w:rStyle w:val="29"/>
                <w:rFonts w:eastAsia="宋体"/>
                <w:color w:val="auto"/>
                <w:lang w:val="en-US" w:eastAsia="zh-CN" w:bidi="ar"/>
              </w:rPr>
              <w:t>22</w:t>
            </w:r>
            <w:r>
              <w:rPr>
                <w:rStyle w:val="28"/>
                <w:color w:val="auto"/>
                <w:lang w:val="en-US" w:eastAsia="zh-CN" w:bidi="ar"/>
              </w:rPr>
              <w:t>日至</w:t>
            </w:r>
            <w:r>
              <w:rPr>
                <w:rStyle w:val="29"/>
                <w:rFonts w:eastAsia="宋体"/>
                <w:color w:val="auto"/>
                <w:lang w:val="en-US" w:eastAsia="zh-CN" w:bidi="ar"/>
              </w:rPr>
              <w:t>2023</w:t>
            </w:r>
            <w:r>
              <w:rPr>
                <w:rStyle w:val="28"/>
                <w:color w:val="auto"/>
                <w:lang w:val="en-US" w:eastAsia="zh-CN" w:bidi="ar"/>
              </w:rPr>
              <w:t>年</w:t>
            </w:r>
            <w:r>
              <w:rPr>
                <w:rStyle w:val="29"/>
                <w:rFonts w:eastAsia="宋体"/>
                <w:color w:val="auto"/>
                <w:lang w:val="en-US" w:eastAsia="zh-CN" w:bidi="ar"/>
              </w:rPr>
              <w:t>12</w:t>
            </w:r>
            <w:r>
              <w:rPr>
                <w:rStyle w:val="28"/>
                <w:color w:val="auto"/>
                <w:lang w:val="en-US" w:eastAsia="zh-CN" w:bidi="ar"/>
              </w:rPr>
              <w:t>月</w:t>
            </w:r>
            <w:r>
              <w:rPr>
                <w:rStyle w:val="29"/>
                <w:rFonts w:eastAsia="宋体"/>
                <w:color w:val="auto"/>
                <w:lang w:val="en-US" w:eastAsia="zh-CN" w:bidi="ar"/>
              </w:rPr>
              <w:t>21</w:t>
            </w:r>
            <w:r>
              <w:rPr>
                <w:rStyle w:val="28"/>
                <w:color w:val="auto"/>
                <w:lang w:val="en-US" w:eastAsia="zh-CN" w:bidi="ar"/>
              </w:rPr>
              <w:t>日，第一笔付款期刚好处于年底；二是</w:t>
            </w:r>
            <w:r>
              <w:rPr>
                <w:rStyle w:val="29"/>
                <w:rFonts w:eastAsia="宋体"/>
                <w:color w:val="auto"/>
                <w:lang w:val="en-US" w:eastAsia="zh-CN" w:bidi="ar"/>
              </w:rPr>
              <w:t>2022</w:t>
            </w:r>
            <w:r>
              <w:rPr>
                <w:rStyle w:val="28"/>
                <w:color w:val="auto"/>
                <w:lang w:val="en-US" w:eastAsia="zh-CN" w:bidi="ar"/>
              </w:rPr>
              <w:t>年</w:t>
            </w:r>
            <w:r>
              <w:rPr>
                <w:rStyle w:val="29"/>
                <w:rFonts w:eastAsia="宋体"/>
                <w:color w:val="auto"/>
                <w:lang w:val="en-US" w:eastAsia="zh-CN" w:bidi="ar"/>
              </w:rPr>
              <w:t>12</w:t>
            </w:r>
            <w:r>
              <w:rPr>
                <w:rStyle w:val="28"/>
                <w:color w:val="auto"/>
                <w:lang w:val="en-US" w:eastAsia="zh-CN" w:bidi="ar"/>
              </w:rPr>
              <w:t>月</w:t>
            </w:r>
            <w:r>
              <w:rPr>
                <w:rStyle w:val="29"/>
                <w:rFonts w:eastAsia="宋体"/>
                <w:color w:val="auto"/>
                <w:lang w:val="en-US" w:eastAsia="zh-CN" w:bidi="ar"/>
              </w:rPr>
              <w:t>23</w:t>
            </w:r>
            <w:r>
              <w:rPr>
                <w:rStyle w:val="28"/>
                <w:color w:val="auto"/>
                <w:lang w:val="en-US" w:eastAsia="zh-CN" w:bidi="ar"/>
              </w:rPr>
              <w:t>日开具发票并提交了报</w:t>
            </w:r>
            <w:r>
              <w:rPr>
                <w:rStyle w:val="28"/>
                <w:rFonts w:hint="eastAsia"/>
                <w:color w:val="auto"/>
                <w:lang w:val="en-US" w:eastAsia="zh-CN" w:bidi="ar"/>
              </w:rPr>
              <w:t>账</w:t>
            </w:r>
            <w:r>
              <w:rPr>
                <w:rStyle w:val="28"/>
                <w:color w:val="auto"/>
                <w:lang w:val="en-US" w:eastAsia="zh-CN" w:bidi="ar"/>
              </w:rPr>
              <w:t>材料，突遇财政关账，拟支付的</w:t>
            </w:r>
            <w:r>
              <w:rPr>
                <w:rStyle w:val="29"/>
                <w:rFonts w:eastAsia="宋体"/>
                <w:color w:val="auto"/>
                <w:lang w:val="en-US" w:eastAsia="zh-CN" w:bidi="ar"/>
              </w:rPr>
              <w:t>17</w:t>
            </w:r>
            <w:r>
              <w:rPr>
                <w:rStyle w:val="28"/>
                <w:color w:val="auto"/>
                <w:lang w:val="en-US" w:eastAsia="zh-CN" w:bidi="ar"/>
              </w:rPr>
              <w:t>万元被收回。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r>
              <w:rPr>
                <w:rStyle w:val="30"/>
                <w:rFonts w:hint="eastAsia" w:ascii="宋体" w:hAnsi="宋体" w:eastAsia="宋体" w:cs="宋体"/>
                <w:color w:val="auto"/>
                <w:lang w:val="en-US" w:eastAsia="zh-CN" w:bidi="ar"/>
              </w:rPr>
              <w:t>年代精减下放人员救济费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4.04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3.60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89.11%</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存在60年代精减下放人员因去世停发救济费造成执行率偏低。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住房和城乡建设专项经费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170.00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147.91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87.01%</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由于去年年底疫情放开影响，工作人员都感染在家，加之财政关账，许多需支付的费用最终未能支付出去。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住房保障工作经费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47.40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43.61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92.00%</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受疫情影响减少了外出交流，导致住房保障工作经费执行率不高。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污水行业监管经费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28.50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25.00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87.72%</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年度预算按以往经验报批，但是每年经费实际使用情况有所不同，所以有结余。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派驻纪检监察组日常办公经费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0.65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21.67%</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由于去年年底疫情放开影响，工作人员都感染在家，加之财政关账，许多需支付的费用最终未能支付出去。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供水行业监管经费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13.30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8.13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61.13%</w:t>
            </w:r>
          </w:p>
        </w:tc>
        <w:tc>
          <w:tcPr>
            <w:tcW w:w="17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auto"/>
                <w:sz w:val="18"/>
                <w:szCs w:val="18"/>
                <w:u w:val="none"/>
              </w:rPr>
            </w:pPr>
            <w:r>
              <w:rPr>
                <w:rFonts w:hint="eastAsia" w:ascii="Times New Roman" w:hAnsi="Times New Roman" w:cs="Times New Roman"/>
                <w:i w:val="0"/>
                <w:iCs w:val="0"/>
                <w:color w:val="auto"/>
                <w:sz w:val="18"/>
                <w:szCs w:val="18"/>
                <w:u w:val="none"/>
                <w:lang w:val="en-US" w:eastAsia="zh-CN"/>
              </w:rPr>
              <w:t>一是因项目</w:t>
            </w:r>
            <w:r>
              <w:rPr>
                <w:rFonts w:hint="default" w:ascii="Times New Roman" w:hAnsi="Times New Roman" w:eastAsia="宋体" w:cs="Times New Roman"/>
                <w:i w:val="0"/>
                <w:iCs w:val="0"/>
                <w:color w:val="auto"/>
                <w:sz w:val="18"/>
                <w:szCs w:val="18"/>
                <w:u w:val="none"/>
              </w:rPr>
              <w:t>宣传周经费为30.8</w:t>
            </w:r>
            <w:r>
              <w:rPr>
                <w:rFonts w:hint="eastAsia" w:ascii="Times New Roman" w:hAnsi="Times New Roman" w:cs="Times New Roman"/>
                <w:i w:val="0"/>
                <w:iCs w:val="0"/>
                <w:color w:val="auto"/>
                <w:sz w:val="18"/>
                <w:szCs w:val="18"/>
                <w:u w:val="none"/>
                <w:lang w:val="en-US" w:eastAsia="zh-CN"/>
              </w:rPr>
              <w:t>0</w:t>
            </w:r>
            <w:r>
              <w:rPr>
                <w:rFonts w:hint="default" w:ascii="Times New Roman" w:hAnsi="Times New Roman" w:eastAsia="宋体" w:cs="Times New Roman"/>
                <w:i w:val="0"/>
                <w:iCs w:val="0"/>
                <w:color w:val="auto"/>
                <w:sz w:val="18"/>
                <w:szCs w:val="18"/>
                <w:u w:val="none"/>
              </w:rPr>
              <w:t>万元，我局仅承担5万元，剩余均由长沙水业集团承担</w:t>
            </w:r>
            <w:r>
              <w:rPr>
                <w:rFonts w:hint="eastAsia" w:ascii="Times New Roman" w:hAnsi="Times New Roman" w:cs="Times New Roman"/>
                <w:i w:val="0"/>
                <w:iCs w:val="0"/>
                <w:color w:val="auto"/>
                <w:sz w:val="18"/>
                <w:szCs w:val="18"/>
                <w:u w:val="none"/>
                <w:lang w:eastAsia="zh-CN"/>
              </w:rPr>
              <w:t>；</w:t>
            </w:r>
            <w:r>
              <w:rPr>
                <w:rFonts w:hint="eastAsia" w:ascii="Times New Roman" w:hAnsi="Times New Roman" w:cs="Times New Roman"/>
                <w:i w:val="0"/>
                <w:iCs w:val="0"/>
                <w:color w:val="auto"/>
                <w:sz w:val="18"/>
                <w:szCs w:val="18"/>
                <w:u w:val="none"/>
                <w:lang w:val="en-US" w:eastAsia="zh-CN"/>
              </w:rPr>
              <w:t>二是</w:t>
            </w:r>
            <w:r>
              <w:rPr>
                <w:rFonts w:hint="default" w:ascii="Times New Roman" w:hAnsi="Times New Roman" w:eastAsia="宋体" w:cs="Times New Roman"/>
                <w:i w:val="0"/>
                <w:iCs w:val="0"/>
                <w:color w:val="auto"/>
                <w:sz w:val="18"/>
                <w:szCs w:val="18"/>
                <w:u w:val="none"/>
              </w:rPr>
              <w:t>原计划2022年下半年开展《长沙市城市供水用水管理条例》宣</w:t>
            </w:r>
            <w:r>
              <w:rPr>
                <w:rFonts w:hint="eastAsia" w:ascii="Times New Roman" w:hAnsi="Times New Roman" w:cs="Times New Roman"/>
                <w:i w:val="0"/>
                <w:iCs w:val="0"/>
                <w:color w:val="auto"/>
                <w:sz w:val="18"/>
                <w:szCs w:val="18"/>
                <w:u w:val="none"/>
                <w:lang w:val="en-US" w:eastAsia="zh-CN"/>
              </w:rPr>
              <w:t>贯</w:t>
            </w:r>
            <w:r>
              <w:rPr>
                <w:rFonts w:hint="default" w:ascii="Times New Roman" w:hAnsi="Times New Roman" w:eastAsia="宋体" w:cs="Times New Roman"/>
                <w:i w:val="0"/>
                <w:iCs w:val="0"/>
                <w:color w:val="auto"/>
                <w:sz w:val="18"/>
                <w:szCs w:val="18"/>
                <w:u w:val="none"/>
              </w:rPr>
              <w:t>培训，受疫情防控影响未开展。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污水处理运行费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193,872.54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179,296.74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92.48%</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年底关账部分资金未支付出去。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村镇建设专项资金</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50.00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5.69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11.38%</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因疫情影响，原计划开展的村镇干部培训未开展，该部分经费未支出。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精美长沙专项经费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868.51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745.99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85.89%</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主要原因系</w:t>
            </w:r>
            <w:r>
              <w:rPr>
                <w:rFonts w:hint="eastAsia" w:ascii="宋体" w:hAnsi="宋体" w:eastAsia="宋体" w:cs="宋体"/>
                <w:i w:val="0"/>
                <w:iCs w:val="0"/>
                <w:color w:val="auto"/>
                <w:kern w:val="0"/>
                <w:sz w:val="18"/>
                <w:szCs w:val="18"/>
                <w:u w:val="none"/>
                <w:lang w:val="en-US" w:eastAsia="zh-CN" w:bidi="ar"/>
              </w:rPr>
              <w:t>“精美建筑”供应商</w:t>
            </w:r>
            <w:r>
              <w:rPr>
                <w:rFonts w:hint="eastAsia" w:ascii="宋体" w:hAnsi="宋体" w:cs="宋体"/>
                <w:i w:val="0"/>
                <w:iCs w:val="0"/>
                <w:color w:val="auto"/>
                <w:kern w:val="0"/>
                <w:sz w:val="18"/>
                <w:szCs w:val="18"/>
                <w:u w:val="none"/>
                <w:lang w:val="en-US" w:eastAsia="zh-CN" w:bidi="ar"/>
              </w:rPr>
              <w:t>变更</w:t>
            </w:r>
            <w:r>
              <w:rPr>
                <w:rFonts w:hint="eastAsia" w:ascii="宋体" w:hAnsi="宋体" w:eastAsia="宋体" w:cs="宋体"/>
                <w:i w:val="0"/>
                <w:iCs w:val="0"/>
                <w:color w:val="auto"/>
                <w:kern w:val="0"/>
                <w:sz w:val="18"/>
                <w:szCs w:val="18"/>
                <w:u w:val="none"/>
                <w:lang w:val="en-US" w:eastAsia="zh-CN" w:bidi="ar"/>
              </w:rPr>
              <w:t>单</w:t>
            </w:r>
            <w:r>
              <w:rPr>
                <w:rFonts w:hint="default" w:ascii="Times New Roman" w:hAnsi="Times New Roman" w:eastAsia="宋体" w:cs="Times New Roman"/>
                <w:i w:val="0"/>
                <w:iCs w:val="0"/>
                <w:color w:val="auto"/>
                <w:kern w:val="0"/>
                <w:sz w:val="18"/>
                <w:szCs w:val="18"/>
                <w:u w:val="none"/>
                <w:lang w:val="en-US" w:eastAsia="zh-CN" w:bidi="ar"/>
              </w:rPr>
              <w:t>位名称，导致120.12万元合同尾款无法支付到位和长沙市既有多层住宅加装电梯排查摸底购买服务项目招标代理费1.425万、专家评审费0.16万城科院</w:t>
            </w:r>
            <w:r>
              <w:rPr>
                <w:rFonts w:hint="default" w:ascii="Times New Roman" w:hAnsi="Times New Roman" w:cs="Times New Roman"/>
                <w:i w:val="0"/>
                <w:iCs w:val="0"/>
                <w:color w:val="auto"/>
                <w:kern w:val="0"/>
                <w:sz w:val="18"/>
                <w:szCs w:val="18"/>
                <w:u w:val="none"/>
                <w:lang w:val="en-US" w:eastAsia="zh-CN" w:bidi="ar"/>
              </w:rPr>
              <w:t>未及时报账</w:t>
            </w:r>
            <w:r>
              <w:rPr>
                <w:rFonts w:hint="eastAsia" w:ascii="宋体" w:hAnsi="宋体" w:eastAsia="宋体" w:cs="宋体"/>
                <w:i w:val="0"/>
                <w:iCs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市排水事务中心泵站提标管网建设等项目经费</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3,900.95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3,293.65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84.43%</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项目预算执行率偏低是由于部分标段办理进窗评审后，承包人与市财评一、二审对审缓慢，导致部分标段2022年底未完成市财评中心结算审核，未达到支付条件。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实施高精尖人才领跑工程购房补贴</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5,000.00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4,134.09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82.68%</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人才引进受诸多因素影响，高精尖人才引进后购房与否存在不确定性，导致有偏差。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14</w:t>
            </w:r>
          </w:p>
        </w:tc>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实施“长沙工匠”铸造工程购房补贴</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300.00 </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xml:space="preserve">87.00 </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29.00%</w:t>
            </w:r>
          </w:p>
        </w:tc>
        <w:tc>
          <w:tcPr>
            <w:tcW w:w="1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人才引进受诸多因素影响，高技能人才引进后购房与否存在不确定性，导致有偏差。</w:t>
            </w:r>
          </w:p>
        </w:tc>
      </w:tr>
    </w:tbl>
    <w:p>
      <w:pPr>
        <w:pStyle w:val="18"/>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643" w:firstLineChars="200"/>
        <w:textAlignment w:val="auto"/>
        <w:rPr>
          <w:rFonts w:ascii="Times New Roman" w:hAnsi="Times New Roman" w:eastAsia="仿宋_GB2312"/>
          <w:b/>
          <w:bCs/>
          <w:color w:val="auto"/>
          <w:sz w:val="32"/>
          <w:szCs w:val="32"/>
          <w:highlight w:val="yellow"/>
        </w:rPr>
      </w:pPr>
      <w:r>
        <w:rPr>
          <w:rFonts w:hint="eastAsia" w:ascii="Times New Roman" w:hAnsi="Times New Roman" w:eastAsia="仿宋_GB2312" w:cs="仿宋_GB2312"/>
          <w:b/>
          <w:bCs/>
          <w:color w:val="auto"/>
          <w:sz w:val="32"/>
          <w:szCs w:val="32"/>
          <w:highlight w:val="none"/>
          <w:lang w:val="en-US" w:eastAsia="zh-CN"/>
        </w:rPr>
        <w:t>2.</w:t>
      </w:r>
      <w:r>
        <w:rPr>
          <w:rFonts w:hint="eastAsia" w:ascii="Times New Roman" w:hAnsi="Times New Roman" w:eastAsia="仿宋_GB2312" w:cs="仿宋_GB2312"/>
          <w:b/>
          <w:bCs/>
          <w:color w:val="auto"/>
          <w:sz w:val="32"/>
          <w:szCs w:val="32"/>
          <w:highlight w:val="none"/>
        </w:rPr>
        <w:t>绩效管理工作水平有待提高</w:t>
      </w:r>
    </w:p>
    <w:p>
      <w:pPr>
        <w:pStyle w:val="18"/>
        <w:numPr>
          <w:ilvl w:val="0"/>
          <w:numId w:val="0"/>
        </w:numPr>
        <w:ind w:firstLine="640" w:firstLineChars="200"/>
        <w:rPr>
          <w:rFonts w:ascii="Times New Roman" w:hAnsi="Times New Roman" w:eastAsia="仿宋_GB2312"/>
          <w:color w:val="auto"/>
          <w:sz w:val="32"/>
          <w:szCs w:val="32"/>
          <w:highlight w:val="yellow"/>
        </w:rPr>
      </w:pP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绩效管理工作开展以来，取得了一定的成效，但是仍然存在以下薄弱的地方：①绩效目标设置的水平有待提高。</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绩效目标设置以财务人员和业务处室相关人员为主力，两者均属于非专业人士，造成了绩效目标编制不够科学、不能全面考核项目的实施效果，削弱了绩效考评的作用。②绩效管理工作重心需进一步优化调整。</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在以往的绩效管理工作中，更加注重绩效结果的评价，在今后的绩效管理工作中，在开展好绩效结果评价的同时，应当加强绩效过程（运行监控）管理，以便及时发现问题，及时进行整改。</w:t>
      </w:r>
    </w:p>
    <w:p>
      <w:pPr>
        <w:pStyle w:val="4"/>
        <w:keepNext w:val="0"/>
        <w:keepLines w:val="0"/>
        <w:pageBreakBefore w:val="0"/>
        <w:widowControl/>
        <w:kinsoku/>
        <w:wordWrap/>
        <w:overflowPunct/>
        <w:topLinePunct w:val="0"/>
        <w:autoSpaceDE/>
        <w:autoSpaceDN/>
        <w:bidi w:val="0"/>
        <w:spacing w:after="0" w:line="240" w:lineRule="auto"/>
        <w:ind w:firstLine="643" w:firstLineChars="200"/>
        <w:jc w:val="both"/>
        <w:outlineLvl w:val="1"/>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二</w:t>
      </w: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资金管理方面</w:t>
      </w:r>
    </w:p>
    <w:p>
      <w:pPr>
        <w:bidi w:val="0"/>
        <w:ind w:firstLine="643"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资金支付不及时。</w:t>
      </w:r>
      <w:r>
        <w:rPr>
          <w:rFonts w:hint="eastAsia" w:ascii="Times New Roman" w:hAnsi="Times New Roman" w:eastAsia="仿宋_GB2312" w:cs="仿宋_GB2312"/>
          <w:color w:val="auto"/>
          <w:kern w:val="2"/>
          <w:sz w:val="32"/>
          <w:szCs w:val="32"/>
          <w:highlight w:val="none"/>
          <w:lang w:val="en-US" w:eastAsia="zh-CN" w:bidi="ar-SA"/>
        </w:rPr>
        <w:t>2021年实施的既有小区品质提升项目奖补资金因疫情防控，导致许多工作无法开展，延误了2021年既有小区奖补资金的核算工作，2022年度未及时将市级奖补资金拨付至区县，后于2023年3月拨付。</w:t>
      </w:r>
    </w:p>
    <w:p>
      <w:pPr>
        <w:pStyle w:val="4"/>
        <w:keepNext w:val="0"/>
        <w:keepLines w:val="0"/>
        <w:pageBreakBefore w:val="0"/>
        <w:widowControl/>
        <w:kinsoku/>
        <w:wordWrap/>
        <w:overflowPunct/>
        <w:topLinePunct w:val="0"/>
        <w:autoSpaceDE/>
        <w:autoSpaceDN/>
        <w:bidi w:val="0"/>
        <w:spacing w:after="0" w:line="240" w:lineRule="auto"/>
        <w:ind w:firstLine="643" w:firstLineChars="200"/>
        <w:jc w:val="both"/>
        <w:outlineLvl w:val="1"/>
        <w:rPr>
          <w:rFonts w:hint="eastAsia"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三</w:t>
      </w:r>
      <w:r>
        <w:rPr>
          <w:rFonts w:hint="eastAsia" w:ascii="Times New Roman" w:hAnsi="Times New Roman" w:eastAsia="楷体_GB2312" w:cs="Times New Roman"/>
          <w:b/>
          <w:bCs/>
          <w:color w:val="auto"/>
          <w:sz w:val="32"/>
          <w:szCs w:val="32"/>
          <w:lang w:eastAsia="zh-CN"/>
        </w:rPr>
        <w:t>）</w:t>
      </w:r>
      <w:r>
        <w:rPr>
          <w:rFonts w:hint="eastAsia" w:ascii="Times New Roman" w:hAnsi="Times New Roman" w:eastAsia="楷体_GB2312" w:cs="Times New Roman"/>
          <w:b/>
          <w:bCs/>
          <w:color w:val="auto"/>
          <w:sz w:val="32"/>
          <w:szCs w:val="32"/>
          <w:lang w:val="en-US" w:eastAsia="zh-CN"/>
        </w:rPr>
        <w:t>项目管理方面</w:t>
      </w:r>
    </w:p>
    <w:p>
      <w:pPr>
        <w:pStyle w:val="4"/>
        <w:keepNext w:val="0"/>
        <w:keepLines w:val="0"/>
        <w:pageBreakBefore w:val="0"/>
        <w:widowControl/>
        <w:kinsoku/>
        <w:wordWrap/>
        <w:overflowPunct/>
        <w:topLinePunct w:val="0"/>
        <w:autoSpaceDE/>
        <w:autoSpaceDN/>
        <w:bidi w:val="0"/>
        <w:spacing w:after="0" w:line="240" w:lineRule="auto"/>
        <w:ind w:firstLine="643" w:firstLineChars="200"/>
        <w:jc w:val="both"/>
        <w:outlineLvl w:val="1"/>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1.既有住宅安装电梯市级补助项目市级资金与区县配套资金未及时进行结算</w:t>
      </w:r>
    </w:p>
    <w:p>
      <w:pPr>
        <w:spacing w:line="240" w:lineRule="auto"/>
        <w:ind w:firstLine="640" w:firstLineChars="200"/>
        <w:jc w:val="lef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长沙市既有多层住宅增设电梯办理细则》（长住建发〔2019〕81号）和《关于明确既有多层住宅增设电梯财政补助等有关事项的函》（长财建〔2021〕44号）等文件要求，经相关单位验收合格后的既有多层住宅增设电梯项目，每部电梯给予10万元的补助，2019年8月1日—2020年7月31日，每部电梯市级补贴50%（长沙市既有多层住宅增设电梯管理规定实施之日（2018年2月1日）至2019年7月31日安装的，市级也按此标准补贴）；2020年8月1日—2021年7月31日，每部电梯市级补贴40%；2021年8月1日—2022年7月31日，每部电梯市级补贴30%；区级财政按阶段对应补齐差额。因区县在资金使用时统筹使用，未严格按比例进行配套，优先使用市级资金，项目又为延续性项目，每个项目年度未进行结算，导致两级资金实际使用金额结算存在难度，截至评价工作日两级资金仍未完成结算。</w:t>
      </w:r>
    </w:p>
    <w:p>
      <w:pPr>
        <w:spacing w:line="240" w:lineRule="auto"/>
        <w:ind w:firstLine="643" w:firstLineChars="200"/>
        <w:jc w:val="left"/>
        <w:rPr>
          <w:rFonts w:hint="eastAsia" w:ascii="黑体" w:hAnsi="黑体" w:eastAsia="黑体" w:cs="黑体"/>
          <w:color w:val="auto"/>
          <w:sz w:val="32"/>
          <w:szCs w:val="32"/>
          <w:highlight w:val="yellow"/>
        </w:rPr>
      </w:pPr>
      <w:r>
        <w:rPr>
          <w:rFonts w:hint="eastAsia" w:ascii="Times New Roman" w:hAnsi="Times New Roman" w:eastAsia="仿宋_GB2312" w:cs="仿宋_GB2312"/>
          <w:b/>
          <w:bCs/>
          <w:color w:val="auto"/>
          <w:kern w:val="2"/>
          <w:sz w:val="32"/>
          <w:szCs w:val="32"/>
          <w:highlight w:val="none"/>
          <w:lang w:val="en-US" w:eastAsia="zh-CN" w:bidi="ar-SA"/>
        </w:rPr>
        <w:t>2.全年污水处理量不足</w:t>
      </w:r>
    </w:p>
    <w:p>
      <w:pPr>
        <w:spacing w:line="240" w:lineRule="auto"/>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敢胜垸及苏托垸污水处理厂的实际处理污水量均未达到设计规模。根据PPP项目特许经营协议，敢胜垸特许经营期第三年及以后按照9万吨/日计量，2022年为特许经营期第四年，全年污水处理量为1361万吨，污水处理量完成率为41.43%；苏托垸运营期第1年基本水量为3万吨/日，第2年为4万吨/日，苏托垸于2021年6月正式投入运营，2022年全年污水处理量为1161.92万吨，污水处理量完成率79.58%。敢胜垸污水处理量完成率偏低的主要原因一是服务人口未达到规划要求，二是管网不完善；苏托垸污水处理量完成率偏低的主要原因管网纳污范围内污水量较小。</w:t>
      </w:r>
    </w:p>
    <w:p>
      <w:pPr>
        <w:spacing w:line="240" w:lineRule="auto"/>
        <w:ind w:firstLine="643" w:firstLineChars="200"/>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w:t>
      </w:r>
      <w:r>
        <w:rPr>
          <w:rFonts w:hint="eastAsia" w:ascii="Times New Roman" w:hAnsi="Times New Roman" w:eastAsia="仿宋_GB2312" w:cs="Times New Roman"/>
          <w:b/>
          <w:bCs/>
          <w:color w:val="auto"/>
          <w:kern w:val="2"/>
          <w:sz w:val="32"/>
          <w:szCs w:val="32"/>
          <w:lang w:val="en-US" w:eastAsia="zh-CN" w:bidi="ar-SA"/>
        </w:rPr>
        <w:t>污水处理厂进水浓度偏低</w:t>
      </w:r>
    </w:p>
    <w:p>
      <w:pPr>
        <w:spacing w:line="240" w:lineRule="auto"/>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根据湖南省生活污水处理厂运行管理评价标准，污水处理厂年平均进水BOD5浓度应达到100mg/L。2022年度敢胜垸</w:t>
      </w:r>
      <w:r>
        <w:rPr>
          <w:rFonts w:hint="eastAsia" w:ascii="Times New Roman" w:hAnsi="Times New Roman" w:eastAsia="仿宋_GB2312" w:cs="Times New Roman"/>
          <w:color w:val="auto"/>
          <w:kern w:val="2"/>
          <w:sz w:val="32"/>
          <w:szCs w:val="32"/>
          <w:highlight w:val="none"/>
          <w:lang w:val="en-US" w:eastAsia="zh-CN" w:bidi="ar-SA"/>
        </w:rPr>
        <w:t>污水处理厂年平均进水BOD5浓度21.17mg/L、苏托垸污水处理厂年平均进水BOD5浓度70.48mg/L、金霞污水处理厂年平均进水BOD5浓度55.86mg/L、湘湖污水处理厂年平均进水BOD5浓度65.50mg/L、开福污水处理厂年平均进水BOD5浓度78.23mg/L、岳麓污水处理厂年平均进水BOD5浓度75.93mg/L、坪塘污水处理厂年平均进水BOD5浓度95.78mg/L、新开铺污水处理厂年平均进水BOD5浓度73.95mg/L、暮云污水处理厂年平均进水BOD5浓度45.68 mg/L、新港污水处理厂年平均进水BOD5浓度76.78mg/L、雨花污水处理厂年平均进水BOD5浓度62.90mg/L、梅溪湖污水处理厂75.45mg/L</w:t>
      </w:r>
      <w:r>
        <w:rPr>
          <w:rFonts w:hint="eastAsia" w:ascii="Times New Roman" w:hAnsi="Times New Roman" w:eastAsia="仿宋_GB2312" w:cs="仿宋_GB2312"/>
          <w:color w:val="auto"/>
          <w:kern w:val="2"/>
          <w:sz w:val="32"/>
          <w:szCs w:val="32"/>
          <w:highlight w:val="none"/>
          <w:lang w:val="en-US" w:eastAsia="zh-CN" w:bidi="ar-SA"/>
        </w:rPr>
        <w:t>。BOD5浓度不高主要受雨污分流改造、污水管网建设运营情况的影响。</w:t>
      </w:r>
    </w:p>
    <w:p>
      <w:pPr>
        <w:spacing w:line="240" w:lineRule="auto"/>
        <w:ind w:firstLine="643" w:firstLineChars="200"/>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4.部分项目未按计划完成验收</w:t>
      </w:r>
    </w:p>
    <w:p>
      <w:pPr>
        <w:spacing w:line="240" w:lineRule="auto"/>
        <w:ind w:firstLine="640" w:firstLineChars="200"/>
        <w:jc w:val="both"/>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长沙市中心城区泵站提标改造项目年度目标为2022年上半年第一、二、三、四标段完成工程竣工验收。根据《阜埠河、赵州港合建泵站提标改造设计变更技术审查意见》（长住建市政技审〔2022〕11号），市排水事务中心对阜埠河、赵州港合建泵站的路面及绿化进行设计变更，并纳入市中心城区泵站提标改造第三标段范围，从而导致第三标段竣工验收延后，未按计划完成验收。</w:t>
      </w:r>
    </w:p>
    <w:p>
      <w:pPr>
        <w:spacing w:line="240" w:lineRule="auto"/>
        <w:ind w:firstLine="643" w:firstLineChars="200"/>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5.项目管理制度更新进度滞后</w:t>
      </w:r>
    </w:p>
    <w:p>
      <w:pPr>
        <w:spacing w:line="240" w:lineRule="auto"/>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市财政局、市住建局于2017年3月16日联合印发了《长沙市建筑节能与绿色建筑专项资金管理办法》，主要是用于推动我市建筑节能与绿色建筑发展，重点支持建筑节能与绿色建筑示范项目建设、既有建筑节能改造、公共建筑节能监管体系建设、绿色建筑技术研发与推广及科技创新、建筑节能和绿色建筑宣传培训等工作，专项资金由市住建局会同市财政局共同管理，每年项目预算为500万元，有效期5年，于2022年3月到期。2022年3月23日，本局向市政府报送了《关于修订&lt;长沙市建筑节能与绿色建筑专项资金管理办法&gt;的请示》（长住建字〔2022〕18号），拟对原《长沙市建筑节能与绿色建筑专项资金管理办法》进行修订，在初步与市财政局进行协商后，草拟了《长沙市建设领域碳达峰碳中和专项资金管理办法》（送审稿），恳请市政府同意本局与市财政局联合修订并印发《长沙市建设领域碳达峰碳中和专项资金管理办法》（送审稿）。因我市建筑领域“双碳”工作方案仍在制定中，市领导要求在“双碳”方案发布后，重新调整资金管理办法内容，导致新制度仍未出台。</w:t>
      </w:r>
    </w:p>
    <w:p>
      <w:pPr>
        <w:spacing w:line="240" w:lineRule="auto"/>
        <w:ind w:firstLine="643" w:firstLineChars="200"/>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6.部分项目绩效目标未达预期</w:t>
      </w:r>
    </w:p>
    <w:p>
      <w:pPr>
        <w:spacing w:line="240" w:lineRule="auto"/>
        <w:ind w:firstLine="640" w:firstLineChars="200"/>
        <w:jc w:val="both"/>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（1）部分档案整理质量未达标</w:t>
      </w:r>
    </w:p>
    <w:p>
      <w:pPr>
        <w:pStyle w:val="4"/>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行政审批案卷档案整理专项经费项目质量目标为整理的档案符合档案案卷管理标准，2022年市司法局案卷评查发现档案整理不规范，扣除10万元待案卷整理机构整改落实后再予以支付。</w:t>
      </w:r>
    </w:p>
    <w:p>
      <w:pPr>
        <w:pStyle w:val="4"/>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（2）私房改造化解工作部分未完成</w:t>
      </w:r>
    </w:p>
    <w:p>
      <w:pPr>
        <w:spacing w:line="240" w:lineRule="auto"/>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处理私房改造遗留问题工作经费项目2022年度目标为化解16户突出上访问题，实际完成10户，还存在6户的化解工作未完成。主要原因系私房改造遗留问题涉及对象的住房利益，改造遗留问题工作政策性强、情况复杂、内容敏感、上访矛盾尖锐突出，上访人对政策不理解，化解工作难度较大。</w:t>
      </w:r>
    </w:p>
    <w:p>
      <w:pPr>
        <w:pStyle w:val="4"/>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（3）建筑业产值年增长率未达预期目标</w:t>
      </w:r>
    </w:p>
    <w:p>
      <w:pPr>
        <w:spacing w:line="240" w:lineRule="auto"/>
        <w:ind w:firstLine="640" w:firstLineChars="200"/>
        <w:jc w:val="both"/>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建筑行业引导专项资金项目2022年度经济效益目标为建筑业产值年增长率不低于10%、建筑业税收年增长率不低于10%。2022年全市建筑业产值为7,362.56亿元，同比增长7.90%；2022年全市建筑业完成税收102.25亿元，同比下降8.33%；未达预期目标。造成上述问题的主要原因系2022年四季度全国疫情蔓延，农民工无法现场施工，大部分项目提前停工，非人力可控因素，对建筑业产值和税收影响巨大。</w:t>
      </w:r>
    </w:p>
    <w:p>
      <w:pPr>
        <w:pStyle w:val="4"/>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Times New Roman"/>
          <w:color w:val="auto"/>
          <w:sz w:val="32"/>
          <w:szCs w:val="32"/>
          <w:lang w:val="en-US" w:eastAsia="zh-CN"/>
        </w:rPr>
        <w:t>人才引进任务未</w:t>
      </w:r>
      <w:r>
        <w:rPr>
          <w:rFonts w:hint="eastAsia" w:ascii="Times New Roman" w:hAnsi="Times New Roman" w:eastAsia="仿宋_GB2312" w:cs="Times New Roman"/>
          <w:color w:val="auto"/>
          <w:sz w:val="32"/>
          <w:szCs w:val="32"/>
          <w:lang w:val="en-US" w:eastAsia="zh-CN"/>
        </w:rPr>
        <w:t>达预期</w:t>
      </w:r>
    </w:p>
    <w:p>
      <w:pPr>
        <w:spacing w:line="240" w:lineRule="auto"/>
        <w:ind w:firstLine="640" w:firstLineChars="200"/>
        <w:jc w:val="left"/>
        <w:rPr>
          <w:rFonts w:hint="eastAsia" w:ascii="Times New Roman" w:hAnsi="Times New Roman" w:eastAsia="仿宋_GB2312" w:cs="仿宋_GB2312"/>
          <w:b/>
          <w:bCs/>
          <w:color w:val="auto"/>
          <w:kern w:val="2"/>
          <w:sz w:val="32"/>
          <w:szCs w:val="32"/>
          <w:highlight w:val="none"/>
          <w:lang w:val="en-US" w:eastAsia="zh-CN" w:bidi="ar-SA"/>
        </w:rPr>
      </w:pPr>
      <w:r>
        <w:rPr>
          <w:rFonts w:hint="default" w:ascii="Times New Roman" w:hAnsi="Times New Roman" w:eastAsia="仿宋_GB2312" w:cs="Times New Roman"/>
          <w:color w:val="auto"/>
          <w:sz w:val="32"/>
          <w:szCs w:val="32"/>
          <w:lang w:val="en-US" w:eastAsia="zh-CN"/>
        </w:rPr>
        <w:t>市房屋交易中心202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年度高技能人才引进任务未完成，</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长沙工匠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铸造工程购房补贴202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年度绩效目标为引进培育高技能人才60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100名，202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年实际</w:t>
      </w:r>
      <w:r>
        <w:rPr>
          <w:rFonts w:hint="eastAsia" w:ascii="Times New Roman" w:hAnsi="Times New Roman" w:eastAsia="仿宋_GB2312" w:cs="Times New Roman"/>
          <w:color w:val="auto"/>
          <w:sz w:val="32"/>
          <w:szCs w:val="32"/>
          <w:lang w:val="en-US" w:eastAsia="zh-CN"/>
        </w:rPr>
        <w:t>完成29</w:t>
      </w:r>
      <w:r>
        <w:rPr>
          <w:rFonts w:hint="default" w:ascii="Times New Roman" w:hAnsi="Times New Roman" w:eastAsia="仿宋_GB2312" w:cs="Times New Roman"/>
          <w:color w:val="auto"/>
          <w:sz w:val="32"/>
          <w:szCs w:val="32"/>
          <w:lang w:val="en-US" w:eastAsia="zh-CN"/>
        </w:rPr>
        <w:t>名，</w:t>
      </w:r>
      <w:r>
        <w:rPr>
          <w:rFonts w:hint="eastAsia" w:ascii="Times New Roman" w:hAnsi="Times New Roman" w:eastAsia="仿宋_GB2312" w:cs="Times New Roman"/>
          <w:color w:val="auto"/>
          <w:sz w:val="32"/>
          <w:szCs w:val="32"/>
          <w:lang w:val="en-US" w:eastAsia="zh-CN"/>
        </w:rPr>
        <w:t>未达预期目标</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仿宋_GB2312"/>
          <w:color w:val="auto"/>
          <w:kern w:val="2"/>
          <w:sz w:val="32"/>
          <w:szCs w:val="32"/>
          <w:highlight w:val="none"/>
          <w:lang w:val="en-US" w:eastAsia="zh-CN" w:bidi="ar-SA"/>
        </w:rPr>
        <w:t>造成上述问题的</w:t>
      </w:r>
      <w:r>
        <w:rPr>
          <w:rFonts w:hint="default" w:ascii="Times New Roman" w:hAnsi="Times New Roman" w:eastAsia="仿宋_GB2312" w:cs="Times New Roman"/>
          <w:color w:val="auto"/>
          <w:sz w:val="32"/>
          <w:szCs w:val="32"/>
          <w:lang w:val="en-US" w:eastAsia="zh-CN"/>
        </w:rPr>
        <w:t>主要原因系人才引进受诸多因素影响，存在不确定性，202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年国际形势复杂严峻、国内外疫情散发，人才引进工作难度提升。</w:t>
      </w:r>
    </w:p>
    <w:p>
      <w:pPr>
        <w:spacing w:line="240" w:lineRule="auto"/>
        <w:ind w:firstLine="643" w:firstLineChars="200"/>
        <w:jc w:val="left"/>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（四）服务对象满意度待提高</w:t>
      </w:r>
    </w:p>
    <w:p>
      <w:pPr>
        <w:spacing w:line="240" w:lineRule="auto"/>
        <w:ind w:firstLine="640" w:firstLineChars="200"/>
        <w:jc w:val="both"/>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lang w:val="en-US" w:eastAsia="zh-CN" w:bidi="ar-SA"/>
        </w:rPr>
        <w:t>通过向</w:t>
      </w:r>
      <w:r>
        <w:rPr>
          <w:rFonts w:hint="eastAsia" w:ascii="Times New Roman" w:hAnsi="Times New Roman" w:eastAsia="仿宋_GB2312" w:cs="仿宋_GB2312"/>
          <w:color w:val="auto"/>
          <w:kern w:val="2"/>
          <w:sz w:val="32"/>
          <w:szCs w:val="32"/>
          <w:highlight w:val="none"/>
          <w:lang w:val="en-US" w:eastAsia="zh-CN" w:bidi="ar-SA"/>
        </w:rPr>
        <w:t>第二批信创产品专项经费项目的</w:t>
      </w:r>
      <w:r>
        <w:rPr>
          <w:rFonts w:hint="eastAsia" w:ascii="Times New Roman" w:hAnsi="Times New Roman" w:eastAsia="仿宋_GB2312" w:cs="Times New Roman"/>
          <w:color w:val="auto"/>
          <w:kern w:val="2"/>
          <w:sz w:val="32"/>
          <w:szCs w:val="32"/>
          <w:lang w:val="en-US" w:eastAsia="zh-CN" w:bidi="ar-SA"/>
        </w:rPr>
        <w:t>受益对象进行项目实施满意度调查，</w:t>
      </w:r>
      <w:r>
        <w:rPr>
          <w:rFonts w:hint="eastAsia" w:ascii="Times New Roman" w:hAnsi="Times New Roman" w:eastAsia="仿宋_GB2312" w:cs="仿宋_GB2312"/>
          <w:color w:val="auto"/>
          <w:kern w:val="2"/>
          <w:sz w:val="32"/>
          <w:szCs w:val="32"/>
          <w:highlight w:val="none"/>
          <w:lang w:val="en-US" w:eastAsia="zh-CN" w:bidi="ar-SA"/>
        </w:rPr>
        <w:t>使用对象满意度为85%。满意度不高的主要原因系第二批信创产品使用对象对产品使用性能还未完全了解，使用习惯还需培养，且产品的适配软件有限。</w:t>
      </w:r>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十、下一步改进措施</w:t>
      </w:r>
    </w:p>
    <w:p>
      <w:pPr>
        <w:keepNext w:val="0"/>
        <w:keepLines w:val="0"/>
        <w:pageBreakBefore w:val="0"/>
        <w:numPr>
          <w:ilvl w:val="0"/>
          <w:numId w:val="3"/>
        </w:numPr>
        <w:tabs>
          <w:tab w:val="left" w:pos="763"/>
        </w:tabs>
        <w:kinsoku/>
        <w:wordWrap/>
        <w:overflowPunct/>
        <w:topLinePunct w:val="0"/>
        <w:autoSpaceDE/>
        <w:autoSpaceDN/>
        <w:bidi w:val="0"/>
        <w:spacing w:line="240" w:lineRule="auto"/>
        <w:ind w:firstLine="643" w:firstLineChars="200"/>
        <w:outlineLvl w:val="1"/>
        <w:rPr>
          <w:rFonts w:eastAsia="楷体_GB2312"/>
          <w:b/>
          <w:bCs/>
          <w:color w:val="auto"/>
          <w:sz w:val="32"/>
          <w:szCs w:val="32"/>
        </w:rPr>
      </w:pPr>
      <w:r>
        <w:rPr>
          <w:rFonts w:hint="eastAsia" w:eastAsia="楷体_GB2312"/>
          <w:b/>
          <w:bCs/>
          <w:color w:val="auto"/>
          <w:sz w:val="32"/>
          <w:szCs w:val="32"/>
        </w:rPr>
        <w:t>加强预算</w:t>
      </w:r>
      <w:r>
        <w:rPr>
          <w:rFonts w:hint="eastAsia" w:eastAsia="楷体_GB2312"/>
          <w:b/>
          <w:bCs/>
          <w:color w:val="auto"/>
          <w:sz w:val="32"/>
          <w:szCs w:val="32"/>
          <w:lang w:val="en-US" w:eastAsia="zh-CN"/>
        </w:rPr>
        <w:t>绩效</w:t>
      </w:r>
      <w:r>
        <w:rPr>
          <w:rFonts w:hint="eastAsia" w:eastAsia="楷体_GB2312"/>
          <w:b/>
          <w:bCs/>
          <w:color w:val="auto"/>
          <w:sz w:val="32"/>
          <w:szCs w:val="32"/>
        </w:rPr>
        <w:t>管理，提高预算编制的科学性</w:t>
      </w:r>
    </w:p>
    <w:p>
      <w:pPr>
        <w:pStyle w:val="4"/>
        <w:spacing w:after="0" w:line="240" w:lineRule="auto"/>
        <w:ind w:firstLine="641"/>
        <w:jc w:val="both"/>
        <w:rPr>
          <w:rFonts w:hint="eastAsia" w:ascii="黑体" w:hAnsi="黑体" w:eastAsia="黑体" w:cs="黑体"/>
          <w:color w:val="auto"/>
          <w:sz w:val="32"/>
          <w:szCs w:val="32"/>
          <w:highlight w:val="none"/>
        </w:rPr>
      </w:pPr>
      <w:r>
        <w:rPr>
          <w:rFonts w:hint="eastAsia" w:ascii="Times New Roman" w:hAnsi="Times New Roman" w:eastAsia="仿宋_GB2312" w:cs="Times New Roman"/>
          <w:color w:val="auto"/>
          <w:kern w:val="2"/>
          <w:sz w:val="32"/>
          <w:szCs w:val="32"/>
          <w:lang w:val="en-US" w:eastAsia="zh-CN" w:bidi="ar-SA"/>
        </w:rPr>
        <w:t>一是本局将根据上年度项目进度及专项资金支付情况编制预算，同时要求财务处和各业务处室充分参与，确保预算编制科学合理；</w:t>
      </w:r>
      <w:r>
        <w:rPr>
          <w:rFonts w:hint="default" w:ascii="Times New Roman" w:hAnsi="Times New Roman" w:eastAsia="仿宋_GB2312" w:cs="Times New Roman"/>
          <w:color w:val="auto"/>
          <w:sz w:val="32"/>
          <w:szCs w:val="32"/>
        </w:rPr>
        <w:t>加强绩效资金的分配和管理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把控好项目</w:t>
      </w:r>
      <w:r>
        <w:rPr>
          <w:rFonts w:hint="default" w:ascii="Times New Roman" w:hAnsi="Times New Roman" w:eastAsia="仿宋_GB2312" w:cs="Times New Roman"/>
          <w:color w:val="auto"/>
          <w:sz w:val="32"/>
          <w:szCs w:val="32"/>
          <w:lang w:eastAsia="zh-CN"/>
        </w:rPr>
        <w:t>资金支付</w:t>
      </w:r>
      <w:r>
        <w:rPr>
          <w:rFonts w:hint="default" w:ascii="Times New Roman" w:hAnsi="Times New Roman" w:eastAsia="仿宋_GB2312" w:cs="Times New Roman"/>
          <w:color w:val="auto"/>
          <w:sz w:val="32"/>
          <w:szCs w:val="32"/>
        </w:rPr>
        <w:t>进度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提高财政资金利用率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充分发挥专项资金的效益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是本局将根据《项目支出绩效评价管理办法》要求加强绩效目标申报管理，组织开展绩效自评工作。绩效目标按照“谁申请资金，谁编制目标”的原则，项目实施单位应围绕中心、突出重点，认真梳理年度工作任务，针对目标任务，提出细化、量化、可衡量的指标；项目主管单位应针对各项目实施单位设定的绩效目标，加强监督管理，制定年度管理目标，并在项目实施过程中进行绩效全过程监控管理，对未完成绩效目标或偏离绩效目标较大的项目进行原因分析，并提出改进措施。</w:t>
      </w:r>
    </w:p>
    <w:p>
      <w:pPr>
        <w:keepNext w:val="0"/>
        <w:keepLines w:val="0"/>
        <w:pageBreakBefore w:val="0"/>
        <w:kinsoku/>
        <w:wordWrap/>
        <w:overflowPunct/>
        <w:topLinePunct w:val="0"/>
        <w:autoSpaceDE/>
        <w:autoSpaceDN/>
        <w:bidi w:val="0"/>
        <w:spacing w:line="240" w:lineRule="auto"/>
        <w:ind w:firstLine="643" w:firstLineChars="200"/>
        <w:outlineLvl w:val="1"/>
        <w:rPr>
          <w:rFonts w:hint="default" w:ascii="楷体_GB2312" w:hAnsi="楷体_GB2312" w:eastAsia="楷体_GB2312" w:cs="楷体_GB2312"/>
          <w:b/>
          <w:bCs/>
          <w:color w:val="auto"/>
          <w:sz w:val="32"/>
          <w:szCs w:val="32"/>
          <w:lang w:val="en-US" w:eastAsia="zh-CN"/>
        </w:rPr>
      </w:pPr>
      <w:bookmarkStart w:id="0" w:name="_Toc32508"/>
      <w:bookmarkStart w:id="1" w:name="_Toc6416"/>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提高资金使用效率，切实发挥财政资金使用效益</w:t>
      </w:r>
    </w:p>
    <w:p>
      <w:pPr>
        <w:keepNext w:val="0"/>
        <w:keepLines w:val="0"/>
        <w:pageBreakBefore w:val="0"/>
        <w:kinsoku/>
        <w:wordWrap/>
        <w:overflowPunct/>
        <w:topLinePunct w:val="0"/>
        <w:autoSpaceDE/>
        <w:autoSpaceDN/>
        <w:bidi w:val="0"/>
        <w:spacing w:line="240" w:lineRule="auto"/>
        <w:ind w:firstLine="640" w:firstLineChars="200"/>
        <w:outlineLvl w:val="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本局将加快推进</w:t>
      </w:r>
      <w:r>
        <w:rPr>
          <w:rFonts w:hint="eastAsia" w:ascii="Times New Roman" w:hAnsi="Times New Roman" w:eastAsia="仿宋_GB2312" w:cs="仿宋_GB2312"/>
          <w:color w:val="auto"/>
          <w:kern w:val="2"/>
          <w:sz w:val="32"/>
          <w:szCs w:val="32"/>
          <w:highlight w:val="none"/>
          <w:lang w:val="en-US" w:eastAsia="zh-CN" w:bidi="ar-SA"/>
        </w:rPr>
        <w:t>既有小区品质提升项目奖补资金申报、审核工作，加强项目进度的跟踪，</w:t>
      </w:r>
      <w:r>
        <w:rPr>
          <w:rFonts w:hint="eastAsia" w:ascii="Times New Roman" w:hAnsi="Times New Roman" w:eastAsia="仿宋_GB2312" w:cs="Times New Roman"/>
          <w:color w:val="auto"/>
          <w:kern w:val="2"/>
          <w:sz w:val="32"/>
          <w:szCs w:val="32"/>
          <w:lang w:val="en-US" w:eastAsia="zh-CN" w:bidi="ar-SA"/>
        </w:rPr>
        <w:t>优化资金拨付流程，加快资金拨付进度，避免资金在各级财政账户沉淀，切实发挥财政资金的使用效益。</w:t>
      </w:r>
    </w:p>
    <w:p>
      <w:pPr>
        <w:keepNext w:val="0"/>
        <w:keepLines w:val="0"/>
        <w:pageBreakBefore w:val="0"/>
        <w:kinsoku/>
        <w:wordWrap/>
        <w:overflowPunct/>
        <w:topLinePunct w:val="0"/>
        <w:autoSpaceDE/>
        <w:autoSpaceDN/>
        <w:bidi w:val="0"/>
        <w:spacing w:line="240" w:lineRule="auto"/>
        <w:ind w:firstLine="643" w:firstLineChars="200"/>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w:t>
      </w:r>
      <w:r>
        <w:rPr>
          <w:rFonts w:hint="eastAsia" w:eastAsia="楷体_GB2312"/>
          <w:b/>
          <w:bCs/>
          <w:color w:val="auto"/>
          <w:sz w:val="32"/>
          <w:szCs w:val="32"/>
        </w:rPr>
        <w:t>强化日常监督，规范项目管理</w:t>
      </w:r>
    </w:p>
    <w:p>
      <w:pPr>
        <w:spacing w:line="240" w:lineRule="auto"/>
        <w:ind w:firstLineChars="200"/>
        <w:jc w:val="left"/>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1.加快市级财政与区县财政项目资金结算进度</w:t>
      </w:r>
    </w:p>
    <w:p>
      <w:pPr>
        <w:spacing w:line="240" w:lineRule="auto"/>
        <w:ind w:firstLine="640" w:firstLineChars="200"/>
        <w:outlineLvl w:val="1"/>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本局将按照</w:t>
      </w:r>
      <w:r>
        <w:rPr>
          <w:rFonts w:hint="eastAsia" w:ascii="Times New Roman" w:hAnsi="Times New Roman" w:eastAsia="仿宋_GB2312" w:cs="Times New Roman"/>
          <w:color w:val="auto"/>
          <w:kern w:val="2"/>
          <w:sz w:val="32"/>
          <w:szCs w:val="32"/>
          <w:lang w:val="en-US" w:eastAsia="zh-CN" w:bidi="ar-SA"/>
        </w:rPr>
        <w:t>《长沙市既有多层住宅增设电梯办理细则》等文件要求，按照市级与区县规定的承担比例进行</w:t>
      </w:r>
      <w:r>
        <w:rPr>
          <w:rFonts w:hint="eastAsia" w:ascii="Times New Roman" w:hAnsi="Times New Roman" w:eastAsia="仿宋_GB2312" w:cs="仿宋_GB2312"/>
          <w:color w:val="auto"/>
          <w:kern w:val="2"/>
          <w:sz w:val="32"/>
          <w:szCs w:val="32"/>
          <w:highlight w:val="none"/>
          <w:lang w:val="en-US" w:eastAsia="zh-CN" w:bidi="ar-SA"/>
        </w:rPr>
        <w:t>既有多层住宅增设电梯财政补助</w:t>
      </w:r>
      <w:r>
        <w:rPr>
          <w:rFonts w:hint="eastAsia" w:ascii="Times New Roman" w:hAnsi="Times New Roman" w:eastAsia="仿宋_GB2312" w:cs="Times New Roman"/>
          <w:color w:val="auto"/>
          <w:kern w:val="2"/>
          <w:sz w:val="32"/>
          <w:szCs w:val="32"/>
          <w:lang w:val="en-US" w:eastAsia="zh-CN" w:bidi="ar-SA"/>
        </w:rPr>
        <w:t>资金核算，加快与各区县的资金核对进度，及时完成结算工作。</w:t>
      </w:r>
    </w:p>
    <w:p>
      <w:pPr>
        <w:spacing w:line="240" w:lineRule="auto"/>
        <w:ind w:firstLineChars="200"/>
        <w:jc w:val="left"/>
        <w:rPr>
          <w:rFonts w:hint="default" w:ascii="Times New Roman" w:hAnsi="Times New Roman" w:eastAsia="仿宋_GB2312" w:cs="仿宋_GB2312"/>
          <w:b/>
          <w:bCs/>
          <w:color w:val="auto"/>
          <w:sz w:val="32"/>
          <w:szCs w:val="32"/>
          <w:highlight w:val="none"/>
          <w:lang w:val="en-US"/>
        </w:rPr>
      </w:pPr>
      <w:r>
        <w:rPr>
          <w:rFonts w:hint="eastAsia" w:ascii="Times New Roman" w:hAnsi="Times New Roman" w:eastAsia="仿宋_GB2312" w:cs="仿宋_GB2312"/>
          <w:b/>
          <w:bCs/>
          <w:color w:val="auto"/>
          <w:sz w:val="32"/>
          <w:szCs w:val="32"/>
          <w:highlight w:val="none"/>
        </w:rPr>
        <w:t>2</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完善管网建设，系统提升城镇污水收集效能</w:t>
      </w:r>
      <w:r>
        <w:rPr>
          <w:rFonts w:hint="eastAsia" w:ascii="Times New Roman" w:hAnsi="Times New Roman" w:eastAsia="仿宋_GB2312" w:cs="仿宋_GB2312"/>
          <w:b/>
          <w:bCs/>
          <w:color w:val="auto"/>
          <w:sz w:val="32"/>
          <w:szCs w:val="32"/>
          <w:highlight w:val="none"/>
          <w:lang w:val="en-US" w:eastAsia="zh-CN"/>
        </w:rPr>
        <w:t>及运行效率</w:t>
      </w:r>
    </w:p>
    <w:p>
      <w:pPr>
        <w:spacing w:line="240" w:lineRule="auto"/>
        <w:ind w:firstLineChars="20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本局</w:t>
      </w:r>
      <w:r>
        <w:rPr>
          <w:rFonts w:hint="eastAsia" w:ascii="Times New Roman" w:hAnsi="Times New Roman" w:eastAsia="仿宋_GB2312" w:cs="Times New Roman"/>
          <w:b w:val="0"/>
          <w:bCs w:val="0"/>
          <w:color w:val="auto"/>
          <w:sz w:val="32"/>
          <w:szCs w:val="32"/>
          <w:lang w:val="en-US" w:eastAsia="zh-CN"/>
        </w:rPr>
        <w:t>及项目单位</w:t>
      </w:r>
      <w:r>
        <w:rPr>
          <w:rFonts w:hint="eastAsia" w:ascii="Times New Roman" w:hAnsi="Times New Roman" w:eastAsia="仿宋_GB2312" w:cs="Times New Roman"/>
          <w:color w:val="auto"/>
          <w:sz w:val="32"/>
          <w:szCs w:val="32"/>
          <w:lang w:val="en-US" w:eastAsia="zh-CN"/>
        </w:rPr>
        <w:t>将</w:t>
      </w:r>
      <w:r>
        <w:rPr>
          <w:rFonts w:hint="eastAsia" w:ascii="Times New Roman" w:hAnsi="Times New Roman" w:eastAsia="仿宋_GB2312" w:cs="Times New Roman"/>
          <w:color w:val="auto"/>
          <w:sz w:val="32"/>
          <w:szCs w:val="32"/>
        </w:rPr>
        <w:t>加快雨污分流改造步伐，建立完善的污水处理系统及配套管网，扩大污水收集覆盖面，增强污水处理设施运营效益，强化污水处理厂日常监管，对建成的污水处理厂要优先安排资金建设配套管网，提高污水处理厂运行负荷率和城镇污水管网覆盖率。同时，加大对雨污分流工程改造、建设的投资，实现雨水和污水分流，保障污水处理厂稳定运行。</w:t>
      </w:r>
    </w:p>
    <w:p>
      <w:pPr>
        <w:spacing w:line="240" w:lineRule="auto"/>
        <w:ind w:firstLineChars="200"/>
        <w:jc w:val="left"/>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3.加强进水监管，提升污水处理厂</w:t>
      </w:r>
      <w:r>
        <w:rPr>
          <w:rFonts w:hint="eastAsia" w:ascii="Times New Roman" w:hAnsi="Times New Roman" w:eastAsia="仿宋_GB2312" w:cs="Times New Roman"/>
          <w:b/>
          <w:bCs/>
          <w:color w:val="auto"/>
          <w:kern w:val="2"/>
          <w:sz w:val="32"/>
          <w:szCs w:val="32"/>
          <w:lang w:val="en-US" w:eastAsia="zh-CN" w:bidi="ar-SA"/>
        </w:rPr>
        <w:t>运行效能</w:t>
      </w:r>
    </w:p>
    <w:p>
      <w:pPr>
        <w:spacing w:line="240" w:lineRule="auto"/>
        <w:ind w:firstLineChars="200"/>
        <w:jc w:val="both"/>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Times New Roman"/>
          <w:b w:val="0"/>
          <w:bCs w:val="0"/>
          <w:color w:val="auto"/>
          <w:sz w:val="32"/>
          <w:szCs w:val="32"/>
          <w:lang w:val="en-US" w:eastAsia="zh-CN"/>
        </w:rPr>
        <w:t>本局及项目单位将建立污水管网排查和周期性检测制度，全面推进生活污水收集处理设施改造和建设，健全管网建设质量管控机制和污水接入服务和管理制度。要求各项目实施单位就进水浓度低的问题开展专项调查，并制定出提高进水浓度的工作方案和“一厂一策”，逐步解决进水浓度问题。</w:t>
      </w:r>
    </w:p>
    <w:p>
      <w:pPr>
        <w:spacing w:line="240" w:lineRule="auto"/>
        <w:ind w:firstLineChars="200"/>
        <w:jc w:val="left"/>
        <w:rPr>
          <w:rFonts w:hint="default" w:ascii="Times New Roman" w:hAnsi="Times New Roman" w:eastAsia="仿宋_GB2312" w:cs="仿宋_GB2312"/>
          <w:b/>
          <w:bCs/>
          <w:color w:val="auto"/>
          <w:sz w:val="32"/>
          <w:szCs w:val="32"/>
          <w:highlight w:val="none"/>
        </w:rPr>
      </w:pPr>
      <w:bookmarkStart w:id="2" w:name="_Toc18046"/>
      <w:bookmarkStart w:id="3" w:name="_Toc6689"/>
      <w:r>
        <w:rPr>
          <w:rFonts w:hint="eastAsia" w:ascii="Times New Roman" w:hAnsi="Times New Roman" w:eastAsia="仿宋_GB2312" w:cs="仿宋_GB2312"/>
          <w:b/>
          <w:bCs/>
          <w:color w:val="auto"/>
          <w:sz w:val="32"/>
          <w:szCs w:val="32"/>
          <w:highlight w:val="none"/>
          <w:lang w:val="en-US" w:eastAsia="zh-CN"/>
        </w:rPr>
        <w:t>4</w:t>
      </w:r>
      <w:r>
        <w:rPr>
          <w:rFonts w:hint="eastAsia" w:ascii="Times New Roman" w:hAnsi="Times New Roman" w:eastAsia="仿宋_GB2312" w:cs="仿宋_GB2312"/>
          <w:b/>
          <w:bCs/>
          <w:color w:val="auto"/>
          <w:sz w:val="32"/>
          <w:szCs w:val="32"/>
          <w:highlight w:val="none"/>
          <w:lang w:eastAsia="zh-CN"/>
        </w:rPr>
        <w:t>.强化</w:t>
      </w:r>
      <w:r>
        <w:rPr>
          <w:rFonts w:hint="eastAsia" w:ascii="Times New Roman" w:hAnsi="Times New Roman" w:eastAsia="仿宋_GB2312" w:cs="仿宋_GB2312"/>
          <w:b/>
          <w:bCs/>
          <w:color w:val="auto"/>
          <w:sz w:val="32"/>
          <w:szCs w:val="32"/>
          <w:highlight w:val="none"/>
        </w:rPr>
        <w:t>项目</w:t>
      </w:r>
      <w:r>
        <w:rPr>
          <w:rFonts w:hint="eastAsia" w:ascii="Times New Roman" w:hAnsi="Times New Roman" w:eastAsia="仿宋_GB2312" w:cs="仿宋_GB2312"/>
          <w:b/>
          <w:bCs/>
          <w:color w:val="auto"/>
          <w:sz w:val="32"/>
          <w:szCs w:val="32"/>
          <w:highlight w:val="none"/>
          <w:lang w:val="en-US" w:eastAsia="zh-CN"/>
        </w:rPr>
        <w:t>前期</w:t>
      </w:r>
      <w:r>
        <w:rPr>
          <w:rFonts w:hint="eastAsia" w:ascii="Times New Roman" w:hAnsi="Times New Roman" w:eastAsia="仿宋_GB2312" w:cs="仿宋_GB2312"/>
          <w:b/>
          <w:bCs/>
          <w:color w:val="auto"/>
          <w:sz w:val="32"/>
          <w:szCs w:val="32"/>
          <w:highlight w:val="none"/>
        </w:rPr>
        <w:t>管理</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确保项目</w:t>
      </w:r>
      <w:bookmarkEnd w:id="2"/>
      <w:bookmarkEnd w:id="3"/>
      <w:r>
        <w:rPr>
          <w:rFonts w:hint="eastAsia" w:ascii="Times New Roman" w:hAnsi="Times New Roman" w:eastAsia="仿宋_GB2312" w:cs="仿宋_GB2312"/>
          <w:b/>
          <w:bCs/>
          <w:color w:val="auto"/>
          <w:sz w:val="32"/>
          <w:szCs w:val="32"/>
          <w:highlight w:val="none"/>
          <w:lang w:val="en-US" w:eastAsia="zh-CN"/>
        </w:rPr>
        <w:t>按时完成验收</w:t>
      </w:r>
    </w:p>
    <w:p>
      <w:pPr>
        <w:pStyle w:val="4"/>
        <w:keepNext w:val="0"/>
        <w:keepLines w:val="0"/>
        <w:pageBreakBefore w:val="0"/>
        <w:kinsoku/>
        <w:wordWrap/>
        <w:topLinePunct w:val="0"/>
        <w:bidi w:val="0"/>
        <w:spacing w:line="240" w:lineRule="auto"/>
        <w:ind w:firstLine="64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本局将</w:t>
      </w:r>
      <w:r>
        <w:rPr>
          <w:rFonts w:hint="default" w:ascii="Times New Roman" w:hAnsi="Times New Roman" w:eastAsia="仿宋_GB2312" w:cs="Times New Roman"/>
          <w:color w:val="auto"/>
          <w:sz w:val="32"/>
          <w:szCs w:val="32"/>
          <w:lang w:eastAsia="zh-CN"/>
        </w:rPr>
        <w:t>强化项目</w:t>
      </w:r>
      <w:r>
        <w:rPr>
          <w:rFonts w:hint="eastAsia" w:ascii="Times New Roman" w:hAnsi="Times New Roman" w:eastAsia="仿宋_GB2312" w:cs="Times New Roman"/>
          <w:color w:val="auto"/>
          <w:sz w:val="32"/>
          <w:szCs w:val="32"/>
          <w:lang w:val="en-US" w:eastAsia="zh-CN"/>
        </w:rPr>
        <w:t>前期</w:t>
      </w:r>
      <w:r>
        <w:rPr>
          <w:rFonts w:hint="default" w:ascii="Times New Roman" w:hAnsi="Times New Roman" w:eastAsia="仿宋_GB2312" w:cs="Times New Roman"/>
          <w:color w:val="auto"/>
          <w:sz w:val="32"/>
          <w:szCs w:val="32"/>
          <w:lang w:eastAsia="zh-CN"/>
        </w:rPr>
        <w:t>工作管理</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建设</w:t>
      </w:r>
      <w:r>
        <w:rPr>
          <w:rFonts w:hint="default"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lang w:val="en-US" w:eastAsia="zh-CN"/>
        </w:rPr>
        <w:t>实施前</w:t>
      </w:r>
      <w:r>
        <w:rPr>
          <w:rFonts w:hint="default" w:ascii="Times New Roman" w:hAnsi="Times New Roman" w:eastAsia="仿宋_GB2312" w:cs="Times New Roman"/>
          <w:color w:val="auto"/>
          <w:sz w:val="32"/>
          <w:szCs w:val="32"/>
          <w:lang w:eastAsia="zh-CN"/>
        </w:rPr>
        <w:t>开展充分的实地勘查及调研</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并深入了解项目建设及后期运营管理情况</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充分考虑项目实施的必要性和可能存在的问题</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聘请专业机构对项目开展可行性研究</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在此基础上编制科学</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合理的可行性研究报告和勘察</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设计方案</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尽量减少设计和施工变更</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以实现加快项目</w:t>
      </w:r>
      <w:r>
        <w:rPr>
          <w:rFonts w:hint="eastAsia" w:ascii="Times New Roman" w:hAnsi="Times New Roman" w:eastAsia="仿宋_GB2312" w:cs="Times New Roman"/>
          <w:color w:val="auto"/>
          <w:sz w:val="32"/>
          <w:szCs w:val="32"/>
          <w:lang w:val="en-US" w:eastAsia="zh-CN"/>
        </w:rPr>
        <w:t>完</w:t>
      </w:r>
      <w:r>
        <w:rPr>
          <w:rFonts w:hint="default" w:ascii="Times New Roman" w:hAnsi="Times New Roman" w:eastAsia="仿宋_GB2312" w:cs="Times New Roman"/>
          <w:color w:val="auto"/>
          <w:sz w:val="32"/>
          <w:szCs w:val="32"/>
          <w:lang w:eastAsia="zh-CN"/>
        </w:rPr>
        <w:t>工进度</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节约工程成本的目的</w:t>
      </w:r>
      <w:r>
        <w:rPr>
          <w:rFonts w:hint="eastAsia" w:ascii="Times New Roman" w:hAnsi="Times New Roman" w:cs="Times New Roman"/>
          <w:color w:val="auto"/>
          <w:sz w:val="32"/>
          <w:szCs w:val="32"/>
          <w:lang w:eastAsia="zh-CN"/>
        </w:rPr>
        <w:t>。</w:t>
      </w:r>
    </w:p>
    <w:p>
      <w:pPr>
        <w:spacing w:line="240" w:lineRule="auto"/>
        <w:ind w:firstLineChars="200"/>
        <w:jc w:val="left"/>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5.加快项目制度修订进度，促进项目可持续发展</w:t>
      </w:r>
    </w:p>
    <w:p>
      <w:pPr>
        <w:spacing w:line="240" w:lineRule="auto"/>
        <w:ind w:firstLineChars="200"/>
        <w:jc w:val="left"/>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本局将</w:t>
      </w:r>
      <w:r>
        <w:rPr>
          <w:rFonts w:hint="eastAsia" w:ascii="Times New Roman" w:hAnsi="Times New Roman" w:eastAsia="仿宋_GB2312" w:cs="Times New Roman"/>
          <w:b w:val="0"/>
          <w:bCs w:val="0"/>
          <w:color w:val="auto"/>
          <w:sz w:val="32"/>
          <w:szCs w:val="32"/>
        </w:rPr>
        <w:t>根据建筑节能与绿色建筑支持方向，</w:t>
      </w:r>
      <w:r>
        <w:rPr>
          <w:rFonts w:hint="eastAsia" w:ascii="Times New Roman" w:hAnsi="Times New Roman" w:eastAsia="仿宋_GB2312" w:cs="Times New Roman"/>
          <w:b w:val="0"/>
          <w:bCs w:val="0"/>
          <w:color w:val="auto"/>
          <w:sz w:val="32"/>
          <w:szCs w:val="32"/>
          <w:lang w:val="en-US" w:eastAsia="zh-CN"/>
        </w:rPr>
        <w:t>加快</w:t>
      </w:r>
      <w:r>
        <w:rPr>
          <w:rFonts w:hint="eastAsia" w:ascii="Times New Roman" w:hAnsi="Times New Roman" w:eastAsia="仿宋_GB2312" w:cs="Times New Roman"/>
          <w:b w:val="0"/>
          <w:bCs w:val="0"/>
          <w:color w:val="auto"/>
          <w:sz w:val="32"/>
          <w:szCs w:val="32"/>
        </w:rPr>
        <w:t>《长沙市建筑节能与绿色建筑专项资金管理办法》修订</w:t>
      </w:r>
      <w:r>
        <w:rPr>
          <w:rFonts w:hint="eastAsia" w:ascii="Times New Roman" w:hAnsi="Times New Roman" w:eastAsia="仿宋_GB2312" w:cs="Times New Roman"/>
          <w:b w:val="0"/>
          <w:bCs w:val="0"/>
          <w:color w:val="auto"/>
          <w:sz w:val="32"/>
          <w:szCs w:val="32"/>
          <w:lang w:val="en-US" w:eastAsia="zh-CN"/>
        </w:rPr>
        <w:t>进度</w:t>
      </w:r>
      <w:r>
        <w:rPr>
          <w:rFonts w:hint="eastAsia"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val="en-US" w:eastAsia="zh-CN"/>
        </w:rPr>
        <w:t>及时与制度修订相关单位及领导进行沟通</w:t>
      </w:r>
      <w:r>
        <w:rPr>
          <w:rFonts w:hint="eastAsia" w:ascii="Times New Roman" w:hAnsi="Times New Roman" w:eastAsia="仿宋_GB2312" w:cs="Times New Roman"/>
          <w:b w:val="0"/>
          <w:bCs w:val="0"/>
          <w:color w:val="auto"/>
          <w:sz w:val="32"/>
          <w:szCs w:val="32"/>
        </w:rPr>
        <w:t>，确保制度的规范性、严谨性，</w:t>
      </w:r>
      <w:r>
        <w:rPr>
          <w:rFonts w:hint="eastAsia" w:ascii="Times New Roman" w:hAnsi="Times New Roman" w:eastAsia="仿宋_GB2312" w:cs="Times New Roman"/>
          <w:b w:val="0"/>
          <w:bCs w:val="0"/>
          <w:color w:val="auto"/>
          <w:sz w:val="32"/>
          <w:szCs w:val="32"/>
          <w:lang w:val="en-US" w:eastAsia="zh-CN"/>
        </w:rPr>
        <w:t>尽早实现制度印发，</w:t>
      </w:r>
      <w:r>
        <w:rPr>
          <w:rFonts w:hint="eastAsia" w:ascii="Times New Roman" w:hAnsi="Times New Roman" w:eastAsia="仿宋_GB2312" w:cs="Times New Roman"/>
          <w:b w:val="0"/>
          <w:bCs w:val="0"/>
          <w:color w:val="auto"/>
          <w:sz w:val="32"/>
          <w:szCs w:val="32"/>
        </w:rPr>
        <w:t>促进项目可持续发展。</w:t>
      </w:r>
    </w:p>
    <w:p>
      <w:pPr>
        <w:spacing w:line="240" w:lineRule="auto"/>
        <w:ind w:firstLineChars="200"/>
        <w:jc w:val="left"/>
        <w:rPr>
          <w:rFonts w:hint="eastAsia" w:ascii="Times New Roman" w:hAnsi="Times New Roman" w:eastAsia="仿宋_GB2312" w:cs="仿宋_GB2312"/>
          <w:b/>
          <w:bCs/>
          <w:color w:val="auto"/>
          <w:sz w:val="32"/>
          <w:szCs w:val="32"/>
          <w:highlight w:val="none"/>
        </w:rPr>
      </w:pPr>
      <w:r>
        <w:rPr>
          <w:rFonts w:hint="eastAsia" w:ascii="Times New Roman" w:hAnsi="Times New Roman" w:eastAsia="仿宋_GB2312" w:cs="仿宋_GB2312"/>
          <w:b/>
          <w:bCs/>
          <w:color w:val="auto"/>
          <w:sz w:val="32"/>
          <w:szCs w:val="32"/>
          <w:highlight w:val="none"/>
          <w:lang w:val="en-US" w:eastAsia="zh-CN"/>
        </w:rPr>
        <w:t>6</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强化目标管理，确保按质按量完成目标任务</w:t>
      </w:r>
    </w:p>
    <w:p>
      <w:pPr>
        <w:keepNext w:val="0"/>
        <w:keepLines w:val="0"/>
        <w:pageBreakBefore w:val="0"/>
        <w:kinsoku/>
        <w:wordWrap/>
        <w:overflowPunct/>
        <w:topLinePunct w:val="0"/>
        <w:autoSpaceDE/>
        <w:autoSpaceDN/>
        <w:bidi w:val="0"/>
        <w:spacing w:line="240" w:lineRule="auto"/>
        <w:ind w:firstLine="640" w:firstLineChars="200"/>
        <w:outlineLvl w:val="1"/>
        <w:rPr>
          <w:rFonts w:hint="eastAsia" w:ascii="Times New Roman" w:hAnsi="Times New Roman" w:eastAsia="仿宋_GB2312" w:cs="Times New Roman"/>
          <w:b w:val="0"/>
          <w:bCs w:val="0"/>
          <w:color w:val="auto"/>
          <w:sz w:val="32"/>
          <w:szCs w:val="32"/>
        </w:rPr>
      </w:pPr>
      <w:r>
        <w:rPr>
          <w:rFonts w:hint="eastAsia" w:ascii="Times New Roman" w:hAnsi="Times New Roman" w:eastAsia="仿宋_GB2312" w:cs="Times New Roman"/>
          <w:color w:val="auto"/>
          <w:kern w:val="2"/>
          <w:sz w:val="32"/>
          <w:szCs w:val="32"/>
          <w:lang w:val="en-US" w:eastAsia="zh-CN" w:bidi="ar-SA"/>
        </w:rPr>
        <w:t>一是本局将根据项目实际情况合理申报年初绩效目标，</w:t>
      </w:r>
      <w:r>
        <w:rPr>
          <w:rFonts w:hint="eastAsia" w:ascii="Times New Roman" w:hAnsi="Times New Roman" w:eastAsia="仿宋_GB2312" w:cs="Times New Roman"/>
          <w:color w:val="auto"/>
          <w:sz w:val="32"/>
          <w:szCs w:val="32"/>
        </w:rPr>
        <w:t>并加强对项目进度、项目质量、拨付款手续、项目资料完善的监管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二是</w:t>
      </w:r>
      <w:r>
        <w:rPr>
          <w:rFonts w:hint="eastAsia" w:ascii="Times New Roman" w:hAnsi="Times New Roman" w:eastAsia="仿宋_GB2312" w:cs="Times New Roman"/>
          <w:color w:val="auto"/>
          <w:kern w:val="2"/>
          <w:sz w:val="32"/>
          <w:szCs w:val="32"/>
          <w:lang w:val="en-US" w:eastAsia="zh-CN" w:bidi="ar-SA"/>
        </w:rPr>
        <w:t>本局项目实施部门将深入分析项目目标完成率不高的原因，制定详细的实施方案，积极协调有关部门及时解决，落实责任主体，</w:t>
      </w:r>
      <w:r>
        <w:rPr>
          <w:rFonts w:hint="eastAsia" w:ascii="Times New Roman" w:hAnsi="Times New Roman" w:eastAsia="仿宋_GB2312" w:cs="Times New Roman"/>
          <w:color w:val="auto"/>
          <w:sz w:val="32"/>
          <w:szCs w:val="32"/>
        </w:rPr>
        <w:t>确保</w:t>
      </w:r>
      <w:r>
        <w:rPr>
          <w:rFonts w:hint="eastAsia"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rPr>
        <w:t>按计划（目标）完成</w:t>
      </w:r>
      <w:r>
        <w:rPr>
          <w:rFonts w:hint="eastAsia" w:ascii="Times New Roman" w:hAnsi="Times New Roman" w:eastAsia="仿宋_GB2312" w:cs="Times New Roman"/>
          <w:color w:val="auto"/>
          <w:kern w:val="2"/>
          <w:sz w:val="32"/>
          <w:szCs w:val="32"/>
          <w:lang w:val="en-US" w:eastAsia="zh-CN" w:bidi="ar-SA"/>
        </w:rPr>
        <w:t>。</w:t>
      </w:r>
    </w:p>
    <w:p>
      <w:pPr>
        <w:keepNext w:val="0"/>
        <w:keepLines w:val="0"/>
        <w:pageBreakBefore w:val="0"/>
        <w:kinsoku/>
        <w:wordWrap/>
        <w:overflowPunct/>
        <w:topLinePunct w:val="0"/>
        <w:autoSpaceDE/>
        <w:autoSpaceDN/>
        <w:bidi w:val="0"/>
        <w:spacing w:line="240" w:lineRule="auto"/>
        <w:ind w:firstLine="643" w:firstLineChars="200"/>
        <w:outlineLvl w:val="1"/>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rPr>
        <w:t>）建立健全长效机制，不断提升</w:t>
      </w:r>
      <w:r>
        <w:rPr>
          <w:rFonts w:hint="eastAsia" w:ascii="楷体_GB2312" w:hAnsi="楷体_GB2312" w:eastAsia="楷体_GB2312" w:cs="楷体_GB2312"/>
          <w:b/>
          <w:bCs/>
          <w:color w:val="auto"/>
          <w:sz w:val="32"/>
          <w:szCs w:val="32"/>
          <w:lang w:val="en-US" w:eastAsia="zh-CN"/>
        </w:rPr>
        <w:t>受益对象</w:t>
      </w:r>
      <w:r>
        <w:rPr>
          <w:rFonts w:hint="eastAsia" w:ascii="楷体_GB2312" w:hAnsi="楷体_GB2312" w:eastAsia="楷体_GB2312" w:cs="楷体_GB2312"/>
          <w:b/>
          <w:bCs/>
          <w:color w:val="auto"/>
          <w:sz w:val="32"/>
          <w:szCs w:val="32"/>
        </w:rPr>
        <w:t>满意度</w:t>
      </w:r>
      <w:bookmarkEnd w:id="0"/>
      <w:bookmarkEnd w:id="1"/>
    </w:p>
    <w:p>
      <w:pPr>
        <w:pStyle w:val="4"/>
        <w:spacing w:line="240" w:lineRule="auto"/>
        <w:ind w:firstLine="640"/>
        <w:jc w:val="both"/>
        <w:rPr>
          <w:rFonts w:hint="eastAsia" w:ascii="黑体" w:hAnsi="黑体" w:eastAsia="黑体" w:cs="黑体"/>
          <w:color w:val="auto"/>
          <w:sz w:val="32"/>
          <w:szCs w:val="32"/>
          <w:highlight w:val="none"/>
        </w:rPr>
      </w:pPr>
      <w:r>
        <w:rPr>
          <w:rFonts w:hint="eastAsia" w:ascii="Times New Roman" w:hAnsi="Times New Roman" w:eastAsia="仿宋_GB2312" w:cs="Times New Roman"/>
          <w:color w:val="auto"/>
          <w:kern w:val="2"/>
          <w:sz w:val="32"/>
          <w:szCs w:val="32"/>
          <w:lang w:val="en-US" w:eastAsia="zh-CN" w:bidi="ar-SA"/>
        </w:rPr>
        <w:t>本局将建立健全长效机制，进一步培养</w:t>
      </w:r>
      <w:r>
        <w:rPr>
          <w:rFonts w:hint="eastAsia" w:ascii="Times New Roman" w:hAnsi="Times New Roman" w:eastAsia="仿宋_GB2312" w:cs="仿宋_GB2312"/>
          <w:color w:val="auto"/>
          <w:kern w:val="2"/>
          <w:sz w:val="32"/>
          <w:szCs w:val="32"/>
          <w:highlight w:val="none"/>
          <w:lang w:val="en-US" w:eastAsia="zh-CN" w:bidi="ar-SA"/>
        </w:rPr>
        <w:t>第二批信创产品</w:t>
      </w:r>
      <w:r>
        <w:rPr>
          <w:rFonts w:hint="eastAsia" w:ascii="Times New Roman" w:hAnsi="Times New Roman" w:eastAsia="仿宋_GB2312" w:cs="Times New Roman"/>
          <w:color w:val="auto"/>
          <w:kern w:val="2"/>
          <w:sz w:val="32"/>
          <w:szCs w:val="32"/>
          <w:lang w:val="en-US" w:eastAsia="zh-CN" w:bidi="ar-SA"/>
        </w:rPr>
        <w:t>用户习惯，加强产品宣传推广及使用教程培训，</w:t>
      </w:r>
      <w:bookmarkStart w:id="4" w:name="_Toc20829"/>
      <w:r>
        <w:rPr>
          <w:rFonts w:hint="eastAsia" w:ascii="Times New Roman" w:hAnsi="Times New Roman" w:eastAsia="仿宋_GB2312" w:cs="Times New Roman"/>
          <w:color w:val="auto"/>
          <w:kern w:val="2"/>
          <w:sz w:val="32"/>
          <w:szCs w:val="32"/>
          <w:lang w:val="en-US" w:eastAsia="zh-CN" w:bidi="ar-SA"/>
        </w:rPr>
        <w:t>不断提升群众满意度。</w:t>
      </w:r>
      <w:bookmarkEnd w:id="4"/>
    </w:p>
    <w:p>
      <w:pPr>
        <w:spacing w:line="240" w:lineRule="auto"/>
        <w:ind w:firstLine="640" w:firstLineChars="200"/>
        <w:jc w:val="left"/>
        <w:rPr>
          <w:rFonts w:ascii="黑体" w:hAnsi="黑体" w:eastAsia="黑体"/>
          <w:color w:val="auto"/>
          <w:sz w:val="32"/>
          <w:szCs w:val="32"/>
          <w:highlight w:val="none"/>
        </w:rPr>
      </w:pPr>
      <w:r>
        <w:rPr>
          <w:rFonts w:hint="eastAsia" w:ascii="黑体" w:hAnsi="黑体" w:eastAsia="黑体" w:cs="黑体"/>
          <w:color w:val="auto"/>
          <w:sz w:val="32"/>
          <w:szCs w:val="32"/>
          <w:highlight w:val="none"/>
        </w:rPr>
        <w:t>十一、绩效自评结果拟应用和公开情况</w:t>
      </w:r>
    </w:p>
    <w:p>
      <w:pPr>
        <w:pStyle w:val="18"/>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2022年度部门整体支出绩效自评得分为99.</w:t>
      </w:r>
      <w:r>
        <w:rPr>
          <w:rFonts w:hint="eastAsia" w:ascii="Times New Roman" w:hAnsi="Times New Roman" w:eastAsia="仿宋_GB2312" w:cs="仿宋_GB2312"/>
          <w:color w:val="auto"/>
          <w:sz w:val="32"/>
          <w:szCs w:val="32"/>
          <w:highlight w:val="none"/>
          <w:lang w:val="en-US" w:eastAsia="zh-CN"/>
        </w:rPr>
        <w:t>40</w:t>
      </w:r>
      <w:r>
        <w:rPr>
          <w:rFonts w:hint="eastAsia" w:ascii="Times New Roman" w:hAnsi="Times New Roman" w:eastAsia="仿宋_GB2312" w:cs="仿宋_GB2312"/>
          <w:color w:val="auto"/>
          <w:sz w:val="32"/>
          <w:szCs w:val="32"/>
          <w:highlight w:val="none"/>
        </w:rPr>
        <w:t>分，等级为“优”。</w:t>
      </w:r>
      <w:r>
        <w:rPr>
          <w:rFonts w:hint="eastAsia" w:ascii="Times New Roman" w:hAnsi="Times New Roman" w:eastAsia="仿宋_GB2312" w:cs="仿宋_GB2312"/>
          <w:color w:val="auto"/>
          <w:sz w:val="32"/>
          <w:szCs w:val="32"/>
          <w:highlight w:val="none"/>
          <w:lang w:eastAsia="zh-CN"/>
        </w:rPr>
        <w:t>本局</w:t>
      </w:r>
      <w:r>
        <w:rPr>
          <w:rFonts w:hint="eastAsia" w:ascii="Times New Roman" w:hAnsi="Times New Roman" w:eastAsia="仿宋_GB2312" w:cs="仿宋_GB2312"/>
          <w:color w:val="auto"/>
          <w:sz w:val="32"/>
          <w:szCs w:val="32"/>
          <w:highlight w:val="none"/>
        </w:rPr>
        <w:t>将及时反馈评价结果至各业务科室</w:t>
      </w:r>
      <w:r>
        <w:rPr>
          <w:rFonts w:hint="eastAsia" w:ascii="Times New Roman" w:hAnsi="Times New Roman" w:eastAsia="仿宋_GB2312" w:cs="仿宋_GB2312"/>
          <w:color w:val="auto"/>
          <w:sz w:val="32"/>
          <w:szCs w:val="32"/>
          <w:highlight w:val="none"/>
          <w:lang w:val="en-US" w:eastAsia="zh-CN"/>
        </w:rPr>
        <w:t>及相关单位</w:t>
      </w:r>
      <w:r>
        <w:rPr>
          <w:rFonts w:hint="eastAsia" w:ascii="Times New Roman" w:hAnsi="Times New Roman" w:eastAsia="仿宋_GB2312" w:cs="仿宋_GB2312"/>
          <w:color w:val="auto"/>
          <w:sz w:val="32"/>
          <w:szCs w:val="32"/>
          <w:highlight w:val="none"/>
        </w:rPr>
        <w:t>，将绩效自评结果作为本部门完善相关政策和改进管理方法的重要依据，督促其就绩效自评中发现的问题制定切实可行的整改措施并落实到位。</w:t>
      </w:r>
    </w:p>
    <w:p>
      <w:pPr>
        <w:pStyle w:val="18"/>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2022年度部门整体支出绩效自评报告按要求对外公开，接受社会公众监督。</w:t>
      </w:r>
    </w:p>
    <w:p>
      <w:pPr>
        <w:pStyle w:val="18"/>
        <w:rPr>
          <w:rFonts w:ascii="Times New Roman" w:hAnsi="Times New Roman" w:eastAsia="仿宋_GB2312"/>
          <w:color w:val="auto"/>
          <w:highlight w:val="yellow"/>
        </w:rPr>
      </w:pPr>
    </w:p>
    <w:p>
      <w:pPr>
        <w:pStyle w:val="18"/>
        <w:rPr>
          <w:rFonts w:ascii="Times New Roman" w:hAnsi="Times New Roman" w:eastAsia="仿宋_GB2312"/>
          <w:color w:val="auto"/>
          <w:sz w:val="32"/>
          <w:szCs w:val="32"/>
          <w:highlight w:val="yellow"/>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7"/>
                          </w:pPr>
                          <w:r>
                            <w:rPr>
                              <w:rFonts w:hint="default" w:ascii="Times New Roman" w:hAnsi="Times New Roman" w:cs="Times New Roman" w:eastAsiaTheme="majorEastAsia"/>
                              <w:sz w:val="18"/>
                              <w:szCs w:val="18"/>
                            </w:rPr>
                            <w:fldChar w:fldCharType="begin"/>
                          </w:r>
                          <w:r>
                            <w:rPr>
                              <w:rFonts w:hint="default" w:ascii="Times New Roman" w:hAnsi="Times New Roman" w:cs="Times New Roman" w:eastAsiaTheme="majorEastAsia"/>
                              <w:sz w:val="18"/>
                              <w:szCs w:val="18"/>
                            </w:rPr>
                            <w:instrText xml:space="preserve"> PAGE  \* MERGEFORMAT </w:instrText>
                          </w:r>
                          <w:r>
                            <w:rPr>
                              <w:rFonts w:hint="default" w:ascii="Times New Roman" w:hAnsi="Times New Roman" w:cs="Times New Roman" w:eastAsiaTheme="majorEastAsia"/>
                              <w:sz w:val="18"/>
                              <w:szCs w:val="18"/>
                            </w:rPr>
                            <w:fldChar w:fldCharType="separate"/>
                          </w:r>
                          <w:r>
                            <w:rPr>
                              <w:rFonts w:hint="default" w:ascii="Times New Roman" w:hAnsi="Times New Roman" w:cs="Times New Roman" w:eastAsiaTheme="majorEastAsia"/>
                              <w:sz w:val="18"/>
                              <w:szCs w:val="18"/>
                            </w:rPr>
                            <w:t>- 1 -</w:t>
                          </w:r>
                          <w:r>
                            <w:rPr>
                              <w:rFonts w:hint="default" w:ascii="Times New Roman" w:hAnsi="Times New Roman" w:cs="Times New Roman" w:eastAsiaTheme="majorEastAsia"/>
                              <w:sz w:val="18"/>
                              <w:szCs w:val="18"/>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l5uc8AAAAFAQAA&#10;DwAAAAAAAAABACAAAAAiAAAAZHJzL2Rvd25yZXYueG1sUEsBAhQAFAAAAAgAh07iQOTkxY7pAQAA&#10;ygMAAA4AAAAAAAAAAQAgAAAAHgEAAGRycy9lMm9Eb2MueG1sUEsFBgAAAAAGAAYAWQEAAHkFAAAA&#10;AA==&#10;">
              <v:fill on="f" focussize="0,0"/>
              <v:stroke on="f"/>
              <v:imagedata o:title=""/>
              <o:lock v:ext="edit" aspectratio="f"/>
              <v:textbox inset="0mm,0mm,0mm,0mm" style="mso-fit-shape-to-text:t;">
                <w:txbxContent>
                  <w:p>
                    <w:pPr>
                      <w:pStyle w:val="7"/>
                    </w:pPr>
                    <w:r>
                      <w:rPr>
                        <w:rFonts w:hint="default" w:ascii="Times New Roman" w:hAnsi="Times New Roman" w:cs="Times New Roman" w:eastAsiaTheme="majorEastAsia"/>
                        <w:sz w:val="18"/>
                        <w:szCs w:val="18"/>
                      </w:rPr>
                      <w:fldChar w:fldCharType="begin"/>
                    </w:r>
                    <w:r>
                      <w:rPr>
                        <w:rFonts w:hint="default" w:ascii="Times New Roman" w:hAnsi="Times New Roman" w:cs="Times New Roman" w:eastAsiaTheme="majorEastAsia"/>
                        <w:sz w:val="18"/>
                        <w:szCs w:val="18"/>
                      </w:rPr>
                      <w:instrText xml:space="preserve"> PAGE  \* MERGEFORMAT </w:instrText>
                    </w:r>
                    <w:r>
                      <w:rPr>
                        <w:rFonts w:hint="default" w:ascii="Times New Roman" w:hAnsi="Times New Roman" w:cs="Times New Roman" w:eastAsiaTheme="majorEastAsia"/>
                        <w:sz w:val="18"/>
                        <w:szCs w:val="18"/>
                      </w:rPr>
                      <w:fldChar w:fldCharType="separate"/>
                    </w:r>
                    <w:r>
                      <w:rPr>
                        <w:rFonts w:hint="default" w:ascii="Times New Roman" w:hAnsi="Times New Roman" w:cs="Times New Roman" w:eastAsiaTheme="majorEastAsia"/>
                        <w:sz w:val="18"/>
                        <w:szCs w:val="18"/>
                      </w:rPr>
                      <w:t>- 1 -</w:t>
                    </w:r>
                    <w:r>
                      <w:rPr>
                        <w:rFonts w:hint="default" w:ascii="Times New Roman" w:hAnsi="Times New Roman" w:cs="Times New Roman" w:eastAsiaTheme="majorEastAsia"/>
                        <w:sz w:val="18"/>
                        <w:szCs w:val="18"/>
                      </w:rPr>
                      <w:fldChar w:fldCharType="end"/>
                    </w:r>
                  </w:p>
                </w:txbxContent>
              </v:textbox>
            </v:shape>
          </w:pict>
        </mc:Fallback>
      </mc:AlternateContent>
    </w:r>
    <w:r>
      <w:rPr>
        <w:lang w:val="e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9997"/>
    <w:multiLevelType w:val="singleLevel"/>
    <w:tmpl w:val="BEC39997"/>
    <w:lvl w:ilvl="0" w:tentative="0">
      <w:start w:val="1"/>
      <w:numFmt w:val="chineseCounting"/>
      <w:suff w:val="nothing"/>
      <w:lvlText w:val="（%1）"/>
      <w:lvlJc w:val="left"/>
      <w:rPr>
        <w:rFonts w:hint="eastAsia"/>
      </w:rPr>
    </w:lvl>
  </w:abstractNum>
  <w:abstractNum w:abstractNumId="1">
    <w:nsid w:val="1D54F68A"/>
    <w:multiLevelType w:val="singleLevel"/>
    <w:tmpl w:val="1D54F68A"/>
    <w:lvl w:ilvl="0" w:tentative="0">
      <w:start w:val="14"/>
      <w:numFmt w:val="decimal"/>
      <w:suff w:val="nothing"/>
      <w:lvlText w:val="（%1）"/>
      <w:lvlJc w:val="left"/>
    </w:lvl>
  </w:abstractNum>
  <w:abstractNum w:abstractNumId="2">
    <w:nsid w:val="48CB3078"/>
    <w:multiLevelType w:val="singleLevel"/>
    <w:tmpl w:val="48CB307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M2Y4NThjZDAxNzk2NDc1ZmQxNGUyNjczNzNhMGMifQ=="/>
  </w:docVars>
  <w:rsids>
    <w:rsidRoot w:val="36253A27"/>
    <w:rsid w:val="00006E88"/>
    <w:rsid w:val="00044EF2"/>
    <w:rsid w:val="000465B3"/>
    <w:rsid w:val="000F602E"/>
    <w:rsid w:val="00107BE9"/>
    <w:rsid w:val="0011066E"/>
    <w:rsid w:val="00124833"/>
    <w:rsid w:val="001378C9"/>
    <w:rsid w:val="00155634"/>
    <w:rsid w:val="0018114E"/>
    <w:rsid w:val="00196C23"/>
    <w:rsid w:val="001A64DB"/>
    <w:rsid w:val="001B1507"/>
    <w:rsid w:val="001D7F01"/>
    <w:rsid w:val="001F125F"/>
    <w:rsid w:val="00200B08"/>
    <w:rsid w:val="00202C45"/>
    <w:rsid w:val="00215A68"/>
    <w:rsid w:val="00251F55"/>
    <w:rsid w:val="002A103A"/>
    <w:rsid w:val="002A5E1B"/>
    <w:rsid w:val="002C7B73"/>
    <w:rsid w:val="002D71D8"/>
    <w:rsid w:val="002F2FCB"/>
    <w:rsid w:val="00320AB2"/>
    <w:rsid w:val="00357089"/>
    <w:rsid w:val="003937D1"/>
    <w:rsid w:val="003A0CCE"/>
    <w:rsid w:val="003B17A3"/>
    <w:rsid w:val="00451E97"/>
    <w:rsid w:val="0048283F"/>
    <w:rsid w:val="00483479"/>
    <w:rsid w:val="004953DC"/>
    <w:rsid w:val="00495453"/>
    <w:rsid w:val="00496EAC"/>
    <w:rsid w:val="004A5662"/>
    <w:rsid w:val="004C6B7D"/>
    <w:rsid w:val="004F0772"/>
    <w:rsid w:val="004F538C"/>
    <w:rsid w:val="005055DC"/>
    <w:rsid w:val="00507F34"/>
    <w:rsid w:val="00583409"/>
    <w:rsid w:val="00590633"/>
    <w:rsid w:val="00596442"/>
    <w:rsid w:val="0059759F"/>
    <w:rsid w:val="00597C9B"/>
    <w:rsid w:val="005B6DCF"/>
    <w:rsid w:val="005D3480"/>
    <w:rsid w:val="006056BD"/>
    <w:rsid w:val="00613723"/>
    <w:rsid w:val="00615501"/>
    <w:rsid w:val="00624927"/>
    <w:rsid w:val="00634E03"/>
    <w:rsid w:val="00635F06"/>
    <w:rsid w:val="006433CF"/>
    <w:rsid w:val="00654BAB"/>
    <w:rsid w:val="0065613C"/>
    <w:rsid w:val="00673039"/>
    <w:rsid w:val="006A53B3"/>
    <w:rsid w:val="006A67C2"/>
    <w:rsid w:val="006B1CDB"/>
    <w:rsid w:val="006C5727"/>
    <w:rsid w:val="006D38DC"/>
    <w:rsid w:val="006E28D6"/>
    <w:rsid w:val="00700F7A"/>
    <w:rsid w:val="007049F0"/>
    <w:rsid w:val="00705D8D"/>
    <w:rsid w:val="00710D7F"/>
    <w:rsid w:val="00717140"/>
    <w:rsid w:val="00731F61"/>
    <w:rsid w:val="00744B46"/>
    <w:rsid w:val="00765F56"/>
    <w:rsid w:val="00771EE3"/>
    <w:rsid w:val="00775B45"/>
    <w:rsid w:val="00790F42"/>
    <w:rsid w:val="007C3311"/>
    <w:rsid w:val="007D14A9"/>
    <w:rsid w:val="007E43A0"/>
    <w:rsid w:val="007F1DE0"/>
    <w:rsid w:val="007F4693"/>
    <w:rsid w:val="00814D19"/>
    <w:rsid w:val="008608B5"/>
    <w:rsid w:val="008C3151"/>
    <w:rsid w:val="008D482A"/>
    <w:rsid w:val="009119C3"/>
    <w:rsid w:val="009256D9"/>
    <w:rsid w:val="00952A9B"/>
    <w:rsid w:val="00971126"/>
    <w:rsid w:val="009729EB"/>
    <w:rsid w:val="00982D02"/>
    <w:rsid w:val="009D4098"/>
    <w:rsid w:val="009E07D1"/>
    <w:rsid w:val="009E33EF"/>
    <w:rsid w:val="009F2009"/>
    <w:rsid w:val="009F23E4"/>
    <w:rsid w:val="009F5353"/>
    <w:rsid w:val="00A52C52"/>
    <w:rsid w:val="00A62CCB"/>
    <w:rsid w:val="00AA079F"/>
    <w:rsid w:val="00B07F68"/>
    <w:rsid w:val="00B2778F"/>
    <w:rsid w:val="00B65ECD"/>
    <w:rsid w:val="00BF0911"/>
    <w:rsid w:val="00BF6C6F"/>
    <w:rsid w:val="00C00A70"/>
    <w:rsid w:val="00C021C6"/>
    <w:rsid w:val="00C052D3"/>
    <w:rsid w:val="00C4162F"/>
    <w:rsid w:val="00C6472F"/>
    <w:rsid w:val="00C67F75"/>
    <w:rsid w:val="00C721F3"/>
    <w:rsid w:val="00C818DE"/>
    <w:rsid w:val="00CB07E0"/>
    <w:rsid w:val="00CC724B"/>
    <w:rsid w:val="00CE553F"/>
    <w:rsid w:val="00D1038C"/>
    <w:rsid w:val="00D124BE"/>
    <w:rsid w:val="00D4314F"/>
    <w:rsid w:val="00D513DA"/>
    <w:rsid w:val="00D71AC9"/>
    <w:rsid w:val="00D76C76"/>
    <w:rsid w:val="00D91C73"/>
    <w:rsid w:val="00DA49C8"/>
    <w:rsid w:val="00DB600B"/>
    <w:rsid w:val="00DD2E31"/>
    <w:rsid w:val="00DD6FC6"/>
    <w:rsid w:val="00DF240B"/>
    <w:rsid w:val="00E02EE8"/>
    <w:rsid w:val="00E310D1"/>
    <w:rsid w:val="00E45238"/>
    <w:rsid w:val="00E75EC0"/>
    <w:rsid w:val="00E858B7"/>
    <w:rsid w:val="00E9066D"/>
    <w:rsid w:val="00EA5857"/>
    <w:rsid w:val="00EC1170"/>
    <w:rsid w:val="00F0280D"/>
    <w:rsid w:val="00F30582"/>
    <w:rsid w:val="00F3394E"/>
    <w:rsid w:val="00F83926"/>
    <w:rsid w:val="00F911CC"/>
    <w:rsid w:val="00F938F2"/>
    <w:rsid w:val="00FA35BC"/>
    <w:rsid w:val="02261D24"/>
    <w:rsid w:val="02BC467E"/>
    <w:rsid w:val="02C10E79"/>
    <w:rsid w:val="038E67AE"/>
    <w:rsid w:val="040776AF"/>
    <w:rsid w:val="043E3E03"/>
    <w:rsid w:val="04FE00C1"/>
    <w:rsid w:val="054D5763"/>
    <w:rsid w:val="062F4DA6"/>
    <w:rsid w:val="06F46C00"/>
    <w:rsid w:val="07341EE7"/>
    <w:rsid w:val="07BB67DE"/>
    <w:rsid w:val="0A51233F"/>
    <w:rsid w:val="0A7F0914"/>
    <w:rsid w:val="0B4D25E1"/>
    <w:rsid w:val="0BA852CC"/>
    <w:rsid w:val="0BDA376B"/>
    <w:rsid w:val="0BF56037"/>
    <w:rsid w:val="0C5D60B6"/>
    <w:rsid w:val="0C644F12"/>
    <w:rsid w:val="0CA02447"/>
    <w:rsid w:val="0DA056DB"/>
    <w:rsid w:val="0DFF4F4B"/>
    <w:rsid w:val="0E5057A7"/>
    <w:rsid w:val="0F2C10BC"/>
    <w:rsid w:val="0F334EAC"/>
    <w:rsid w:val="0F6557B0"/>
    <w:rsid w:val="108005C5"/>
    <w:rsid w:val="109202F8"/>
    <w:rsid w:val="10BA72EA"/>
    <w:rsid w:val="11DB5737"/>
    <w:rsid w:val="15123014"/>
    <w:rsid w:val="15A6541F"/>
    <w:rsid w:val="164C1989"/>
    <w:rsid w:val="17761548"/>
    <w:rsid w:val="17CEFF93"/>
    <w:rsid w:val="185E3EBD"/>
    <w:rsid w:val="18A92683"/>
    <w:rsid w:val="18EA6F23"/>
    <w:rsid w:val="19017DC9"/>
    <w:rsid w:val="19875614"/>
    <w:rsid w:val="1A7017D6"/>
    <w:rsid w:val="1AF8344E"/>
    <w:rsid w:val="1B33C621"/>
    <w:rsid w:val="1B8308A5"/>
    <w:rsid w:val="1C580648"/>
    <w:rsid w:val="1CB82E95"/>
    <w:rsid w:val="1CFD2F9D"/>
    <w:rsid w:val="1D122269"/>
    <w:rsid w:val="1D720D85"/>
    <w:rsid w:val="1DD20A0F"/>
    <w:rsid w:val="1DEF28E6"/>
    <w:rsid w:val="1E155500"/>
    <w:rsid w:val="1E83385A"/>
    <w:rsid w:val="200A1C59"/>
    <w:rsid w:val="20F93ABC"/>
    <w:rsid w:val="220D1F62"/>
    <w:rsid w:val="228B1A4F"/>
    <w:rsid w:val="243355EF"/>
    <w:rsid w:val="24362564"/>
    <w:rsid w:val="24773635"/>
    <w:rsid w:val="248875F1"/>
    <w:rsid w:val="24F904EE"/>
    <w:rsid w:val="24FC5B31"/>
    <w:rsid w:val="25050C41"/>
    <w:rsid w:val="26063F40"/>
    <w:rsid w:val="2634778C"/>
    <w:rsid w:val="266100F9"/>
    <w:rsid w:val="27427F2B"/>
    <w:rsid w:val="277F2F2D"/>
    <w:rsid w:val="284C20CD"/>
    <w:rsid w:val="2C277250"/>
    <w:rsid w:val="2EC16415"/>
    <w:rsid w:val="2EEC8E48"/>
    <w:rsid w:val="2FAF6054"/>
    <w:rsid w:val="2FFE0389"/>
    <w:rsid w:val="300761B5"/>
    <w:rsid w:val="30292554"/>
    <w:rsid w:val="30A60E57"/>
    <w:rsid w:val="32F02F31"/>
    <w:rsid w:val="33866C2E"/>
    <w:rsid w:val="34273F32"/>
    <w:rsid w:val="34442D0A"/>
    <w:rsid w:val="350E2E6C"/>
    <w:rsid w:val="357A2F85"/>
    <w:rsid w:val="36253A27"/>
    <w:rsid w:val="36511242"/>
    <w:rsid w:val="36B46CC0"/>
    <w:rsid w:val="37E30662"/>
    <w:rsid w:val="382471D8"/>
    <w:rsid w:val="393C2517"/>
    <w:rsid w:val="39427283"/>
    <w:rsid w:val="39696AB6"/>
    <w:rsid w:val="39AE0D98"/>
    <w:rsid w:val="3B194FEF"/>
    <w:rsid w:val="3B37129C"/>
    <w:rsid w:val="3B6F0B3A"/>
    <w:rsid w:val="3BB043B7"/>
    <w:rsid w:val="3BBC041B"/>
    <w:rsid w:val="3BEC8FDE"/>
    <w:rsid w:val="3C111E9E"/>
    <w:rsid w:val="3D5203F3"/>
    <w:rsid w:val="3D90570D"/>
    <w:rsid w:val="3DF633C5"/>
    <w:rsid w:val="3E6F0217"/>
    <w:rsid w:val="3EF871CA"/>
    <w:rsid w:val="3F3FCAFB"/>
    <w:rsid w:val="3F9DDB89"/>
    <w:rsid w:val="3FE61943"/>
    <w:rsid w:val="3FFF4D6F"/>
    <w:rsid w:val="40664832"/>
    <w:rsid w:val="4084618C"/>
    <w:rsid w:val="41E40104"/>
    <w:rsid w:val="429F402B"/>
    <w:rsid w:val="42ED4D97"/>
    <w:rsid w:val="431603B6"/>
    <w:rsid w:val="46297AC0"/>
    <w:rsid w:val="46492C2C"/>
    <w:rsid w:val="46696E2A"/>
    <w:rsid w:val="46995D15"/>
    <w:rsid w:val="46C30964"/>
    <w:rsid w:val="48406109"/>
    <w:rsid w:val="487815A6"/>
    <w:rsid w:val="49B26D3A"/>
    <w:rsid w:val="4A3D2AA8"/>
    <w:rsid w:val="4CA706AC"/>
    <w:rsid w:val="4CF57C60"/>
    <w:rsid w:val="4CFB27A6"/>
    <w:rsid w:val="4D076A36"/>
    <w:rsid w:val="4D495AC4"/>
    <w:rsid w:val="4DF47A18"/>
    <w:rsid w:val="4E7B59FA"/>
    <w:rsid w:val="4E822C3B"/>
    <w:rsid w:val="4E9764FE"/>
    <w:rsid w:val="4EF57354"/>
    <w:rsid w:val="4EFE3948"/>
    <w:rsid w:val="4F6A7C90"/>
    <w:rsid w:val="4FD73C5F"/>
    <w:rsid w:val="4FF58961"/>
    <w:rsid w:val="50C12B23"/>
    <w:rsid w:val="50F43794"/>
    <w:rsid w:val="517D19DC"/>
    <w:rsid w:val="53FF9439"/>
    <w:rsid w:val="542E3461"/>
    <w:rsid w:val="54556E94"/>
    <w:rsid w:val="56C43C09"/>
    <w:rsid w:val="5747168F"/>
    <w:rsid w:val="5A6D5C19"/>
    <w:rsid w:val="5AA04204"/>
    <w:rsid w:val="5AB05780"/>
    <w:rsid w:val="5AB7DFDC"/>
    <w:rsid w:val="5AC715D3"/>
    <w:rsid w:val="5B443CA0"/>
    <w:rsid w:val="5B4F0511"/>
    <w:rsid w:val="5BD13050"/>
    <w:rsid w:val="5BDE3214"/>
    <w:rsid w:val="5BFFCD7B"/>
    <w:rsid w:val="5C074CC3"/>
    <w:rsid w:val="5C4F4AE8"/>
    <w:rsid w:val="5D626240"/>
    <w:rsid w:val="5D6BEC94"/>
    <w:rsid w:val="5D6F737D"/>
    <w:rsid w:val="5DDF68AD"/>
    <w:rsid w:val="5DF70C29"/>
    <w:rsid w:val="5E1D07CE"/>
    <w:rsid w:val="5ED77241"/>
    <w:rsid w:val="5EFFE739"/>
    <w:rsid w:val="5F013E12"/>
    <w:rsid w:val="5FEF36A2"/>
    <w:rsid w:val="609323F2"/>
    <w:rsid w:val="60CE7DCE"/>
    <w:rsid w:val="6173380D"/>
    <w:rsid w:val="61B01959"/>
    <w:rsid w:val="623B7475"/>
    <w:rsid w:val="62BC07CB"/>
    <w:rsid w:val="632F1819"/>
    <w:rsid w:val="634774D4"/>
    <w:rsid w:val="63785818"/>
    <w:rsid w:val="64574467"/>
    <w:rsid w:val="649966D5"/>
    <w:rsid w:val="64F16511"/>
    <w:rsid w:val="6549160D"/>
    <w:rsid w:val="65E77495"/>
    <w:rsid w:val="661D2C52"/>
    <w:rsid w:val="66FF9CD1"/>
    <w:rsid w:val="67F7BB5D"/>
    <w:rsid w:val="690622C7"/>
    <w:rsid w:val="69B26A8F"/>
    <w:rsid w:val="6A18009C"/>
    <w:rsid w:val="6A9D7623"/>
    <w:rsid w:val="6AC65D4A"/>
    <w:rsid w:val="6B422F39"/>
    <w:rsid w:val="6B5B52EC"/>
    <w:rsid w:val="6BFF68D3"/>
    <w:rsid w:val="6C45023F"/>
    <w:rsid w:val="6CB50E20"/>
    <w:rsid w:val="6CF54EE0"/>
    <w:rsid w:val="6D420489"/>
    <w:rsid w:val="6EBF7256"/>
    <w:rsid w:val="6F7B05F4"/>
    <w:rsid w:val="6F9DF01A"/>
    <w:rsid w:val="6FB800D2"/>
    <w:rsid w:val="6FC860C0"/>
    <w:rsid w:val="6FCFDB17"/>
    <w:rsid w:val="6FDE27E6"/>
    <w:rsid w:val="6FFF3E6D"/>
    <w:rsid w:val="70E77EE3"/>
    <w:rsid w:val="71C15DB3"/>
    <w:rsid w:val="71DB657E"/>
    <w:rsid w:val="71E511AB"/>
    <w:rsid w:val="721B4BCD"/>
    <w:rsid w:val="73261A7B"/>
    <w:rsid w:val="737BDF4D"/>
    <w:rsid w:val="73863175"/>
    <w:rsid w:val="73F33F1C"/>
    <w:rsid w:val="749C203E"/>
    <w:rsid w:val="752C2225"/>
    <w:rsid w:val="758A0796"/>
    <w:rsid w:val="76583DD7"/>
    <w:rsid w:val="76F77801"/>
    <w:rsid w:val="77DE2A13"/>
    <w:rsid w:val="77F326B2"/>
    <w:rsid w:val="77F426F3"/>
    <w:rsid w:val="79ED36B6"/>
    <w:rsid w:val="7BBFF338"/>
    <w:rsid w:val="7BF64EB4"/>
    <w:rsid w:val="7BF76402"/>
    <w:rsid w:val="7DC97132"/>
    <w:rsid w:val="7E78BE84"/>
    <w:rsid w:val="7ED03FC3"/>
    <w:rsid w:val="7EDB69D6"/>
    <w:rsid w:val="7F7B5C3E"/>
    <w:rsid w:val="7F9FB2B8"/>
    <w:rsid w:val="7FAB299A"/>
    <w:rsid w:val="7FBEAE59"/>
    <w:rsid w:val="7FED4DC6"/>
    <w:rsid w:val="93F50F34"/>
    <w:rsid w:val="97622C84"/>
    <w:rsid w:val="97FE8B61"/>
    <w:rsid w:val="9BEF7AE6"/>
    <w:rsid w:val="AFFF4181"/>
    <w:rsid w:val="B7736CBE"/>
    <w:rsid w:val="B7DF6580"/>
    <w:rsid w:val="B97DA971"/>
    <w:rsid w:val="B9FFA569"/>
    <w:rsid w:val="BCFF4229"/>
    <w:rsid w:val="BEEA6AC1"/>
    <w:rsid w:val="BF1FE496"/>
    <w:rsid w:val="BFB6E1B2"/>
    <w:rsid w:val="BFED6CC7"/>
    <w:rsid w:val="BFFF4BA6"/>
    <w:rsid w:val="C4EE1722"/>
    <w:rsid w:val="CB3E0AFA"/>
    <w:rsid w:val="CFF187D7"/>
    <w:rsid w:val="D6D95BA9"/>
    <w:rsid w:val="D7F7074D"/>
    <w:rsid w:val="DFDE447A"/>
    <w:rsid w:val="DFF5648E"/>
    <w:rsid w:val="E6FF2D6D"/>
    <w:rsid w:val="E7D3A8BF"/>
    <w:rsid w:val="EBFF3755"/>
    <w:rsid w:val="ED6FAF1E"/>
    <w:rsid w:val="EF3DE992"/>
    <w:rsid w:val="EF6FE380"/>
    <w:rsid w:val="EFFEF514"/>
    <w:rsid w:val="EFFFF03A"/>
    <w:rsid w:val="F2E7E82D"/>
    <w:rsid w:val="F4EE3F11"/>
    <w:rsid w:val="F537D980"/>
    <w:rsid w:val="F6DF0E6C"/>
    <w:rsid w:val="F7639167"/>
    <w:rsid w:val="F7C51163"/>
    <w:rsid w:val="F7F733A4"/>
    <w:rsid w:val="F8CF9220"/>
    <w:rsid w:val="F9E5CF32"/>
    <w:rsid w:val="FB6E4F98"/>
    <w:rsid w:val="FB99EA00"/>
    <w:rsid w:val="FBB7CB21"/>
    <w:rsid w:val="FCE6BD3C"/>
    <w:rsid w:val="FCFFBDB9"/>
    <w:rsid w:val="FD1219C8"/>
    <w:rsid w:val="FD555F00"/>
    <w:rsid w:val="FDCFFB01"/>
    <w:rsid w:val="FDEF471F"/>
    <w:rsid w:val="FDF751EC"/>
    <w:rsid w:val="FEDEBA4C"/>
    <w:rsid w:val="FEFDF62E"/>
    <w:rsid w:val="FF2E5D2E"/>
    <w:rsid w:val="FFFBED8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qFormat="1" w:unhideWhenUsed="0" w:uiPriority="9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unhideWhenUsed/>
    <w:qFormat/>
    <w:locked/>
    <w:uiPriority w:val="0"/>
    <w:pPr>
      <w:keepNext/>
      <w:keepLines/>
      <w:spacing w:before="280" w:after="290" w:line="376" w:lineRule="auto"/>
      <w:outlineLvl w:val="3"/>
    </w:pPr>
    <w:rPr>
      <w:rFonts w:ascii="Calibri Light" w:hAnsi="Calibri Light"/>
      <w:b/>
      <w:bCs/>
      <w:sz w:val="28"/>
      <w:szCs w:val="28"/>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link w:val="19"/>
    <w:qFormat/>
    <w:uiPriority w:val="99"/>
    <w:pPr>
      <w:spacing w:after="120"/>
    </w:pPr>
    <w:rPr>
      <w:rFonts w:eastAsia="华文仿宋"/>
      <w:sz w:val="30"/>
      <w:szCs w:val="30"/>
    </w:rPr>
  </w:style>
  <w:style w:type="paragraph" w:styleId="5">
    <w:name w:val="toc 5"/>
    <w:basedOn w:val="1"/>
    <w:next w:val="1"/>
    <w:semiHidden/>
    <w:qFormat/>
    <w:uiPriority w:val="99"/>
    <w:pPr>
      <w:ind w:firstLine="643" w:firstLineChars="200"/>
    </w:pPr>
    <w:rPr>
      <w:rFonts w:ascii="仿宋" w:hAnsi="仿宋" w:eastAsia="仿宋" w:cs="仿宋"/>
      <w:b/>
      <w:bCs/>
    </w:rPr>
  </w:style>
  <w:style w:type="paragraph" w:styleId="6">
    <w:name w:val="Body Text Indent"/>
    <w:basedOn w:val="1"/>
    <w:next w:val="1"/>
    <w:unhideWhenUsed/>
    <w:qFormat/>
    <w:uiPriority w:val="99"/>
    <w:pPr>
      <w:spacing w:after="120"/>
      <w:ind w:left="420" w:leftChars="200"/>
    </w:p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toc 1"/>
    <w:basedOn w:val="1"/>
    <w:next w:val="1"/>
    <w:unhideWhenUsed/>
    <w:qFormat/>
    <w:uiPriority w:val="0"/>
    <w:pPr>
      <w:outlineLvl w:val="2"/>
    </w:pPr>
    <w:rPr>
      <w:b/>
    </w:rPr>
  </w:style>
  <w:style w:type="paragraph" w:styleId="10">
    <w:name w:val="footnote text"/>
    <w:basedOn w:val="1"/>
    <w:semiHidden/>
    <w:qFormat/>
    <w:uiPriority w:val="0"/>
    <w:pPr>
      <w:snapToGrid w:val="0"/>
      <w:jc w:val="left"/>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6"/>
    <w:next w:val="1"/>
    <w:unhideWhenUsed/>
    <w:qFormat/>
    <w:uiPriority w:val="99"/>
    <w:pPr>
      <w:ind w:left="0" w:leftChars="0" w:firstLine="420"/>
    </w:pPr>
  </w:style>
  <w:style w:type="character" w:styleId="15">
    <w:name w:val="Strong"/>
    <w:basedOn w:val="14"/>
    <w:qFormat/>
    <w:locked/>
    <w:uiPriority w:val="0"/>
    <w:rPr>
      <w:b/>
    </w:rPr>
  </w:style>
  <w:style w:type="paragraph" w:customStyle="1" w:styleId="16">
    <w:name w:val="BodyText1I2"/>
    <w:basedOn w:val="17"/>
    <w:next w:val="1"/>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7">
    <w:name w:val="BodyTextIndent"/>
    <w:qFormat/>
    <w:uiPriority w:val="0"/>
    <w:pPr>
      <w:widowControl w:val="0"/>
      <w:spacing w:after="120"/>
      <w:ind w:left="420" w:leftChars="200"/>
      <w:jc w:val="both"/>
      <w:textAlignment w:val="baseline"/>
    </w:pPr>
    <w:rPr>
      <w:rFonts w:ascii="Times New Roman" w:hAnsi="Times New Roman" w:eastAsia="宋体" w:cs="Times New Roman"/>
      <w:kern w:val="2"/>
      <w:sz w:val="21"/>
      <w:szCs w:val="24"/>
      <w:lang w:val="en-US" w:eastAsia="zh-CN" w:bidi="ar-SA"/>
    </w:rPr>
  </w:style>
  <w:style w:type="paragraph" w:customStyle="1" w:styleId="18">
    <w:name w:val="正文文本1"/>
    <w:basedOn w:val="1"/>
    <w:qFormat/>
    <w:uiPriority w:val="99"/>
  </w:style>
  <w:style w:type="character" w:customStyle="1" w:styleId="19">
    <w:name w:val="Body Text Char"/>
    <w:basedOn w:val="14"/>
    <w:link w:val="4"/>
    <w:qFormat/>
    <w:locked/>
    <w:uiPriority w:val="99"/>
    <w:rPr>
      <w:rFonts w:ascii="Calibri" w:hAnsi="Calibri" w:eastAsia="华文仿宋" w:cs="Calibri"/>
      <w:kern w:val="2"/>
      <w:sz w:val="24"/>
      <w:szCs w:val="24"/>
    </w:rPr>
  </w:style>
  <w:style w:type="character" w:customStyle="1" w:styleId="20">
    <w:name w:val="Footer Char"/>
    <w:basedOn w:val="14"/>
    <w:link w:val="7"/>
    <w:semiHidden/>
    <w:qFormat/>
    <w:uiPriority w:val="99"/>
    <w:rPr>
      <w:rFonts w:ascii="Calibri" w:hAnsi="Calibri" w:cs="Calibri"/>
      <w:sz w:val="18"/>
      <w:szCs w:val="18"/>
    </w:rPr>
  </w:style>
  <w:style w:type="character" w:customStyle="1" w:styleId="21">
    <w:name w:val="Header Char"/>
    <w:basedOn w:val="14"/>
    <w:link w:val="8"/>
    <w:semiHidden/>
    <w:qFormat/>
    <w:uiPriority w:val="99"/>
    <w:rPr>
      <w:rFonts w:ascii="Calibri" w:hAnsi="Calibri" w:cs="Calibri"/>
      <w:sz w:val="18"/>
      <w:szCs w:val="18"/>
    </w:rPr>
  </w:style>
  <w:style w:type="paragraph" w:customStyle="1" w:styleId="22">
    <w:name w:val="标题2"/>
    <w:basedOn w:val="1"/>
    <w:qFormat/>
    <w:uiPriority w:val="99"/>
    <w:pPr>
      <w:spacing w:line="560" w:lineRule="exact"/>
      <w:ind w:firstLine="200" w:firstLineChars="200"/>
    </w:pPr>
    <w:rPr>
      <w:rFonts w:ascii="楷体" w:hAnsi="楷体" w:eastAsia="楷体" w:cs="楷体"/>
      <w:b/>
      <w:bCs/>
      <w:sz w:val="32"/>
      <w:szCs w:val="32"/>
    </w:rPr>
  </w:style>
  <w:style w:type="paragraph" w:customStyle="1" w:styleId="23">
    <w:name w:val="List Paragraph1"/>
    <w:basedOn w:val="1"/>
    <w:qFormat/>
    <w:uiPriority w:val="99"/>
    <w:pPr>
      <w:ind w:firstLine="420" w:firstLineChars="200"/>
    </w:pPr>
  </w:style>
  <w:style w:type="paragraph" w:styleId="24">
    <w:name w:val="List Paragraph"/>
    <w:basedOn w:val="1"/>
    <w:qFormat/>
    <w:uiPriority w:val="99"/>
    <w:pPr>
      <w:ind w:firstLine="420" w:firstLineChars="200"/>
    </w:pPr>
  </w:style>
  <w:style w:type="character" w:customStyle="1" w:styleId="25">
    <w:name w:val="font51"/>
    <w:basedOn w:val="14"/>
    <w:qFormat/>
    <w:uiPriority w:val="0"/>
    <w:rPr>
      <w:rFonts w:hint="eastAsia" w:ascii="宋体" w:hAnsi="宋体" w:eastAsia="宋体" w:cs="宋体"/>
      <w:b/>
      <w:bCs/>
      <w:color w:val="000000"/>
      <w:sz w:val="20"/>
      <w:szCs w:val="20"/>
      <w:u w:val="none"/>
    </w:rPr>
  </w:style>
  <w:style w:type="character" w:customStyle="1" w:styleId="26">
    <w:name w:val="font41"/>
    <w:basedOn w:val="14"/>
    <w:qFormat/>
    <w:uiPriority w:val="0"/>
    <w:rPr>
      <w:rFonts w:hint="default" w:ascii="Times New Roman" w:hAnsi="Times New Roman" w:cs="Times New Roman"/>
      <w:color w:val="000000"/>
      <w:sz w:val="20"/>
      <w:szCs w:val="20"/>
      <w:u w:val="none"/>
    </w:rPr>
  </w:style>
  <w:style w:type="character" w:customStyle="1" w:styleId="27">
    <w:name w:val="font21"/>
    <w:basedOn w:val="14"/>
    <w:qFormat/>
    <w:uiPriority w:val="0"/>
    <w:rPr>
      <w:rFonts w:hint="eastAsia" w:ascii="宋体" w:hAnsi="宋体" w:eastAsia="宋体" w:cs="宋体"/>
      <w:color w:val="000000"/>
      <w:sz w:val="20"/>
      <w:szCs w:val="20"/>
      <w:u w:val="none"/>
    </w:rPr>
  </w:style>
  <w:style w:type="character" w:customStyle="1" w:styleId="28">
    <w:name w:val="font71"/>
    <w:basedOn w:val="14"/>
    <w:qFormat/>
    <w:uiPriority w:val="0"/>
    <w:rPr>
      <w:rFonts w:hint="eastAsia" w:ascii="宋体" w:hAnsi="宋体" w:eastAsia="宋体" w:cs="宋体"/>
      <w:color w:val="000000"/>
      <w:sz w:val="18"/>
      <w:szCs w:val="18"/>
      <w:u w:val="none"/>
    </w:rPr>
  </w:style>
  <w:style w:type="character" w:customStyle="1" w:styleId="29">
    <w:name w:val="font11"/>
    <w:basedOn w:val="14"/>
    <w:qFormat/>
    <w:uiPriority w:val="0"/>
    <w:rPr>
      <w:rFonts w:hint="default" w:ascii="Times New Roman" w:hAnsi="Times New Roman" w:cs="Times New Roman"/>
      <w:color w:val="000000"/>
      <w:sz w:val="18"/>
      <w:szCs w:val="18"/>
      <w:u w:val="none"/>
    </w:rPr>
  </w:style>
  <w:style w:type="character" w:customStyle="1" w:styleId="30">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 CZJ</Company>
  <Pages>54</Pages>
  <Words>26355</Words>
  <Characters>29975</Characters>
  <Lines>0</Lines>
  <Paragraphs>0</Paragraphs>
  <TotalTime>63</TotalTime>
  <ScaleCrop>false</ScaleCrop>
  <LinksUpToDate>false</LinksUpToDate>
  <CharactersWithSpaces>30093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2022-03-18T03:20:00Z</dcterms:created>
  <dc:creator>奋斗的小虫</dc:creator>
  <cp:lastModifiedBy>周艳</cp:lastModifiedBy>
  <cp:lastPrinted>2023-04-21T03:45:00Z</cp:lastPrinted>
  <dcterms:modified xsi:type="dcterms:W3CDTF">2024-01-24T02:02:16Z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4F7D8C21762143EA9AF490DD2CC97A90_13</vt:lpwstr>
  </property>
</Properties>
</file>