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spacing w:before="274" w:beforeAutospacing="0" w:after="274" w:afterAutospacing="0"/>
        <w:jc w:val="center"/>
        <w:rPr>
          <w:rFonts w:hint="eastAsia" w:ascii="黑体" w:eastAsia="黑体"/>
          <w:sz w:val="36"/>
          <w:szCs w:val="36"/>
          <w:shd w:val="clear" w:color="auto" w:fill="FFFFFF"/>
        </w:rPr>
      </w:pPr>
      <w:r>
        <w:rPr>
          <w:rFonts w:hint="eastAsia" w:ascii="黑体" w:eastAsia="黑体"/>
          <w:sz w:val="36"/>
          <w:szCs w:val="36"/>
          <w:shd w:val="clear" w:color="auto" w:fill="FFFFFF"/>
        </w:rPr>
        <w:t>202</w:t>
      </w:r>
      <w:r>
        <w:rPr>
          <w:rFonts w:hint="eastAsia" w:ascii="黑体" w:eastAsia="黑体"/>
          <w:sz w:val="36"/>
          <w:szCs w:val="36"/>
          <w:shd w:val="clear" w:color="auto" w:fill="FFFFFF"/>
          <w:lang w:val="en-US" w:eastAsia="zh-CN"/>
        </w:rPr>
        <w:t>1</w:t>
      </w:r>
      <w:r>
        <w:rPr>
          <w:rFonts w:hint="eastAsia" w:ascii="黑体" w:eastAsia="黑体"/>
          <w:sz w:val="36"/>
          <w:szCs w:val="36"/>
          <w:shd w:val="clear" w:color="auto" w:fill="FFFFFF"/>
        </w:rPr>
        <w:t>年度市台办部门决算说明</w:t>
      </w:r>
    </w:p>
    <w:p>
      <w:pPr>
        <w:pStyle w:val="8"/>
        <w:keepNext w:val="0"/>
        <w:keepLines w:val="0"/>
        <w:widowControl/>
        <w:suppressLineNumbers w:val="0"/>
        <w:spacing w:before="274" w:beforeAutospacing="0" w:after="274" w:afterAutospacing="0" w:line="540" w:lineRule="exact"/>
        <w:jc w:val="center"/>
        <w:rPr>
          <w:rFonts w:hint="eastAsia" w:ascii="仿宋" w:eastAsia="仿宋"/>
          <w:sz w:val="32"/>
          <w:szCs w:val="32"/>
        </w:rPr>
      </w:pPr>
      <w:r>
        <w:rPr>
          <w:rStyle w:val="11"/>
          <w:rFonts w:hint="eastAsia" w:ascii="仿宋" w:eastAsia="仿宋" w:cs="宋体"/>
          <w:sz w:val="32"/>
          <w:szCs w:val="32"/>
          <w:shd w:val="clear" w:color="auto" w:fill="FFFFFF"/>
        </w:rPr>
        <w:t>目  录</w:t>
      </w:r>
    </w:p>
    <w:p>
      <w:pPr>
        <w:pStyle w:val="8"/>
        <w:keepNext w:val="0"/>
        <w:keepLines w:val="0"/>
        <w:widowControl/>
        <w:suppressLineNumbers w:val="0"/>
        <w:spacing w:before="100" w:beforeAutospacing="0" w:after="100" w:afterAutospacing="0" w:line="540" w:lineRule="exact"/>
        <w:rPr>
          <w:rStyle w:val="11"/>
          <w:rFonts w:hint="eastAsia" w:ascii="仿宋" w:eastAsia="仿宋" w:cs="宋体"/>
          <w:sz w:val="32"/>
          <w:szCs w:val="32"/>
          <w:shd w:val="clear" w:color="auto" w:fill="FFFFFF"/>
        </w:rPr>
      </w:pPr>
      <w:r>
        <w:rPr>
          <w:rFonts w:hint="eastAsia" w:ascii="仿宋" w:eastAsia="仿宋"/>
          <w:sz w:val="32"/>
          <w:szCs w:val="32"/>
        </w:rPr>
        <w:t>  </w:t>
      </w:r>
      <w:r>
        <w:rPr>
          <w:rStyle w:val="11"/>
          <w:rFonts w:hint="eastAsia" w:ascii="仿宋" w:eastAsia="仿宋" w:cs="宋体"/>
          <w:sz w:val="32"/>
          <w:szCs w:val="32"/>
          <w:shd w:val="clear" w:color="auto" w:fill="FFFFFF"/>
        </w:rPr>
        <w:t xml:space="preserve">第一部分 </w:t>
      </w:r>
      <w:r>
        <w:rPr>
          <w:rStyle w:val="11"/>
          <w:rFonts w:hint="eastAsia" w:ascii="仿宋" w:eastAsia="仿宋" w:cs="宋体"/>
          <w:sz w:val="32"/>
          <w:szCs w:val="32"/>
          <w:shd w:val="clear" w:color="auto" w:fill="FFFFFF"/>
          <w:lang w:eastAsia="zh-CN"/>
        </w:rPr>
        <w:t>市台办</w:t>
      </w:r>
      <w:r>
        <w:rPr>
          <w:rStyle w:val="11"/>
          <w:rFonts w:hint="eastAsia" w:ascii="仿宋" w:eastAsia="仿宋" w:cs="宋体"/>
          <w:sz w:val="32"/>
          <w:szCs w:val="32"/>
          <w:shd w:val="clear" w:color="auto" w:fill="FFFFFF"/>
        </w:rPr>
        <w:t>单位概况</w:t>
      </w:r>
    </w:p>
    <w:p>
      <w:pPr>
        <w:pStyle w:val="8"/>
        <w:keepNext w:val="0"/>
        <w:keepLines w:val="0"/>
        <w:widowControl/>
        <w:suppressLineNumbers w:val="0"/>
        <w:spacing w:before="100" w:beforeAutospacing="0" w:after="100" w:afterAutospacing="0" w:line="540" w:lineRule="exact"/>
        <w:rPr>
          <w:rFonts w:hint="eastAsia" w:ascii="仿宋" w:eastAsia="仿宋"/>
          <w:sz w:val="32"/>
          <w:szCs w:val="32"/>
        </w:rPr>
      </w:pPr>
      <w:r>
        <w:rPr>
          <w:rFonts w:hint="eastAsia" w:ascii="仿宋" w:eastAsia="仿宋"/>
          <w:sz w:val="32"/>
          <w:szCs w:val="32"/>
        </w:rPr>
        <w:t>  </w:t>
      </w:r>
      <w:r>
        <w:rPr>
          <w:rFonts w:hint="eastAsia" w:ascii="仿宋" w:eastAsia="仿宋"/>
          <w:sz w:val="32"/>
          <w:szCs w:val="32"/>
          <w:shd w:val="clear" w:color="auto" w:fill="FFFFFF"/>
        </w:rPr>
        <w:t>一、部门职责</w:t>
      </w:r>
    </w:p>
    <w:p>
      <w:pPr>
        <w:pStyle w:val="8"/>
        <w:keepNext w:val="0"/>
        <w:keepLines w:val="0"/>
        <w:widowControl/>
        <w:suppressLineNumbers w:val="0"/>
        <w:spacing w:before="100" w:beforeAutospacing="0" w:after="100" w:afterAutospacing="0" w:line="540" w:lineRule="exact"/>
        <w:rPr>
          <w:rFonts w:hint="eastAsia" w:ascii="仿宋" w:eastAsia="仿宋"/>
          <w:sz w:val="32"/>
          <w:szCs w:val="32"/>
        </w:rPr>
      </w:pPr>
      <w:r>
        <w:rPr>
          <w:rFonts w:hint="eastAsia" w:ascii="仿宋" w:eastAsia="仿宋"/>
          <w:sz w:val="32"/>
          <w:szCs w:val="32"/>
        </w:rPr>
        <w:t>  </w:t>
      </w:r>
      <w:r>
        <w:rPr>
          <w:rFonts w:hint="eastAsia" w:ascii="仿宋" w:eastAsia="仿宋"/>
          <w:sz w:val="32"/>
          <w:szCs w:val="32"/>
          <w:shd w:val="clear" w:color="auto" w:fill="FFFFFF"/>
        </w:rPr>
        <w:t>二、机构设置及决算单位构成</w:t>
      </w:r>
    </w:p>
    <w:p>
      <w:pPr>
        <w:pStyle w:val="8"/>
        <w:keepNext w:val="0"/>
        <w:keepLines w:val="0"/>
        <w:widowControl/>
        <w:suppressLineNumbers w:val="0"/>
        <w:spacing w:before="100" w:beforeAutospacing="0" w:after="100" w:afterAutospacing="0" w:line="540" w:lineRule="exact"/>
        <w:rPr>
          <w:rFonts w:hint="eastAsia" w:ascii="仿宋" w:eastAsia="仿宋"/>
          <w:sz w:val="32"/>
          <w:szCs w:val="32"/>
        </w:rPr>
      </w:pPr>
      <w:r>
        <w:rPr>
          <w:rFonts w:hint="eastAsia" w:ascii="仿宋" w:eastAsia="仿宋"/>
          <w:sz w:val="32"/>
          <w:szCs w:val="32"/>
        </w:rPr>
        <w:t>  </w:t>
      </w:r>
      <w:r>
        <w:rPr>
          <w:rStyle w:val="11"/>
          <w:rFonts w:hint="eastAsia" w:ascii="仿宋" w:eastAsia="仿宋" w:cs="宋体"/>
          <w:sz w:val="32"/>
          <w:szCs w:val="32"/>
          <w:shd w:val="clear" w:color="auto" w:fill="FFFFFF"/>
        </w:rPr>
        <w:t xml:space="preserve">第二部 </w:t>
      </w:r>
      <w:r>
        <w:rPr>
          <w:rStyle w:val="11"/>
          <w:rFonts w:hint="eastAsia" w:ascii="仿宋" w:eastAsia="仿宋" w:cs="Times New Roman"/>
          <w:sz w:val="32"/>
          <w:szCs w:val="32"/>
          <w:shd w:val="clear" w:color="auto" w:fill="FFFFFF"/>
        </w:rPr>
        <w:t>202</w:t>
      </w:r>
      <w:r>
        <w:rPr>
          <w:rStyle w:val="11"/>
          <w:rFonts w:hint="eastAsia" w:ascii="仿宋" w:eastAsia="仿宋" w:cs="Times New Roman"/>
          <w:sz w:val="32"/>
          <w:szCs w:val="32"/>
          <w:shd w:val="clear" w:color="auto" w:fill="FFFFFF"/>
          <w:lang w:val="en-US" w:eastAsia="zh-CN"/>
        </w:rPr>
        <w:t>1</w:t>
      </w:r>
      <w:r>
        <w:rPr>
          <w:rStyle w:val="11"/>
          <w:rFonts w:hint="eastAsia" w:ascii="仿宋" w:eastAsia="仿宋" w:cs="宋体"/>
          <w:sz w:val="32"/>
          <w:szCs w:val="32"/>
          <w:shd w:val="clear" w:color="auto" w:fill="FFFFFF"/>
        </w:rPr>
        <w:t>年度部门决算表</w:t>
      </w:r>
    </w:p>
    <w:p>
      <w:pPr>
        <w:pStyle w:val="8"/>
        <w:keepNext w:val="0"/>
        <w:keepLines w:val="0"/>
        <w:widowControl/>
        <w:suppressLineNumbers w:val="0"/>
        <w:spacing w:before="100" w:beforeAutospacing="0" w:after="100" w:afterAutospacing="0" w:line="540" w:lineRule="exact"/>
        <w:rPr>
          <w:rFonts w:hint="eastAsia" w:ascii="仿宋" w:eastAsia="仿宋"/>
          <w:sz w:val="32"/>
          <w:szCs w:val="32"/>
        </w:rPr>
      </w:pPr>
      <w:r>
        <w:rPr>
          <w:rFonts w:hint="eastAsia" w:ascii="仿宋" w:eastAsia="仿宋"/>
          <w:sz w:val="32"/>
          <w:szCs w:val="32"/>
        </w:rPr>
        <w:t>  </w:t>
      </w:r>
      <w:r>
        <w:rPr>
          <w:rFonts w:hint="eastAsia" w:ascii="仿宋" w:eastAsia="仿宋"/>
          <w:sz w:val="32"/>
          <w:szCs w:val="32"/>
          <w:shd w:val="clear" w:color="auto" w:fill="FFFFFF"/>
        </w:rPr>
        <w:t>一、收入支出决算总表</w:t>
      </w:r>
    </w:p>
    <w:p>
      <w:pPr>
        <w:pStyle w:val="8"/>
        <w:keepNext w:val="0"/>
        <w:keepLines w:val="0"/>
        <w:widowControl/>
        <w:suppressLineNumbers w:val="0"/>
        <w:spacing w:before="100" w:beforeAutospacing="0" w:after="100" w:afterAutospacing="0" w:line="540" w:lineRule="exact"/>
        <w:rPr>
          <w:rFonts w:hint="eastAsia" w:ascii="仿宋" w:eastAsia="仿宋"/>
          <w:sz w:val="32"/>
          <w:szCs w:val="32"/>
        </w:rPr>
      </w:pPr>
      <w:r>
        <w:rPr>
          <w:rFonts w:hint="eastAsia" w:ascii="仿宋" w:eastAsia="仿宋"/>
          <w:sz w:val="32"/>
          <w:szCs w:val="32"/>
        </w:rPr>
        <w:t>  </w:t>
      </w:r>
      <w:r>
        <w:rPr>
          <w:rFonts w:hint="eastAsia" w:ascii="仿宋" w:eastAsia="仿宋"/>
          <w:sz w:val="32"/>
          <w:szCs w:val="32"/>
          <w:shd w:val="clear" w:color="auto" w:fill="FFFFFF"/>
        </w:rPr>
        <w:t>二、收入决算表</w:t>
      </w:r>
    </w:p>
    <w:p>
      <w:pPr>
        <w:pStyle w:val="8"/>
        <w:keepNext w:val="0"/>
        <w:keepLines w:val="0"/>
        <w:widowControl/>
        <w:suppressLineNumbers w:val="0"/>
        <w:spacing w:before="100" w:beforeAutospacing="0" w:after="100" w:afterAutospacing="0" w:line="540" w:lineRule="exact"/>
        <w:rPr>
          <w:rFonts w:hint="eastAsia" w:ascii="仿宋" w:eastAsia="仿宋"/>
          <w:sz w:val="32"/>
          <w:szCs w:val="32"/>
        </w:rPr>
      </w:pPr>
      <w:r>
        <w:rPr>
          <w:rFonts w:hint="eastAsia" w:ascii="仿宋" w:eastAsia="仿宋"/>
          <w:sz w:val="32"/>
          <w:szCs w:val="32"/>
        </w:rPr>
        <w:t>  </w:t>
      </w:r>
      <w:r>
        <w:rPr>
          <w:rFonts w:hint="eastAsia" w:ascii="仿宋" w:eastAsia="仿宋"/>
          <w:sz w:val="32"/>
          <w:szCs w:val="32"/>
          <w:shd w:val="clear" w:color="auto" w:fill="FFFFFF"/>
        </w:rPr>
        <w:t>三、支出决算表</w:t>
      </w:r>
    </w:p>
    <w:p>
      <w:pPr>
        <w:pStyle w:val="8"/>
        <w:keepNext w:val="0"/>
        <w:keepLines w:val="0"/>
        <w:widowControl/>
        <w:suppressLineNumbers w:val="0"/>
        <w:spacing w:before="100" w:beforeAutospacing="0" w:after="100" w:afterAutospacing="0" w:line="540" w:lineRule="exact"/>
        <w:rPr>
          <w:rFonts w:hint="eastAsia" w:ascii="仿宋" w:eastAsia="仿宋"/>
          <w:sz w:val="32"/>
          <w:szCs w:val="32"/>
        </w:rPr>
      </w:pPr>
      <w:r>
        <w:rPr>
          <w:rFonts w:hint="eastAsia" w:ascii="仿宋" w:eastAsia="仿宋"/>
          <w:sz w:val="32"/>
          <w:szCs w:val="32"/>
        </w:rPr>
        <w:t>  </w:t>
      </w:r>
      <w:r>
        <w:rPr>
          <w:rFonts w:hint="eastAsia" w:ascii="仿宋" w:eastAsia="仿宋"/>
          <w:sz w:val="32"/>
          <w:szCs w:val="32"/>
          <w:shd w:val="clear" w:color="auto" w:fill="FFFFFF"/>
        </w:rPr>
        <w:t>四、财政拨款收入支出决算总表</w:t>
      </w:r>
    </w:p>
    <w:p>
      <w:pPr>
        <w:pStyle w:val="8"/>
        <w:keepNext w:val="0"/>
        <w:keepLines w:val="0"/>
        <w:widowControl/>
        <w:suppressLineNumbers w:val="0"/>
        <w:spacing w:before="100" w:beforeAutospacing="0" w:after="100" w:afterAutospacing="0" w:line="540" w:lineRule="exact"/>
        <w:rPr>
          <w:rFonts w:hint="eastAsia" w:ascii="仿宋" w:eastAsia="仿宋"/>
          <w:sz w:val="32"/>
          <w:szCs w:val="32"/>
        </w:rPr>
      </w:pPr>
      <w:r>
        <w:rPr>
          <w:rFonts w:hint="eastAsia" w:ascii="仿宋" w:eastAsia="仿宋"/>
          <w:sz w:val="32"/>
          <w:szCs w:val="32"/>
        </w:rPr>
        <w:t>  </w:t>
      </w:r>
      <w:r>
        <w:rPr>
          <w:rFonts w:hint="eastAsia" w:ascii="仿宋" w:eastAsia="仿宋"/>
          <w:sz w:val="32"/>
          <w:szCs w:val="32"/>
          <w:shd w:val="clear" w:color="auto" w:fill="FFFFFF"/>
        </w:rPr>
        <w:t>五、一般公共预算财政拨款支出决算表</w:t>
      </w:r>
    </w:p>
    <w:p>
      <w:pPr>
        <w:pStyle w:val="8"/>
        <w:keepNext w:val="0"/>
        <w:keepLines w:val="0"/>
        <w:widowControl/>
        <w:suppressLineNumbers w:val="0"/>
        <w:spacing w:before="100" w:beforeAutospacing="0" w:after="100" w:afterAutospacing="0" w:line="540" w:lineRule="exact"/>
        <w:rPr>
          <w:rFonts w:hint="eastAsia" w:ascii="仿宋" w:eastAsia="仿宋"/>
          <w:sz w:val="32"/>
          <w:szCs w:val="32"/>
        </w:rPr>
      </w:pPr>
      <w:r>
        <w:rPr>
          <w:rFonts w:hint="eastAsia" w:ascii="仿宋" w:eastAsia="仿宋"/>
          <w:sz w:val="32"/>
          <w:szCs w:val="32"/>
        </w:rPr>
        <w:t>  </w:t>
      </w:r>
      <w:r>
        <w:rPr>
          <w:rFonts w:hint="eastAsia" w:ascii="仿宋" w:eastAsia="仿宋"/>
          <w:sz w:val="32"/>
          <w:szCs w:val="32"/>
          <w:shd w:val="clear" w:color="auto" w:fill="FFFFFF"/>
        </w:rPr>
        <w:t>六、一般公共预算财政拨款基本支出决算表</w:t>
      </w:r>
    </w:p>
    <w:p>
      <w:pPr>
        <w:pStyle w:val="8"/>
        <w:keepNext w:val="0"/>
        <w:keepLines w:val="0"/>
        <w:widowControl/>
        <w:suppressLineNumbers w:val="0"/>
        <w:spacing w:before="100" w:beforeAutospacing="0" w:after="100" w:afterAutospacing="0" w:line="540" w:lineRule="exact"/>
        <w:rPr>
          <w:rFonts w:hint="eastAsia" w:ascii="仿宋" w:eastAsia="仿宋"/>
          <w:sz w:val="32"/>
          <w:szCs w:val="32"/>
        </w:rPr>
      </w:pPr>
      <w:r>
        <w:rPr>
          <w:rFonts w:hint="eastAsia" w:ascii="仿宋" w:eastAsia="仿宋"/>
          <w:sz w:val="32"/>
          <w:szCs w:val="32"/>
        </w:rPr>
        <w:t>  </w:t>
      </w:r>
      <w:r>
        <w:rPr>
          <w:rFonts w:hint="eastAsia" w:ascii="仿宋" w:eastAsia="仿宋"/>
          <w:sz w:val="32"/>
          <w:szCs w:val="32"/>
          <w:shd w:val="clear" w:color="auto" w:fill="FFFFFF"/>
        </w:rPr>
        <w:t>七、一般公共预算财政拨款“三公”经费支出决算表</w:t>
      </w:r>
    </w:p>
    <w:p>
      <w:pPr>
        <w:pStyle w:val="8"/>
        <w:keepNext w:val="0"/>
        <w:keepLines w:val="0"/>
        <w:widowControl/>
        <w:suppressLineNumbers w:val="0"/>
        <w:spacing w:before="100" w:beforeAutospacing="0" w:after="100" w:afterAutospacing="0" w:line="540" w:lineRule="exact"/>
        <w:rPr>
          <w:rFonts w:hint="eastAsia" w:ascii="仿宋" w:eastAsia="仿宋"/>
          <w:sz w:val="32"/>
          <w:szCs w:val="32"/>
        </w:rPr>
      </w:pPr>
      <w:r>
        <w:rPr>
          <w:rFonts w:hint="eastAsia" w:ascii="仿宋" w:eastAsia="仿宋"/>
          <w:sz w:val="32"/>
          <w:szCs w:val="32"/>
        </w:rPr>
        <w:t>  </w:t>
      </w:r>
      <w:r>
        <w:rPr>
          <w:rFonts w:hint="eastAsia" w:ascii="仿宋" w:eastAsia="仿宋"/>
          <w:sz w:val="32"/>
          <w:szCs w:val="32"/>
          <w:shd w:val="clear" w:color="auto" w:fill="FFFFFF"/>
        </w:rPr>
        <w:t>八、政府性基金预算财政拨款收入支出决算表</w:t>
      </w:r>
    </w:p>
    <w:p>
      <w:pPr>
        <w:pStyle w:val="8"/>
        <w:keepNext w:val="0"/>
        <w:keepLines w:val="0"/>
        <w:widowControl/>
        <w:suppressLineNumbers w:val="0"/>
        <w:spacing w:before="100" w:beforeAutospacing="0" w:after="100" w:afterAutospacing="0" w:line="540" w:lineRule="exact"/>
        <w:rPr>
          <w:rFonts w:hint="eastAsia" w:ascii="仿宋" w:eastAsia="仿宋"/>
          <w:sz w:val="32"/>
          <w:szCs w:val="32"/>
        </w:rPr>
      </w:pPr>
      <w:r>
        <w:rPr>
          <w:rFonts w:hint="eastAsia" w:ascii="仿宋" w:eastAsia="仿宋"/>
          <w:sz w:val="32"/>
          <w:szCs w:val="32"/>
        </w:rPr>
        <w:t>  </w:t>
      </w:r>
      <w:r>
        <w:rPr>
          <w:rFonts w:hint="eastAsia" w:ascii="仿宋" w:eastAsia="仿宋"/>
          <w:sz w:val="32"/>
          <w:szCs w:val="32"/>
          <w:shd w:val="clear" w:color="auto" w:fill="FFFFFF"/>
        </w:rPr>
        <w:t>九、国有资本经营预算财政拨款支出决算表</w:t>
      </w:r>
    </w:p>
    <w:p>
      <w:pPr>
        <w:pStyle w:val="8"/>
        <w:keepNext w:val="0"/>
        <w:keepLines w:val="0"/>
        <w:widowControl/>
        <w:suppressLineNumbers w:val="0"/>
        <w:spacing w:before="100" w:beforeAutospacing="0" w:after="100" w:afterAutospacing="0" w:line="540" w:lineRule="exact"/>
        <w:rPr>
          <w:rFonts w:hint="eastAsia" w:ascii="仿宋" w:eastAsia="仿宋"/>
          <w:sz w:val="32"/>
          <w:szCs w:val="32"/>
        </w:rPr>
      </w:pPr>
      <w:r>
        <w:rPr>
          <w:rFonts w:hint="eastAsia" w:ascii="仿宋" w:eastAsia="仿宋"/>
          <w:sz w:val="32"/>
          <w:szCs w:val="32"/>
        </w:rPr>
        <w:t>  </w:t>
      </w:r>
      <w:r>
        <w:rPr>
          <w:rStyle w:val="11"/>
          <w:rFonts w:hint="eastAsia" w:ascii="仿宋" w:eastAsia="仿宋" w:cs="宋体"/>
          <w:sz w:val="32"/>
          <w:szCs w:val="32"/>
          <w:shd w:val="clear" w:color="auto" w:fill="FFFFFF"/>
        </w:rPr>
        <w:t>第三部分</w:t>
      </w:r>
      <w:r>
        <w:rPr>
          <w:rStyle w:val="11"/>
          <w:rFonts w:hint="eastAsia" w:ascii="仿宋" w:eastAsia="仿宋" w:cs="Times New Roman"/>
          <w:sz w:val="32"/>
          <w:szCs w:val="32"/>
          <w:shd w:val="clear" w:color="auto" w:fill="FFFFFF"/>
        </w:rPr>
        <w:t>202</w:t>
      </w:r>
      <w:r>
        <w:rPr>
          <w:rStyle w:val="11"/>
          <w:rFonts w:hint="eastAsia" w:ascii="仿宋" w:eastAsia="仿宋" w:cs="Times New Roman"/>
          <w:sz w:val="32"/>
          <w:szCs w:val="32"/>
          <w:shd w:val="clear" w:color="auto" w:fill="FFFFFF"/>
          <w:lang w:val="en-US" w:eastAsia="zh-CN"/>
        </w:rPr>
        <w:t>1</w:t>
      </w:r>
      <w:r>
        <w:rPr>
          <w:rStyle w:val="11"/>
          <w:rFonts w:hint="eastAsia" w:ascii="仿宋" w:eastAsia="仿宋" w:cs="宋体"/>
          <w:sz w:val="32"/>
          <w:szCs w:val="32"/>
          <w:shd w:val="clear" w:color="auto" w:fill="FFFFFF"/>
        </w:rPr>
        <w:t>年度部门决算情况说明</w:t>
      </w:r>
    </w:p>
    <w:p>
      <w:pPr>
        <w:pStyle w:val="8"/>
        <w:keepNext w:val="0"/>
        <w:keepLines w:val="0"/>
        <w:widowControl/>
        <w:suppressLineNumbers w:val="0"/>
        <w:spacing w:before="100" w:beforeAutospacing="0" w:after="100" w:afterAutospacing="0" w:line="540" w:lineRule="exact"/>
        <w:rPr>
          <w:rFonts w:hint="eastAsia" w:ascii="仿宋" w:eastAsia="仿宋"/>
          <w:sz w:val="32"/>
          <w:szCs w:val="32"/>
        </w:rPr>
      </w:pPr>
      <w:r>
        <w:rPr>
          <w:rFonts w:hint="eastAsia" w:ascii="仿宋" w:eastAsia="仿宋"/>
          <w:sz w:val="32"/>
          <w:szCs w:val="32"/>
        </w:rPr>
        <w:t>  </w:t>
      </w:r>
      <w:r>
        <w:rPr>
          <w:rFonts w:hint="eastAsia" w:ascii="仿宋" w:eastAsia="仿宋"/>
          <w:sz w:val="32"/>
          <w:szCs w:val="32"/>
          <w:shd w:val="clear" w:color="auto" w:fill="FFFFFF"/>
        </w:rPr>
        <w:t>一、收入支出决算总体情况说明</w:t>
      </w:r>
    </w:p>
    <w:p>
      <w:pPr>
        <w:pStyle w:val="8"/>
        <w:keepNext w:val="0"/>
        <w:keepLines w:val="0"/>
        <w:widowControl/>
        <w:suppressLineNumbers w:val="0"/>
        <w:spacing w:before="100" w:beforeAutospacing="0" w:after="100" w:afterAutospacing="0" w:line="540" w:lineRule="exact"/>
        <w:rPr>
          <w:rFonts w:hint="eastAsia" w:ascii="仿宋" w:eastAsia="仿宋"/>
          <w:sz w:val="32"/>
          <w:szCs w:val="32"/>
        </w:rPr>
      </w:pPr>
      <w:r>
        <w:rPr>
          <w:rFonts w:hint="eastAsia" w:ascii="仿宋" w:eastAsia="仿宋"/>
          <w:sz w:val="32"/>
          <w:szCs w:val="32"/>
        </w:rPr>
        <w:t>  </w:t>
      </w:r>
      <w:r>
        <w:rPr>
          <w:rFonts w:hint="eastAsia" w:ascii="仿宋" w:eastAsia="仿宋"/>
          <w:sz w:val="32"/>
          <w:szCs w:val="32"/>
          <w:shd w:val="clear" w:color="auto" w:fill="FFFFFF"/>
        </w:rPr>
        <w:t>二、收入决算情况说明</w:t>
      </w:r>
    </w:p>
    <w:p>
      <w:pPr>
        <w:pStyle w:val="8"/>
        <w:keepNext w:val="0"/>
        <w:keepLines w:val="0"/>
        <w:widowControl/>
        <w:suppressLineNumbers w:val="0"/>
        <w:spacing w:before="100" w:beforeAutospacing="0" w:after="100" w:afterAutospacing="0" w:line="540" w:lineRule="exact"/>
        <w:rPr>
          <w:rFonts w:hint="eastAsia" w:ascii="仿宋" w:eastAsia="仿宋"/>
          <w:sz w:val="32"/>
          <w:szCs w:val="32"/>
        </w:rPr>
      </w:pPr>
      <w:r>
        <w:rPr>
          <w:rFonts w:hint="eastAsia" w:ascii="仿宋" w:eastAsia="仿宋"/>
          <w:sz w:val="32"/>
          <w:szCs w:val="32"/>
        </w:rPr>
        <w:t>  </w:t>
      </w:r>
      <w:r>
        <w:rPr>
          <w:rFonts w:hint="eastAsia" w:ascii="仿宋" w:eastAsia="仿宋"/>
          <w:sz w:val="32"/>
          <w:szCs w:val="32"/>
          <w:shd w:val="clear" w:color="auto" w:fill="FFFFFF"/>
        </w:rPr>
        <w:t>三、支出决算情况说明</w:t>
      </w:r>
    </w:p>
    <w:p>
      <w:pPr>
        <w:pStyle w:val="8"/>
        <w:keepNext w:val="0"/>
        <w:keepLines w:val="0"/>
        <w:widowControl/>
        <w:suppressLineNumbers w:val="0"/>
        <w:spacing w:before="100" w:beforeAutospacing="0" w:after="100" w:afterAutospacing="0" w:line="540" w:lineRule="exact"/>
        <w:rPr>
          <w:rFonts w:hint="eastAsia" w:ascii="仿宋" w:eastAsia="仿宋"/>
          <w:sz w:val="32"/>
          <w:szCs w:val="32"/>
        </w:rPr>
      </w:pPr>
      <w:r>
        <w:rPr>
          <w:rFonts w:hint="eastAsia" w:ascii="仿宋" w:eastAsia="仿宋"/>
          <w:sz w:val="32"/>
          <w:szCs w:val="32"/>
        </w:rPr>
        <w:t>  </w:t>
      </w:r>
      <w:r>
        <w:rPr>
          <w:rFonts w:hint="eastAsia" w:ascii="仿宋" w:eastAsia="仿宋"/>
          <w:sz w:val="32"/>
          <w:szCs w:val="32"/>
          <w:shd w:val="clear" w:color="auto" w:fill="FFFFFF"/>
        </w:rPr>
        <w:t>四、财政拨款收入支出决算总体情况说明</w:t>
      </w:r>
    </w:p>
    <w:p>
      <w:pPr>
        <w:pStyle w:val="8"/>
        <w:keepNext w:val="0"/>
        <w:keepLines w:val="0"/>
        <w:widowControl/>
        <w:suppressLineNumbers w:val="0"/>
        <w:spacing w:before="100" w:beforeAutospacing="0" w:after="100" w:afterAutospacing="0" w:line="540" w:lineRule="exact"/>
        <w:rPr>
          <w:rFonts w:ascii="仿宋" w:eastAsia="仿宋"/>
          <w:sz w:val="32"/>
          <w:szCs w:val="32"/>
          <w:shd w:val="clear" w:color="auto" w:fill="FFFFFF"/>
        </w:rPr>
      </w:pPr>
      <w:r>
        <w:rPr>
          <w:rFonts w:hint="eastAsia" w:ascii="仿宋" w:eastAsia="仿宋"/>
          <w:sz w:val="32"/>
          <w:szCs w:val="32"/>
        </w:rPr>
        <w:t>  </w:t>
      </w:r>
      <w:r>
        <w:rPr>
          <w:rFonts w:hint="eastAsia" w:ascii="仿宋" w:eastAsia="仿宋"/>
          <w:sz w:val="32"/>
          <w:szCs w:val="32"/>
          <w:shd w:val="clear" w:color="auto" w:fill="FFFFFF"/>
        </w:rPr>
        <w:t>五、一般公共预算财政拨款支出决算情况说明</w:t>
      </w:r>
    </w:p>
    <w:p>
      <w:pPr>
        <w:pStyle w:val="8"/>
        <w:keepNext w:val="0"/>
        <w:keepLines w:val="0"/>
        <w:widowControl/>
        <w:suppressLineNumbers w:val="0"/>
        <w:spacing w:before="100" w:beforeAutospacing="0" w:after="100" w:afterAutospacing="0" w:line="540" w:lineRule="exact"/>
        <w:ind w:firstLine="640" w:firstLineChars="200"/>
        <w:rPr>
          <w:rFonts w:ascii="仿宋" w:eastAsia="仿宋"/>
          <w:sz w:val="32"/>
          <w:szCs w:val="32"/>
          <w:shd w:val="clear" w:color="auto" w:fill="FFFFFF"/>
        </w:rPr>
      </w:pPr>
      <w:r>
        <w:rPr>
          <w:rFonts w:hint="eastAsia" w:ascii="仿宋" w:eastAsia="仿宋"/>
          <w:sz w:val="32"/>
          <w:szCs w:val="32"/>
          <w:shd w:val="clear" w:color="auto" w:fill="FFFFFF"/>
        </w:rPr>
        <w:t>（一）财政拨款支出决算总体情况</w:t>
      </w:r>
    </w:p>
    <w:p>
      <w:pPr>
        <w:pStyle w:val="8"/>
        <w:keepNext w:val="0"/>
        <w:keepLines w:val="0"/>
        <w:widowControl/>
        <w:suppressLineNumbers w:val="0"/>
        <w:spacing w:before="100" w:beforeAutospacing="0" w:after="100" w:afterAutospacing="0" w:line="540" w:lineRule="exact"/>
        <w:ind w:left="0" w:firstLine="647"/>
        <w:rPr>
          <w:rFonts w:ascii="仿宋" w:eastAsia="仿宋"/>
          <w:sz w:val="32"/>
          <w:szCs w:val="32"/>
          <w:shd w:val="clear" w:color="auto" w:fill="FFFFFF"/>
        </w:rPr>
      </w:pPr>
      <w:r>
        <w:rPr>
          <w:rFonts w:hint="eastAsia" w:ascii="仿宋" w:eastAsia="仿宋"/>
          <w:sz w:val="32"/>
          <w:szCs w:val="32"/>
          <w:shd w:val="clear" w:color="auto" w:fill="FFFFFF"/>
        </w:rPr>
        <w:t>（二）财政拨款支出决算结构情况</w:t>
      </w:r>
    </w:p>
    <w:p>
      <w:pPr>
        <w:pStyle w:val="8"/>
        <w:keepNext w:val="0"/>
        <w:keepLines w:val="0"/>
        <w:widowControl/>
        <w:suppressLineNumbers w:val="0"/>
        <w:spacing w:before="100" w:beforeAutospacing="0" w:after="100" w:afterAutospacing="0" w:line="540" w:lineRule="exact"/>
        <w:ind w:left="0" w:firstLine="647"/>
        <w:rPr>
          <w:rFonts w:hint="eastAsia" w:ascii="仿宋" w:eastAsia="仿宋"/>
          <w:sz w:val="32"/>
          <w:szCs w:val="32"/>
        </w:rPr>
      </w:pPr>
      <w:r>
        <w:rPr>
          <w:rFonts w:hint="eastAsia" w:ascii="仿宋" w:eastAsia="仿宋"/>
          <w:sz w:val="32"/>
          <w:szCs w:val="32"/>
          <w:shd w:val="clear" w:color="auto" w:fill="FFFFFF"/>
        </w:rPr>
        <w:t>（三）财政拨款支出决算具体情况</w:t>
      </w:r>
    </w:p>
    <w:p>
      <w:pPr>
        <w:pStyle w:val="8"/>
        <w:keepNext w:val="0"/>
        <w:keepLines w:val="0"/>
        <w:widowControl/>
        <w:suppressLineNumbers w:val="0"/>
        <w:spacing w:before="100" w:beforeAutospacing="0" w:after="100" w:afterAutospacing="0" w:line="540" w:lineRule="exact"/>
        <w:rPr>
          <w:rFonts w:hint="eastAsia" w:ascii="仿宋" w:eastAsia="仿宋"/>
          <w:sz w:val="32"/>
          <w:szCs w:val="32"/>
        </w:rPr>
      </w:pPr>
      <w:r>
        <w:rPr>
          <w:rFonts w:hint="eastAsia" w:ascii="仿宋" w:eastAsia="仿宋"/>
          <w:sz w:val="32"/>
          <w:szCs w:val="32"/>
        </w:rPr>
        <w:t>  </w:t>
      </w:r>
      <w:r>
        <w:rPr>
          <w:rFonts w:hint="eastAsia" w:ascii="仿宋" w:eastAsia="仿宋"/>
          <w:sz w:val="32"/>
          <w:szCs w:val="32"/>
          <w:shd w:val="clear" w:color="auto" w:fill="FFFFFF"/>
        </w:rPr>
        <w:t>六、一般公共预算财政拨款基本支出决算情况说明</w:t>
      </w:r>
    </w:p>
    <w:p>
      <w:pPr>
        <w:pStyle w:val="8"/>
        <w:keepNext w:val="0"/>
        <w:keepLines w:val="0"/>
        <w:widowControl/>
        <w:suppressLineNumbers w:val="0"/>
        <w:spacing w:before="100" w:beforeAutospacing="0" w:after="100" w:afterAutospacing="0" w:line="540" w:lineRule="exact"/>
        <w:rPr>
          <w:rFonts w:ascii="仿宋" w:eastAsia="仿宋"/>
          <w:sz w:val="32"/>
          <w:szCs w:val="32"/>
          <w:shd w:val="clear" w:color="auto" w:fill="FFFFFF"/>
        </w:rPr>
      </w:pPr>
      <w:r>
        <w:rPr>
          <w:rFonts w:hint="eastAsia" w:ascii="仿宋" w:eastAsia="仿宋"/>
          <w:sz w:val="32"/>
          <w:szCs w:val="32"/>
        </w:rPr>
        <w:t>  </w:t>
      </w:r>
      <w:r>
        <w:rPr>
          <w:rFonts w:hint="eastAsia" w:ascii="仿宋" w:eastAsia="仿宋"/>
          <w:sz w:val="32"/>
          <w:szCs w:val="32"/>
          <w:shd w:val="clear" w:color="auto" w:fill="FFFFFF"/>
        </w:rPr>
        <w:t>七、一般公共预算财政拨款三公经费支出决算情况说明</w:t>
      </w:r>
    </w:p>
    <w:p>
      <w:pPr>
        <w:pStyle w:val="8"/>
        <w:keepNext w:val="0"/>
        <w:keepLines w:val="0"/>
        <w:widowControl/>
        <w:suppressLineNumbers w:val="0"/>
        <w:spacing w:before="100" w:beforeAutospacing="0" w:after="100" w:afterAutospacing="0" w:line="540" w:lineRule="exact"/>
        <w:ind w:firstLine="640" w:firstLineChars="200"/>
        <w:rPr>
          <w:rFonts w:ascii="仿宋" w:eastAsia="仿宋"/>
          <w:sz w:val="32"/>
          <w:szCs w:val="32"/>
          <w:shd w:val="clear" w:color="auto" w:fill="FFFFFF"/>
        </w:rPr>
      </w:pPr>
      <w:r>
        <w:rPr>
          <w:rFonts w:hint="eastAsia" w:ascii="仿宋" w:eastAsia="仿宋"/>
          <w:sz w:val="32"/>
          <w:szCs w:val="32"/>
          <w:shd w:val="clear" w:color="auto" w:fill="FFFFFF"/>
        </w:rPr>
        <w:t>（一）“三公”经费财政拨款支出决算总体情况说明</w:t>
      </w:r>
    </w:p>
    <w:p>
      <w:pPr>
        <w:pStyle w:val="8"/>
        <w:keepNext w:val="0"/>
        <w:keepLines w:val="0"/>
        <w:widowControl/>
        <w:suppressLineNumbers w:val="0"/>
        <w:spacing w:before="100" w:beforeAutospacing="0" w:after="100" w:afterAutospacing="0" w:line="540" w:lineRule="exact"/>
        <w:ind w:firstLine="640" w:firstLineChars="200"/>
        <w:rPr>
          <w:rFonts w:hint="eastAsia" w:ascii="仿宋" w:eastAsia="仿宋"/>
          <w:sz w:val="32"/>
          <w:szCs w:val="32"/>
        </w:rPr>
      </w:pPr>
      <w:r>
        <w:rPr>
          <w:rFonts w:hint="eastAsia" w:ascii="仿宋" w:eastAsia="仿宋"/>
          <w:sz w:val="32"/>
          <w:szCs w:val="32"/>
          <w:shd w:val="clear" w:color="auto" w:fill="FFFFFF"/>
        </w:rPr>
        <w:t>（二）“三公”经费财政拨款支出决算具体情况说明</w:t>
      </w:r>
    </w:p>
    <w:p>
      <w:pPr>
        <w:pStyle w:val="8"/>
        <w:keepNext w:val="0"/>
        <w:keepLines w:val="0"/>
        <w:widowControl/>
        <w:suppressLineNumbers w:val="0"/>
        <w:spacing w:before="100" w:beforeAutospacing="0" w:after="100" w:afterAutospacing="0" w:line="540" w:lineRule="exact"/>
        <w:rPr>
          <w:rFonts w:hint="eastAsia" w:ascii="仿宋" w:eastAsia="仿宋"/>
          <w:sz w:val="32"/>
          <w:szCs w:val="32"/>
        </w:rPr>
      </w:pPr>
      <w:r>
        <w:rPr>
          <w:rFonts w:hint="eastAsia" w:ascii="仿宋" w:eastAsia="仿宋"/>
          <w:sz w:val="32"/>
          <w:szCs w:val="32"/>
        </w:rPr>
        <w:t>  </w:t>
      </w:r>
      <w:r>
        <w:rPr>
          <w:rFonts w:hint="eastAsia" w:ascii="仿宋" w:eastAsia="仿宋"/>
          <w:sz w:val="32"/>
          <w:szCs w:val="32"/>
          <w:shd w:val="clear" w:color="auto" w:fill="FFFFFF"/>
        </w:rPr>
        <w:t>八、政府性基金预算收入支出决算情况</w:t>
      </w:r>
    </w:p>
    <w:p>
      <w:pPr>
        <w:pStyle w:val="8"/>
        <w:keepNext w:val="0"/>
        <w:keepLines w:val="0"/>
        <w:widowControl/>
        <w:suppressLineNumbers w:val="0"/>
        <w:spacing w:before="100" w:beforeAutospacing="0" w:after="100" w:afterAutospacing="0" w:line="540" w:lineRule="exact"/>
        <w:rPr>
          <w:rFonts w:hint="eastAsia" w:ascii="仿宋" w:eastAsia="仿宋"/>
          <w:sz w:val="32"/>
          <w:szCs w:val="32"/>
        </w:rPr>
      </w:pPr>
      <w:r>
        <w:rPr>
          <w:rFonts w:hint="eastAsia" w:ascii="仿宋" w:eastAsia="仿宋"/>
          <w:sz w:val="32"/>
          <w:szCs w:val="32"/>
        </w:rPr>
        <w:t>  </w:t>
      </w:r>
      <w:r>
        <w:rPr>
          <w:rFonts w:hint="eastAsia" w:ascii="仿宋" w:eastAsia="仿宋"/>
          <w:sz w:val="32"/>
          <w:szCs w:val="32"/>
          <w:shd w:val="clear" w:color="auto" w:fill="FFFFFF"/>
        </w:rPr>
        <w:t>九、关于机关运行经费支出说明</w:t>
      </w:r>
    </w:p>
    <w:p>
      <w:pPr>
        <w:pStyle w:val="8"/>
        <w:keepNext w:val="0"/>
        <w:keepLines w:val="0"/>
        <w:widowControl/>
        <w:suppressLineNumbers w:val="0"/>
        <w:spacing w:before="100" w:beforeAutospacing="0" w:after="100" w:afterAutospacing="0" w:line="540" w:lineRule="exact"/>
        <w:rPr>
          <w:rFonts w:hint="eastAsia" w:ascii="仿宋" w:eastAsia="仿宋"/>
          <w:sz w:val="32"/>
          <w:szCs w:val="32"/>
        </w:rPr>
      </w:pPr>
      <w:r>
        <w:rPr>
          <w:rFonts w:hint="eastAsia" w:ascii="仿宋" w:eastAsia="仿宋"/>
          <w:sz w:val="32"/>
          <w:szCs w:val="32"/>
        </w:rPr>
        <w:t>  </w:t>
      </w:r>
      <w:r>
        <w:rPr>
          <w:rFonts w:hint="eastAsia" w:ascii="仿宋" w:eastAsia="仿宋"/>
          <w:sz w:val="32"/>
          <w:szCs w:val="32"/>
          <w:shd w:val="clear" w:color="auto" w:fill="FFFFFF"/>
        </w:rPr>
        <w:t>十、一般性支出情况</w:t>
      </w:r>
    </w:p>
    <w:p>
      <w:pPr>
        <w:pStyle w:val="8"/>
        <w:keepNext w:val="0"/>
        <w:keepLines w:val="0"/>
        <w:widowControl/>
        <w:suppressLineNumbers w:val="0"/>
        <w:spacing w:before="100" w:beforeAutospacing="0" w:after="100" w:afterAutospacing="0" w:line="540" w:lineRule="exact"/>
        <w:rPr>
          <w:rFonts w:hint="eastAsia" w:ascii="仿宋" w:eastAsia="仿宋"/>
          <w:sz w:val="32"/>
          <w:szCs w:val="32"/>
        </w:rPr>
      </w:pPr>
      <w:r>
        <w:rPr>
          <w:rFonts w:hint="eastAsia" w:ascii="仿宋" w:eastAsia="仿宋"/>
          <w:sz w:val="32"/>
          <w:szCs w:val="32"/>
        </w:rPr>
        <w:t>  </w:t>
      </w:r>
      <w:r>
        <w:rPr>
          <w:rFonts w:hint="eastAsia" w:ascii="仿宋" w:eastAsia="仿宋"/>
          <w:sz w:val="32"/>
          <w:szCs w:val="32"/>
          <w:shd w:val="clear" w:color="auto" w:fill="FFFFFF"/>
        </w:rPr>
        <w:t>十</w:t>
      </w:r>
      <w:r>
        <w:rPr>
          <w:rFonts w:hint="eastAsia" w:ascii="仿宋" w:eastAsia="仿宋"/>
          <w:sz w:val="32"/>
          <w:szCs w:val="32"/>
          <w:shd w:val="clear" w:color="auto" w:fill="FFFFFF"/>
          <w:lang w:eastAsia="zh-CN"/>
        </w:rPr>
        <w:t>一</w:t>
      </w:r>
      <w:r>
        <w:rPr>
          <w:rFonts w:hint="eastAsia" w:ascii="仿宋" w:eastAsia="仿宋"/>
          <w:sz w:val="32"/>
          <w:szCs w:val="32"/>
          <w:shd w:val="clear" w:color="auto" w:fill="FFFFFF"/>
        </w:rPr>
        <w:t>、政府采购支出说明</w:t>
      </w:r>
    </w:p>
    <w:p>
      <w:pPr>
        <w:pStyle w:val="8"/>
        <w:keepNext w:val="0"/>
        <w:keepLines w:val="0"/>
        <w:widowControl/>
        <w:suppressLineNumbers w:val="0"/>
        <w:spacing w:before="100" w:beforeAutospacing="0" w:after="100" w:afterAutospacing="0" w:line="540" w:lineRule="exact"/>
        <w:rPr>
          <w:rFonts w:hint="eastAsia" w:ascii="仿宋" w:eastAsia="仿宋"/>
          <w:sz w:val="32"/>
          <w:szCs w:val="32"/>
        </w:rPr>
      </w:pPr>
      <w:r>
        <w:rPr>
          <w:rFonts w:hint="eastAsia" w:ascii="仿宋" w:eastAsia="仿宋"/>
          <w:sz w:val="32"/>
          <w:szCs w:val="32"/>
        </w:rPr>
        <w:t>  </w:t>
      </w:r>
      <w:r>
        <w:rPr>
          <w:rFonts w:hint="eastAsia" w:ascii="仿宋" w:eastAsia="仿宋"/>
          <w:sz w:val="32"/>
          <w:szCs w:val="32"/>
          <w:shd w:val="clear" w:color="auto" w:fill="FFFFFF"/>
        </w:rPr>
        <w:t>十</w:t>
      </w:r>
      <w:r>
        <w:rPr>
          <w:rFonts w:hint="eastAsia" w:ascii="仿宋" w:eastAsia="仿宋"/>
          <w:sz w:val="32"/>
          <w:szCs w:val="32"/>
          <w:shd w:val="clear" w:color="auto" w:fill="FFFFFF"/>
          <w:lang w:eastAsia="zh-CN"/>
        </w:rPr>
        <w:t>二</w:t>
      </w:r>
      <w:r>
        <w:rPr>
          <w:rFonts w:hint="eastAsia" w:ascii="仿宋" w:eastAsia="仿宋"/>
          <w:sz w:val="32"/>
          <w:szCs w:val="32"/>
          <w:shd w:val="clear" w:color="auto" w:fill="FFFFFF"/>
        </w:rPr>
        <w:t>、国有资产占用情况说明</w:t>
      </w:r>
    </w:p>
    <w:p>
      <w:pPr>
        <w:pStyle w:val="8"/>
        <w:keepNext w:val="0"/>
        <w:keepLines w:val="0"/>
        <w:widowControl/>
        <w:suppressLineNumbers w:val="0"/>
        <w:spacing w:before="100" w:beforeAutospacing="0" w:after="100" w:afterAutospacing="0" w:line="540" w:lineRule="exact"/>
        <w:rPr>
          <w:rFonts w:hint="eastAsia" w:ascii="仿宋" w:eastAsia="仿宋"/>
          <w:sz w:val="32"/>
          <w:szCs w:val="32"/>
        </w:rPr>
      </w:pPr>
      <w:r>
        <w:rPr>
          <w:rFonts w:hint="eastAsia" w:ascii="仿宋" w:eastAsia="仿宋"/>
          <w:sz w:val="32"/>
          <w:szCs w:val="32"/>
        </w:rPr>
        <w:t>  </w:t>
      </w:r>
      <w:r>
        <w:rPr>
          <w:rFonts w:hint="eastAsia" w:ascii="仿宋" w:eastAsia="仿宋"/>
          <w:sz w:val="32"/>
          <w:szCs w:val="32"/>
          <w:shd w:val="clear" w:color="auto" w:fill="FFFFFF"/>
        </w:rPr>
        <w:t>十</w:t>
      </w:r>
      <w:r>
        <w:rPr>
          <w:rFonts w:hint="eastAsia" w:ascii="仿宋" w:eastAsia="仿宋"/>
          <w:sz w:val="32"/>
          <w:szCs w:val="32"/>
          <w:shd w:val="clear" w:color="auto" w:fill="FFFFFF"/>
          <w:lang w:eastAsia="zh-CN"/>
        </w:rPr>
        <w:t>三</w:t>
      </w:r>
      <w:r>
        <w:rPr>
          <w:rFonts w:hint="eastAsia" w:ascii="仿宋" w:eastAsia="仿宋"/>
          <w:sz w:val="32"/>
          <w:szCs w:val="32"/>
          <w:shd w:val="clear" w:color="auto" w:fill="FFFFFF"/>
        </w:rPr>
        <w:t>、关于202</w:t>
      </w:r>
      <w:r>
        <w:rPr>
          <w:rFonts w:hint="eastAsia" w:ascii="仿宋" w:eastAsia="仿宋"/>
          <w:sz w:val="32"/>
          <w:szCs w:val="32"/>
          <w:shd w:val="clear" w:color="auto" w:fill="FFFFFF"/>
          <w:lang w:val="en-US" w:eastAsia="zh-CN"/>
        </w:rPr>
        <w:t>1</w:t>
      </w:r>
      <w:r>
        <w:rPr>
          <w:rFonts w:hint="eastAsia" w:ascii="仿宋" w:eastAsia="仿宋"/>
          <w:sz w:val="32"/>
          <w:szCs w:val="32"/>
          <w:shd w:val="clear" w:color="auto" w:fill="FFFFFF"/>
        </w:rPr>
        <w:t>年度预算绩效情况的说明</w:t>
      </w:r>
    </w:p>
    <w:p>
      <w:pPr>
        <w:pStyle w:val="8"/>
        <w:keepNext w:val="0"/>
        <w:keepLines w:val="0"/>
        <w:widowControl/>
        <w:suppressLineNumbers w:val="0"/>
        <w:spacing w:before="100" w:beforeAutospacing="0" w:after="100" w:afterAutospacing="0" w:line="540" w:lineRule="exact"/>
        <w:rPr>
          <w:rFonts w:hint="eastAsia" w:ascii="仿宋" w:eastAsia="仿宋"/>
          <w:sz w:val="32"/>
          <w:szCs w:val="32"/>
        </w:rPr>
      </w:pPr>
      <w:r>
        <w:rPr>
          <w:rFonts w:hint="eastAsia" w:ascii="仿宋" w:eastAsia="仿宋"/>
          <w:sz w:val="32"/>
          <w:szCs w:val="32"/>
        </w:rPr>
        <w:t>  </w:t>
      </w:r>
      <w:r>
        <w:rPr>
          <w:rStyle w:val="11"/>
          <w:rFonts w:hint="eastAsia" w:ascii="仿宋" w:eastAsia="仿宋" w:cs="宋体"/>
          <w:sz w:val="32"/>
          <w:szCs w:val="32"/>
          <w:shd w:val="clear" w:color="auto" w:fill="FFFFFF"/>
        </w:rPr>
        <w:t>第四部分名词解释</w:t>
      </w:r>
    </w:p>
    <w:p>
      <w:pPr>
        <w:pStyle w:val="8"/>
        <w:keepNext w:val="0"/>
        <w:keepLines w:val="0"/>
        <w:widowControl/>
        <w:suppressLineNumbers w:val="0"/>
        <w:spacing w:before="100" w:beforeAutospacing="0" w:after="100" w:afterAutospacing="0" w:line="540" w:lineRule="exact"/>
        <w:rPr>
          <w:rFonts w:hint="eastAsia" w:ascii="仿宋" w:eastAsia="仿宋"/>
          <w:sz w:val="32"/>
          <w:szCs w:val="32"/>
        </w:rPr>
      </w:pPr>
      <w:r>
        <w:rPr>
          <w:rFonts w:hint="eastAsia" w:ascii="仿宋" w:eastAsia="仿宋"/>
          <w:sz w:val="32"/>
          <w:szCs w:val="32"/>
        </w:rPr>
        <w:t>  </w:t>
      </w:r>
      <w:r>
        <w:rPr>
          <w:rStyle w:val="11"/>
          <w:rFonts w:hint="eastAsia" w:ascii="仿宋" w:eastAsia="仿宋" w:cs="宋体"/>
          <w:sz w:val="32"/>
          <w:szCs w:val="32"/>
          <w:shd w:val="clear" w:color="auto" w:fill="FFFFFF"/>
        </w:rPr>
        <w:t>第五部分附件</w:t>
      </w:r>
    </w:p>
    <w:p>
      <w:pPr>
        <w:pStyle w:val="8"/>
        <w:keepNext w:val="0"/>
        <w:keepLines w:val="0"/>
        <w:widowControl/>
        <w:suppressLineNumbers w:val="0"/>
        <w:spacing w:beforeAutospacing="0" w:afterAutospacing="0" w:line="540" w:lineRule="exact"/>
        <w:rPr>
          <w:rFonts w:ascii="仿宋" w:eastAsia="仿宋"/>
          <w:sz w:val="32"/>
          <w:szCs w:val="32"/>
        </w:rPr>
      </w:pPr>
      <w:r>
        <w:rPr>
          <w:rFonts w:hint="eastAsia" w:ascii="仿宋" w:eastAsia="仿宋"/>
          <w:sz w:val="32"/>
          <w:szCs w:val="32"/>
        </w:rPr>
        <w:t>    </w:t>
      </w:r>
    </w:p>
    <w:p>
      <w:pPr>
        <w:pStyle w:val="8"/>
        <w:keepNext w:val="0"/>
        <w:keepLines w:val="0"/>
        <w:widowControl/>
        <w:suppressLineNumbers w:val="0"/>
        <w:spacing w:beforeAutospacing="0" w:afterAutospacing="0" w:line="540" w:lineRule="exact"/>
        <w:rPr>
          <w:rFonts w:ascii="仿宋" w:eastAsia="仿宋"/>
          <w:sz w:val="32"/>
          <w:szCs w:val="32"/>
        </w:rPr>
      </w:pPr>
    </w:p>
    <w:p>
      <w:pPr>
        <w:pStyle w:val="8"/>
        <w:keepNext w:val="0"/>
        <w:keepLines w:val="0"/>
        <w:widowControl/>
        <w:suppressLineNumbers w:val="0"/>
        <w:spacing w:beforeAutospacing="0" w:afterAutospacing="0" w:line="540" w:lineRule="exact"/>
        <w:rPr>
          <w:rFonts w:ascii="仿宋" w:eastAsia="仿宋"/>
          <w:sz w:val="32"/>
          <w:szCs w:val="32"/>
        </w:rPr>
      </w:pPr>
    </w:p>
    <w:p>
      <w:pPr>
        <w:pStyle w:val="8"/>
        <w:keepNext w:val="0"/>
        <w:keepLines w:val="0"/>
        <w:widowControl/>
        <w:suppressLineNumbers w:val="0"/>
        <w:spacing w:beforeAutospacing="0" w:afterAutospacing="0" w:line="540" w:lineRule="exact"/>
        <w:rPr>
          <w:rFonts w:ascii="仿宋" w:eastAsia="仿宋"/>
          <w:sz w:val="32"/>
          <w:szCs w:val="32"/>
        </w:rPr>
      </w:pPr>
    </w:p>
    <w:p>
      <w:pPr>
        <w:pStyle w:val="8"/>
        <w:keepNext w:val="0"/>
        <w:keepLines w:val="0"/>
        <w:widowControl/>
        <w:suppressLineNumbers w:val="0"/>
        <w:spacing w:beforeAutospacing="0" w:afterAutospacing="0" w:line="540" w:lineRule="exact"/>
        <w:rPr>
          <w:rFonts w:hint="eastAsia" w:ascii="仿宋" w:eastAsia="仿宋"/>
          <w:sz w:val="32"/>
          <w:szCs w:val="32"/>
        </w:rPr>
      </w:pPr>
    </w:p>
    <w:p>
      <w:pPr>
        <w:pStyle w:val="8"/>
        <w:keepNext w:val="0"/>
        <w:keepLines w:val="0"/>
        <w:widowControl/>
        <w:suppressLineNumbers w:val="0"/>
        <w:spacing w:before="274" w:beforeAutospacing="0" w:after="274" w:afterAutospacing="0" w:line="540" w:lineRule="exact"/>
        <w:ind w:firstLine="640" w:firstLineChars="200"/>
        <w:jc w:val="both"/>
        <w:rPr>
          <w:rFonts w:hint="eastAsia" w:ascii="黑体" w:eastAsia="黑体"/>
          <w:sz w:val="32"/>
          <w:szCs w:val="32"/>
          <w:shd w:val="clear" w:color="auto" w:fill="FFFFFF"/>
        </w:rPr>
      </w:pPr>
    </w:p>
    <w:p>
      <w:pPr>
        <w:pStyle w:val="8"/>
        <w:keepNext w:val="0"/>
        <w:keepLines w:val="0"/>
        <w:widowControl/>
        <w:suppressLineNumbers w:val="0"/>
        <w:spacing w:before="274" w:beforeAutospacing="0" w:after="274" w:afterAutospacing="0" w:line="540" w:lineRule="exact"/>
        <w:ind w:firstLine="640" w:firstLineChars="200"/>
        <w:jc w:val="both"/>
        <w:rPr>
          <w:rFonts w:hint="eastAsia" w:ascii="黑体" w:eastAsia="黑体"/>
          <w:sz w:val="32"/>
          <w:szCs w:val="32"/>
        </w:rPr>
      </w:pPr>
      <w:r>
        <w:rPr>
          <w:rFonts w:hint="eastAsia" w:ascii="黑体" w:eastAsia="黑体"/>
          <w:sz w:val="32"/>
          <w:szCs w:val="32"/>
          <w:shd w:val="clear" w:color="auto" w:fill="FFFFFF"/>
        </w:rPr>
        <w:t>第一部分</w:t>
      </w:r>
      <w:r>
        <w:rPr>
          <w:rFonts w:hint="eastAsia" w:ascii="黑体" w:eastAsia="黑体"/>
          <w:sz w:val="32"/>
          <w:szCs w:val="32"/>
          <w:shd w:val="clear" w:color="auto" w:fill="FFFFFF"/>
          <w:lang w:val="en-US" w:eastAsia="zh-CN"/>
        </w:rPr>
        <w:t xml:space="preserve">  单位</w:t>
      </w:r>
      <w:r>
        <w:rPr>
          <w:rFonts w:hint="eastAsia" w:ascii="黑体" w:eastAsia="黑体"/>
          <w:sz w:val="32"/>
          <w:szCs w:val="32"/>
          <w:shd w:val="clear" w:color="auto" w:fill="FFFFFF"/>
        </w:rPr>
        <w:t>概况</w:t>
      </w:r>
    </w:p>
    <w:p>
      <w:pPr>
        <w:pStyle w:val="8"/>
        <w:keepNext w:val="0"/>
        <w:keepLines w:val="0"/>
        <w:widowControl/>
        <w:suppressLineNumbers w:val="0"/>
        <w:spacing w:beforeAutospacing="0" w:afterAutospacing="0" w:line="540" w:lineRule="exact"/>
        <w:ind w:firstLine="640" w:firstLineChars="200"/>
        <w:rPr>
          <w:rFonts w:hint="eastAsia" w:ascii="仿宋" w:eastAsia="仿宋"/>
          <w:sz w:val="32"/>
          <w:szCs w:val="32"/>
        </w:rPr>
      </w:pPr>
      <w:r>
        <w:rPr>
          <w:rFonts w:hint="eastAsia" w:ascii="仿宋" w:eastAsia="仿宋"/>
          <w:sz w:val="32"/>
          <w:szCs w:val="32"/>
          <w:shd w:val="clear" w:color="auto" w:fill="FFFFFF"/>
        </w:rPr>
        <w:t>一、部门职责</w:t>
      </w:r>
    </w:p>
    <w:p>
      <w:pPr>
        <w:pStyle w:val="8"/>
        <w:keepNext w:val="0"/>
        <w:keepLines w:val="0"/>
        <w:widowControl/>
        <w:suppressLineNumbers w:val="0"/>
        <w:spacing w:beforeAutospacing="0" w:afterAutospacing="0" w:line="540" w:lineRule="exact"/>
        <w:rPr>
          <w:rFonts w:hint="eastAsia" w:ascii="仿宋" w:eastAsia="仿宋"/>
          <w:sz w:val="32"/>
          <w:szCs w:val="32"/>
        </w:rPr>
      </w:pPr>
      <w:r>
        <w:rPr>
          <w:rFonts w:hint="eastAsia" w:ascii="仿宋" w:eastAsia="仿宋"/>
          <w:sz w:val="32"/>
          <w:szCs w:val="32"/>
        </w:rPr>
        <w:t>  </w:t>
      </w:r>
      <w:r>
        <w:rPr>
          <w:rFonts w:hint="eastAsia" w:ascii="仿宋" w:eastAsia="仿宋"/>
          <w:color w:val="333333"/>
          <w:sz w:val="32"/>
          <w:szCs w:val="32"/>
          <w:shd w:val="clear" w:color="auto" w:fill="FFFFFF"/>
        </w:rPr>
        <w:t>（一）中共长沙市委台湾工作办公室（长沙市人民政府台湾事务办公室）是市委工作机关。</w:t>
      </w:r>
    </w:p>
    <w:p>
      <w:pPr>
        <w:pStyle w:val="8"/>
        <w:keepNext w:val="0"/>
        <w:keepLines w:val="0"/>
        <w:widowControl/>
        <w:suppressLineNumbers w:val="0"/>
        <w:spacing w:beforeAutospacing="0" w:afterAutospacing="0" w:line="540" w:lineRule="exact"/>
        <w:rPr>
          <w:rFonts w:hint="eastAsia" w:ascii="仿宋" w:eastAsia="仿宋"/>
          <w:sz w:val="32"/>
          <w:szCs w:val="32"/>
        </w:rPr>
      </w:pPr>
      <w:r>
        <w:rPr>
          <w:rFonts w:hint="eastAsia" w:ascii="仿宋" w:eastAsia="仿宋"/>
          <w:sz w:val="32"/>
          <w:szCs w:val="32"/>
        </w:rPr>
        <w:t>  </w:t>
      </w:r>
      <w:r>
        <w:rPr>
          <w:rFonts w:hint="eastAsia" w:ascii="仿宋" w:eastAsia="仿宋"/>
          <w:color w:val="333333"/>
          <w:sz w:val="32"/>
          <w:szCs w:val="32"/>
          <w:shd w:val="clear" w:color="auto" w:fill="FFFFFF"/>
        </w:rPr>
        <w:t>（二）主要职责：贯彻执行党和国家的对台方针、政策和各项涉台法律、法规；会同有关部门研究草拟我市涉台政策、法规，归口管理涉台工作；组织、指导、管理、协调市直各单位和各区、县（市）的对台工作，检查、了解各区、县（市）和各单位贯彻执行党和国家对台方针、政策情况；会同市政府有关部门统筹、协调、指导对台经贸工作和我市与台湾在文化、体育、科技、卫生等各个领域交流与合作；指导、检查、督促全市各地及有关部门做好台胞接待工作；组织、指导各区、县（市）有关单位开展对台宣传，向干部、群众进行对台方针政策和涉台法律、法规的宣传、教育；负责管理协调全市各项涉台交流事宜，负责办理赴台交流团组及人员的审查和报批；负责协调相关部门处理台商投诉案件及台胞、台属来信、来访工作；组织、管理我市的重大涉台活动，处理重大涉台事件。负责市委对台工作领导小组的日常事务性工作。承办市委、市人民政府交办的其他事项。</w:t>
      </w:r>
    </w:p>
    <w:p>
      <w:pPr>
        <w:pStyle w:val="8"/>
        <w:keepNext w:val="0"/>
        <w:keepLines w:val="0"/>
        <w:widowControl/>
        <w:suppressLineNumbers w:val="0"/>
        <w:spacing w:beforeAutospacing="0" w:afterAutospacing="0" w:line="540" w:lineRule="exact"/>
        <w:ind w:left="0" w:firstLine="640" w:firstLineChars="200"/>
        <w:rPr>
          <w:rFonts w:ascii="仿宋" w:eastAsia="仿宋"/>
          <w:sz w:val="32"/>
          <w:szCs w:val="32"/>
        </w:rPr>
      </w:pPr>
      <w:r>
        <w:rPr>
          <w:rFonts w:hint="eastAsia" w:ascii="仿宋" w:eastAsia="仿宋"/>
          <w:sz w:val="32"/>
          <w:szCs w:val="32"/>
        </w:rPr>
        <w:t>二、机构设置及决算单位构成</w:t>
      </w:r>
    </w:p>
    <w:p>
      <w:pPr>
        <w:pStyle w:val="8"/>
        <w:keepNext w:val="0"/>
        <w:keepLines w:val="0"/>
        <w:widowControl/>
        <w:suppressLineNumbers w:val="0"/>
        <w:spacing w:beforeAutospacing="0" w:afterAutospacing="0" w:line="540" w:lineRule="exact"/>
        <w:ind w:left="0" w:firstLine="640" w:firstLineChars="200"/>
        <w:rPr>
          <w:rFonts w:hint="eastAsia" w:ascii="仿宋" w:eastAsia="仿宋"/>
          <w:sz w:val="32"/>
          <w:szCs w:val="32"/>
        </w:rPr>
      </w:pPr>
      <w:r>
        <w:rPr>
          <w:rFonts w:hint="eastAsia" w:ascii="仿宋" w:eastAsia="仿宋"/>
          <w:sz w:val="32"/>
          <w:szCs w:val="32"/>
        </w:rPr>
        <w:t>（一）内设机构设置。</w:t>
      </w:r>
      <w:r>
        <w:rPr>
          <w:rFonts w:hint="eastAsia" w:ascii="仿宋" w:eastAsia="仿宋"/>
          <w:color w:val="333333"/>
          <w:sz w:val="32"/>
          <w:szCs w:val="32"/>
          <w:shd w:val="clear" w:color="auto" w:fill="FFFFFF"/>
        </w:rPr>
        <w:t>市委台办内设机构包括：秘书处、联络处、宣传处、经济处、投诉协调处、交流交往处等6个内设机构。</w:t>
      </w:r>
    </w:p>
    <w:p>
      <w:pPr>
        <w:pStyle w:val="8"/>
        <w:keepNext w:val="0"/>
        <w:keepLines w:val="0"/>
        <w:widowControl/>
        <w:suppressLineNumbers w:val="0"/>
        <w:spacing w:beforeAutospacing="0" w:afterAutospacing="0" w:line="540" w:lineRule="exact"/>
        <w:rPr>
          <w:rFonts w:hint="eastAsia" w:ascii="仿宋" w:eastAsia="仿宋"/>
          <w:sz w:val="32"/>
          <w:szCs w:val="32"/>
        </w:rPr>
      </w:pPr>
      <w:r>
        <w:rPr>
          <w:rFonts w:hint="eastAsia" w:ascii="仿宋" w:eastAsia="仿宋"/>
          <w:sz w:val="32"/>
          <w:szCs w:val="32"/>
        </w:rPr>
        <w:t>  </w:t>
      </w:r>
      <w:r>
        <w:rPr>
          <w:rFonts w:hint="eastAsia" w:ascii="仿宋" w:eastAsia="仿宋"/>
          <w:color w:val="333333"/>
          <w:sz w:val="32"/>
          <w:szCs w:val="32"/>
          <w:shd w:val="clear" w:color="auto" w:fill="FFFFFF"/>
        </w:rPr>
        <w:t>（二）决算单位构成。市委台办202</w:t>
      </w:r>
      <w:r>
        <w:rPr>
          <w:rFonts w:hint="eastAsia" w:ascii="仿宋" w:eastAsia="仿宋"/>
          <w:color w:val="333333"/>
          <w:sz w:val="32"/>
          <w:szCs w:val="32"/>
          <w:shd w:val="clear" w:color="auto" w:fill="FFFFFF"/>
          <w:lang w:val="en-US" w:eastAsia="zh-CN"/>
        </w:rPr>
        <w:t>1</w:t>
      </w:r>
      <w:r>
        <w:rPr>
          <w:rFonts w:hint="eastAsia" w:ascii="仿宋" w:eastAsia="仿宋"/>
          <w:color w:val="333333"/>
          <w:sz w:val="32"/>
          <w:szCs w:val="32"/>
          <w:shd w:val="clear" w:color="auto" w:fill="FFFFFF"/>
        </w:rPr>
        <w:t>年部门决算汇总公开单位构成包括：中共长沙市委台湾工作办公室本级（无二级机构）。</w:t>
      </w:r>
    </w:p>
    <w:p>
      <w:pPr>
        <w:pStyle w:val="8"/>
        <w:keepNext w:val="0"/>
        <w:keepLines w:val="0"/>
        <w:widowControl/>
        <w:suppressLineNumbers w:val="0"/>
        <w:spacing w:beforeAutospacing="0" w:afterAutospacing="0" w:line="540" w:lineRule="exact"/>
        <w:rPr>
          <w:rFonts w:ascii="仿宋" w:eastAsia="仿宋"/>
          <w:sz w:val="32"/>
          <w:szCs w:val="32"/>
        </w:rPr>
      </w:pPr>
    </w:p>
    <w:p>
      <w:pPr>
        <w:pStyle w:val="8"/>
        <w:keepNext w:val="0"/>
        <w:keepLines w:val="0"/>
        <w:widowControl/>
        <w:suppressLineNumbers w:val="0"/>
        <w:spacing w:beforeAutospacing="0" w:afterAutospacing="0" w:line="540" w:lineRule="exact"/>
        <w:ind w:firstLine="640" w:firstLineChars="200"/>
        <w:rPr>
          <w:rFonts w:hint="eastAsia" w:ascii="黑体" w:eastAsia="黑体"/>
          <w:sz w:val="32"/>
          <w:szCs w:val="32"/>
        </w:rPr>
      </w:pPr>
      <w:r>
        <w:rPr>
          <w:rFonts w:hint="eastAsia" w:ascii="黑体" w:eastAsia="黑体"/>
          <w:sz w:val="32"/>
          <w:szCs w:val="32"/>
          <w:shd w:val="clear" w:color="auto" w:fill="FFFFFF"/>
        </w:rPr>
        <w:t>第二部分 部门决算表（附后）</w:t>
      </w:r>
    </w:p>
    <w:p>
      <w:pPr>
        <w:pStyle w:val="8"/>
        <w:keepNext w:val="0"/>
        <w:keepLines w:val="0"/>
        <w:widowControl/>
        <w:suppressLineNumbers w:val="0"/>
        <w:spacing w:beforeAutospacing="0" w:afterAutospacing="0" w:line="540" w:lineRule="exact"/>
        <w:rPr>
          <w:rFonts w:hint="eastAsia" w:ascii="仿宋" w:eastAsia="仿宋"/>
          <w:sz w:val="32"/>
          <w:szCs w:val="32"/>
        </w:rPr>
      </w:pPr>
      <w:r>
        <w:rPr>
          <w:rFonts w:hint="eastAsia" w:ascii="仿宋" w:eastAsia="仿宋"/>
          <w:sz w:val="32"/>
          <w:szCs w:val="32"/>
        </w:rPr>
        <w:t>  </w:t>
      </w:r>
    </w:p>
    <w:p>
      <w:pPr>
        <w:pStyle w:val="8"/>
        <w:keepNext w:val="0"/>
        <w:keepLines w:val="0"/>
        <w:widowControl/>
        <w:suppressLineNumbers w:val="0"/>
        <w:spacing w:beforeAutospacing="0" w:afterAutospacing="0" w:line="540" w:lineRule="exact"/>
        <w:rPr>
          <w:rFonts w:hint="eastAsia" w:ascii="仿宋" w:eastAsia="仿宋"/>
          <w:sz w:val="32"/>
          <w:szCs w:val="32"/>
        </w:rPr>
      </w:pPr>
      <w:r>
        <w:rPr>
          <w:rFonts w:hint="eastAsia" w:ascii="仿宋" w:eastAsia="仿宋"/>
          <w:sz w:val="32"/>
          <w:szCs w:val="32"/>
        </w:rPr>
        <w:t>  </w:t>
      </w:r>
    </w:p>
    <w:p>
      <w:pPr>
        <w:pStyle w:val="8"/>
        <w:keepNext w:val="0"/>
        <w:keepLines w:val="0"/>
        <w:widowControl/>
        <w:suppressLineNumbers w:val="0"/>
        <w:shd w:val="clear" w:color="auto" w:fill="FFFFFF"/>
        <w:spacing w:before="274" w:beforeAutospacing="0" w:after="274" w:afterAutospacing="0" w:line="540" w:lineRule="exact"/>
        <w:ind w:firstLine="640" w:firstLineChars="200"/>
        <w:jc w:val="both"/>
        <w:rPr>
          <w:rFonts w:hint="eastAsia" w:ascii="黑体" w:eastAsia="黑体"/>
          <w:sz w:val="32"/>
          <w:szCs w:val="32"/>
        </w:rPr>
      </w:pPr>
      <w:r>
        <w:rPr>
          <w:rFonts w:hint="eastAsia" w:ascii="黑体" w:eastAsia="黑体"/>
          <w:sz w:val="32"/>
          <w:szCs w:val="32"/>
          <w:shd w:val="clear" w:color="auto" w:fill="FFFFFF"/>
        </w:rPr>
        <w:t>第三部分  202</w:t>
      </w:r>
      <w:r>
        <w:rPr>
          <w:rFonts w:hint="eastAsia" w:ascii="黑体" w:eastAsia="黑体"/>
          <w:sz w:val="32"/>
          <w:szCs w:val="32"/>
          <w:shd w:val="clear" w:color="auto" w:fill="FFFFFF"/>
          <w:lang w:val="en-US" w:eastAsia="zh-CN"/>
        </w:rPr>
        <w:t>1</w:t>
      </w:r>
      <w:r>
        <w:rPr>
          <w:rFonts w:hint="eastAsia" w:ascii="黑体" w:eastAsia="黑体"/>
          <w:sz w:val="32"/>
          <w:szCs w:val="32"/>
          <w:shd w:val="clear" w:color="auto" w:fill="FFFFFF"/>
        </w:rPr>
        <w:t>年度部门决算情况说明</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仿宋" w:eastAsia="仿宋"/>
          <w:sz w:val="32"/>
          <w:szCs w:val="32"/>
        </w:rPr>
      </w:pPr>
      <w:r>
        <w:rPr>
          <w:rFonts w:hint="eastAsia" w:ascii="仿宋" w:eastAsia="仿宋"/>
          <w:sz w:val="32"/>
          <w:szCs w:val="32"/>
          <w:shd w:val="clear" w:color="auto" w:fill="FFFFFF"/>
        </w:rPr>
        <w:t>一、收入支出决算总体情况说明</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textAlignment w:val="auto"/>
        <w:rPr>
          <w:rFonts w:hint="eastAsia" w:ascii="仿宋" w:eastAsia="仿宋"/>
          <w:sz w:val="32"/>
          <w:szCs w:val="32"/>
        </w:rPr>
      </w:pPr>
      <w:r>
        <w:rPr>
          <w:rFonts w:hint="eastAsia" w:ascii="仿宋" w:eastAsia="仿宋"/>
          <w:sz w:val="32"/>
          <w:szCs w:val="32"/>
        </w:rPr>
        <w:t>  </w:t>
      </w:r>
      <w:r>
        <w:rPr>
          <w:rFonts w:hint="eastAsia" w:ascii="仿宋" w:eastAsia="仿宋"/>
          <w:sz w:val="32"/>
          <w:szCs w:val="32"/>
          <w:shd w:val="clear" w:color="auto" w:fill="FFFFFF"/>
        </w:rPr>
        <w:t>202</w:t>
      </w:r>
      <w:r>
        <w:rPr>
          <w:rFonts w:hint="eastAsia" w:ascii="仿宋" w:eastAsia="仿宋"/>
          <w:sz w:val="32"/>
          <w:szCs w:val="32"/>
          <w:shd w:val="clear" w:color="auto" w:fill="FFFFFF"/>
          <w:lang w:val="en-US" w:eastAsia="zh-CN"/>
        </w:rPr>
        <w:t>1</w:t>
      </w:r>
      <w:r>
        <w:rPr>
          <w:rFonts w:hint="eastAsia" w:ascii="仿宋" w:eastAsia="仿宋"/>
          <w:sz w:val="32"/>
          <w:szCs w:val="32"/>
          <w:shd w:val="clear" w:color="auto" w:fill="FFFFFF"/>
        </w:rPr>
        <w:t>年度收、支总计均为</w:t>
      </w:r>
      <w:r>
        <w:rPr>
          <w:rFonts w:hint="eastAsia" w:ascii="仿宋" w:eastAsia="仿宋"/>
          <w:sz w:val="32"/>
          <w:szCs w:val="32"/>
          <w:shd w:val="clear" w:color="auto" w:fill="FFFFFF"/>
          <w:lang w:val="en-US" w:eastAsia="zh-CN"/>
        </w:rPr>
        <w:t>1118.41</w:t>
      </w:r>
      <w:r>
        <w:rPr>
          <w:rFonts w:hint="eastAsia" w:ascii="仿宋" w:eastAsia="仿宋"/>
          <w:sz w:val="32"/>
          <w:szCs w:val="32"/>
          <w:shd w:val="clear" w:color="auto" w:fill="FFFFFF"/>
        </w:rPr>
        <w:t>万元。与上年度相比，收、支总计各增加</w:t>
      </w:r>
      <w:r>
        <w:rPr>
          <w:rFonts w:hint="eastAsia" w:ascii="仿宋" w:eastAsia="仿宋"/>
          <w:sz w:val="32"/>
          <w:szCs w:val="32"/>
          <w:shd w:val="clear" w:color="auto" w:fill="FFFFFF"/>
          <w:lang w:val="en-US" w:eastAsia="zh-CN"/>
        </w:rPr>
        <w:t>111.41</w:t>
      </w:r>
      <w:r>
        <w:rPr>
          <w:rFonts w:hint="eastAsia" w:ascii="仿宋" w:eastAsia="仿宋"/>
          <w:sz w:val="32"/>
          <w:szCs w:val="32"/>
          <w:shd w:val="clear" w:color="auto" w:fill="FFFFFF"/>
        </w:rPr>
        <w:t>万元，增长</w:t>
      </w:r>
      <w:r>
        <w:rPr>
          <w:rFonts w:hint="eastAsia" w:ascii="仿宋" w:eastAsia="仿宋"/>
          <w:sz w:val="32"/>
          <w:szCs w:val="32"/>
          <w:shd w:val="clear" w:color="auto" w:fill="FFFFFF"/>
          <w:lang w:val="en-US" w:eastAsia="zh-CN"/>
        </w:rPr>
        <w:t>11</w:t>
      </w:r>
      <w:r>
        <w:rPr>
          <w:rFonts w:hint="eastAsia" w:ascii="仿宋" w:eastAsia="仿宋"/>
          <w:sz w:val="32"/>
          <w:szCs w:val="32"/>
          <w:shd w:val="clear" w:color="auto" w:fill="FFFFFF"/>
        </w:rPr>
        <w:t>.</w:t>
      </w:r>
      <w:r>
        <w:rPr>
          <w:rFonts w:hint="eastAsia" w:ascii="仿宋" w:eastAsia="仿宋"/>
          <w:sz w:val="32"/>
          <w:szCs w:val="32"/>
          <w:shd w:val="clear" w:color="auto" w:fill="FFFFFF"/>
          <w:lang w:val="en-US" w:eastAsia="zh-CN"/>
        </w:rPr>
        <w:t>64</w:t>
      </w:r>
      <w:r>
        <w:rPr>
          <w:rFonts w:hint="eastAsia" w:ascii="仿宋" w:eastAsia="仿宋"/>
          <w:sz w:val="32"/>
          <w:szCs w:val="32"/>
          <w:shd w:val="clear" w:color="auto" w:fill="FFFFFF"/>
        </w:rPr>
        <w:t>%。主要原因是人员经费增加，社保公积金基数调整等。</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textAlignment w:val="auto"/>
        <w:rPr>
          <w:rFonts w:hint="eastAsia" w:ascii="仿宋" w:eastAsia="仿宋"/>
          <w:sz w:val="32"/>
          <w:szCs w:val="32"/>
          <w:shd w:val="clear" w:color="auto" w:fill="FFFFFF"/>
        </w:rPr>
      </w:pPr>
      <w:r>
        <w:rPr>
          <w:rFonts w:hint="eastAsia" w:ascii="仿宋" w:eastAsia="仿宋"/>
          <w:sz w:val="32"/>
          <w:szCs w:val="32"/>
        </w:rPr>
        <w:t>  </w:t>
      </w:r>
      <w:r>
        <w:rPr>
          <w:rFonts w:hint="eastAsia" w:ascii="仿宋" w:eastAsia="仿宋"/>
          <w:sz w:val="32"/>
          <w:szCs w:val="32"/>
          <w:shd w:val="clear" w:color="auto" w:fill="FFFFFF"/>
        </w:rPr>
        <w:t>二、收入决算情况说明</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仿宋" w:eastAsia="仿宋"/>
          <w:sz w:val="32"/>
          <w:szCs w:val="32"/>
        </w:rPr>
      </w:pPr>
      <w:r>
        <w:rPr>
          <w:rFonts w:hint="eastAsia" w:ascii="仿宋" w:eastAsia="仿宋"/>
          <w:sz w:val="32"/>
          <w:szCs w:val="32"/>
          <w:shd w:val="clear" w:color="auto" w:fill="FFFFFF"/>
        </w:rPr>
        <w:t>202</w:t>
      </w:r>
      <w:r>
        <w:rPr>
          <w:rFonts w:hint="eastAsia" w:ascii="仿宋" w:eastAsia="仿宋"/>
          <w:sz w:val="32"/>
          <w:szCs w:val="32"/>
          <w:shd w:val="clear" w:color="auto" w:fill="FFFFFF"/>
          <w:lang w:val="en-US" w:eastAsia="zh-CN"/>
        </w:rPr>
        <w:t>1</w:t>
      </w:r>
      <w:r>
        <w:rPr>
          <w:rFonts w:hint="eastAsia" w:ascii="仿宋" w:eastAsia="仿宋"/>
          <w:sz w:val="32"/>
          <w:szCs w:val="32"/>
          <w:shd w:val="clear" w:color="auto" w:fill="FFFFFF"/>
        </w:rPr>
        <w:t>年度收入合计</w:t>
      </w:r>
      <w:r>
        <w:rPr>
          <w:rFonts w:hint="eastAsia" w:ascii="仿宋" w:eastAsia="仿宋"/>
          <w:sz w:val="32"/>
          <w:szCs w:val="32"/>
          <w:shd w:val="clear" w:color="auto" w:fill="FFFFFF"/>
          <w:lang w:val="en-US" w:eastAsia="zh-CN"/>
        </w:rPr>
        <w:t>1118.41</w:t>
      </w:r>
      <w:r>
        <w:rPr>
          <w:rFonts w:hint="eastAsia" w:ascii="仿宋" w:eastAsia="仿宋"/>
          <w:sz w:val="32"/>
          <w:szCs w:val="32"/>
          <w:shd w:val="clear" w:color="auto" w:fill="FFFFFF"/>
        </w:rPr>
        <w:t>万元，其中：财政拨款收入</w:t>
      </w:r>
      <w:r>
        <w:rPr>
          <w:rFonts w:hint="eastAsia" w:ascii="仿宋" w:eastAsia="仿宋"/>
          <w:sz w:val="32"/>
          <w:szCs w:val="32"/>
          <w:shd w:val="clear" w:color="auto" w:fill="FFFFFF"/>
          <w:lang w:val="en-US" w:eastAsia="zh-CN"/>
        </w:rPr>
        <w:t>1118.41</w:t>
      </w:r>
      <w:r>
        <w:rPr>
          <w:rFonts w:hint="eastAsia" w:ascii="仿宋" w:eastAsia="仿宋"/>
          <w:sz w:val="32"/>
          <w:szCs w:val="32"/>
          <w:shd w:val="clear" w:color="auto" w:fill="FFFFFF"/>
        </w:rPr>
        <w:t>万元，占100.00%；上级补助收入0.00万元，占0.00%；事业收入0.00万元，占0.00%；经营收入0.00万元，占0.00%；附属单位上缴收入0.00万元，占0.00%；其他收入0.00万元，占0.00%。</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textAlignment w:val="auto"/>
        <w:rPr>
          <w:rFonts w:hint="eastAsia" w:ascii="仿宋" w:eastAsia="仿宋"/>
          <w:sz w:val="32"/>
          <w:szCs w:val="32"/>
        </w:rPr>
      </w:pPr>
      <w:r>
        <w:rPr>
          <w:rFonts w:hint="eastAsia" w:ascii="仿宋" w:eastAsia="仿宋"/>
          <w:sz w:val="32"/>
          <w:szCs w:val="32"/>
        </w:rPr>
        <w:t>  </w:t>
      </w:r>
      <w:r>
        <w:rPr>
          <w:rFonts w:hint="eastAsia" w:ascii="仿宋" w:eastAsia="仿宋"/>
          <w:sz w:val="32"/>
          <w:szCs w:val="32"/>
          <w:shd w:val="clear" w:color="auto" w:fill="FFFFFF"/>
        </w:rPr>
        <w:t>三、支出决算情况说明</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textAlignment w:val="auto"/>
        <w:rPr>
          <w:rFonts w:hint="eastAsia" w:ascii="仿宋" w:eastAsia="仿宋"/>
          <w:sz w:val="32"/>
          <w:szCs w:val="32"/>
        </w:rPr>
      </w:pPr>
      <w:r>
        <w:rPr>
          <w:rFonts w:hint="eastAsia" w:ascii="仿宋" w:eastAsia="仿宋"/>
          <w:sz w:val="32"/>
          <w:szCs w:val="32"/>
        </w:rPr>
        <w:t>  </w:t>
      </w:r>
      <w:r>
        <w:rPr>
          <w:rFonts w:hint="eastAsia" w:ascii="仿宋" w:eastAsia="仿宋"/>
          <w:sz w:val="32"/>
          <w:szCs w:val="32"/>
          <w:shd w:val="clear" w:color="auto" w:fill="FFFFFF"/>
        </w:rPr>
        <w:t>202</w:t>
      </w:r>
      <w:r>
        <w:rPr>
          <w:rFonts w:hint="eastAsia" w:ascii="仿宋" w:eastAsia="仿宋"/>
          <w:sz w:val="32"/>
          <w:szCs w:val="32"/>
          <w:shd w:val="clear" w:color="auto" w:fill="FFFFFF"/>
          <w:lang w:val="en-US" w:eastAsia="zh-CN"/>
        </w:rPr>
        <w:t>1</w:t>
      </w:r>
      <w:r>
        <w:rPr>
          <w:rFonts w:hint="eastAsia" w:ascii="仿宋" w:eastAsia="仿宋"/>
          <w:sz w:val="32"/>
          <w:szCs w:val="32"/>
          <w:shd w:val="clear" w:color="auto" w:fill="FFFFFF"/>
        </w:rPr>
        <w:t>年度支出合计</w:t>
      </w:r>
      <w:r>
        <w:rPr>
          <w:rFonts w:hint="eastAsia" w:ascii="仿宋" w:eastAsia="仿宋"/>
          <w:sz w:val="32"/>
          <w:szCs w:val="32"/>
          <w:shd w:val="clear" w:color="auto" w:fill="FFFFFF"/>
          <w:lang w:val="en-US" w:eastAsia="zh-CN"/>
        </w:rPr>
        <w:t>1118.41</w:t>
      </w:r>
      <w:r>
        <w:rPr>
          <w:rFonts w:hint="eastAsia" w:ascii="仿宋" w:eastAsia="仿宋"/>
          <w:sz w:val="32"/>
          <w:szCs w:val="32"/>
          <w:shd w:val="clear" w:color="auto" w:fill="FFFFFF"/>
        </w:rPr>
        <w:t>万元，其中：基本支出</w:t>
      </w:r>
      <w:r>
        <w:rPr>
          <w:rFonts w:hint="eastAsia" w:ascii="仿宋" w:eastAsia="仿宋"/>
          <w:sz w:val="32"/>
          <w:szCs w:val="32"/>
          <w:shd w:val="clear" w:color="auto" w:fill="FFFFFF"/>
          <w:lang w:val="en-US" w:eastAsia="zh-CN"/>
        </w:rPr>
        <w:t>1002</w:t>
      </w:r>
      <w:r>
        <w:rPr>
          <w:rFonts w:hint="eastAsia" w:ascii="仿宋" w:eastAsia="仿宋"/>
          <w:sz w:val="32"/>
          <w:szCs w:val="32"/>
          <w:shd w:val="clear" w:color="auto" w:fill="FFFFFF"/>
        </w:rPr>
        <w:t>.</w:t>
      </w:r>
      <w:r>
        <w:rPr>
          <w:rFonts w:hint="eastAsia" w:ascii="仿宋" w:eastAsia="仿宋"/>
          <w:sz w:val="32"/>
          <w:szCs w:val="32"/>
          <w:shd w:val="clear" w:color="auto" w:fill="FFFFFF"/>
          <w:lang w:val="en-US" w:eastAsia="zh-CN"/>
        </w:rPr>
        <w:t>85</w:t>
      </w:r>
      <w:r>
        <w:rPr>
          <w:rFonts w:hint="eastAsia" w:ascii="仿宋" w:eastAsia="仿宋"/>
          <w:sz w:val="32"/>
          <w:szCs w:val="32"/>
          <w:shd w:val="clear" w:color="auto" w:fill="FFFFFF"/>
        </w:rPr>
        <w:t>万元，占</w:t>
      </w:r>
      <w:r>
        <w:rPr>
          <w:rFonts w:hint="eastAsia" w:ascii="仿宋" w:eastAsia="仿宋"/>
          <w:sz w:val="32"/>
          <w:szCs w:val="32"/>
          <w:shd w:val="clear" w:color="auto" w:fill="FFFFFF"/>
          <w:lang w:val="en-US" w:eastAsia="zh-CN"/>
        </w:rPr>
        <w:t>70</w:t>
      </w:r>
      <w:r>
        <w:rPr>
          <w:rFonts w:hint="eastAsia" w:ascii="仿宋" w:eastAsia="仿宋"/>
          <w:sz w:val="32"/>
          <w:szCs w:val="32"/>
          <w:shd w:val="clear" w:color="auto" w:fill="FFFFFF"/>
        </w:rPr>
        <w:t>.</w:t>
      </w:r>
      <w:r>
        <w:rPr>
          <w:rFonts w:hint="eastAsia" w:ascii="仿宋" w:eastAsia="仿宋"/>
          <w:sz w:val="32"/>
          <w:szCs w:val="32"/>
          <w:shd w:val="clear" w:color="auto" w:fill="FFFFFF"/>
          <w:lang w:val="en-US" w:eastAsia="zh-CN"/>
        </w:rPr>
        <w:t>20</w:t>
      </w:r>
      <w:r>
        <w:rPr>
          <w:rFonts w:hint="eastAsia" w:ascii="仿宋" w:eastAsia="仿宋"/>
          <w:sz w:val="32"/>
          <w:szCs w:val="32"/>
          <w:shd w:val="clear" w:color="auto" w:fill="FFFFFF"/>
        </w:rPr>
        <w:t>%；项目支出</w:t>
      </w:r>
      <w:r>
        <w:rPr>
          <w:rFonts w:hint="eastAsia" w:ascii="仿宋" w:eastAsia="仿宋"/>
          <w:sz w:val="32"/>
          <w:szCs w:val="32"/>
          <w:shd w:val="clear" w:color="auto" w:fill="FFFFFF"/>
          <w:lang w:val="en-US" w:eastAsia="zh-CN"/>
        </w:rPr>
        <w:t>115.56</w:t>
      </w:r>
      <w:r>
        <w:rPr>
          <w:rFonts w:hint="eastAsia" w:ascii="仿宋" w:eastAsia="仿宋"/>
          <w:sz w:val="32"/>
          <w:szCs w:val="32"/>
          <w:shd w:val="clear" w:color="auto" w:fill="FFFFFF"/>
        </w:rPr>
        <w:t>万元，占</w:t>
      </w:r>
      <w:r>
        <w:rPr>
          <w:rFonts w:hint="eastAsia" w:ascii="仿宋" w:eastAsia="仿宋"/>
          <w:sz w:val="32"/>
          <w:szCs w:val="32"/>
          <w:shd w:val="clear" w:color="auto" w:fill="FFFFFF"/>
          <w:lang w:val="en-US" w:eastAsia="zh-CN"/>
        </w:rPr>
        <w:t>8</w:t>
      </w:r>
      <w:r>
        <w:rPr>
          <w:rFonts w:hint="eastAsia" w:ascii="仿宋" w:eastAsia="仿宋"/>
          <w:sz w:val="32"/>
          <w:szCs w:val="32"/>
          <w:shd w:val="clear" w:color="auto" w:fill="FFFFFF"/>
        </w:rPr>
        <w:t>.</w:t>
      </w:r>
      <w:r>
        <w:rPr>
          <w:rFonts w:hint="eastAsia" w:ascii="仿宋" w:eastAsia="仿宋"/>
          <w:sz w:val="32"/>
          <w:szCs w:val="32"/>
          <w:shd w:val="clear" w:color="auto" w:fill="FFFFFF"/>
          <w:lang w:val="en-US" w:eastAsia="zh-CN"/>
        </w:rPr>
        <w:t>09</w:t>
      </w:r>
      <w:r>
        <w:rPr>
          <w:rFonts w:hint="eastAsia" w:ascii="仿宋" w:eastAsia="仿宋"/>
          <w:sz w:val="32"/>
          <w:szCs w:val="32"/>
          <w:shd w:val="clear" w:color="auto" w:fill="FFFFFF"/>
        </w:rPr>
        <w:t>%；上缴上级支出0.00万元，占0.00%；经营支出0.00万元，占0.00%；对附属单位补助支出0.00万元，占0.00%。</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textAlignment w:val="auto"/>
        <w:rPr>
          <w:rFonts w:hint="eastAsia" w:ascii="仿宋" w:eastAsia="仿宋"/>
          <w:sz w:val="32"/>
          <w:szCs w:val="32"/>
        </w:rPr>
      </w:pPr>
      <w:r>
        <w:rPr>
          <w:rFonts w:hint="eastAsia" w:ascii="仿宋" w:eastAsia="仿宋"/>
          <w:sz w:val="32"/>
          <w:szCs w:val="32"/>
        </w:rPr>
        <w:t>  </w:t>
      </w:r>
      <w:r>
        <w:rPr>
          <w:rFonts w:hint="eastAsia" w:ascii="仿宋" w:eastAsia="仿宋"/>
          <w:sz w:val="32"/>
          <w:szCs w:val="32"/>
          <w:shd w:val="clear" w:color="auto" w:fill="FFFFFF"/>
        </w:rPr>
        <w:t>四、财政拨款收入支出决算总体情况说明</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仿宋" w:eastAsia="仿宋"/>
          <w:sz w:val="32"/>
          <w:szCs w:val="32"/>
        </w:rPr>
      </w:pPr>
      <w:r>
        <w:rPr>
          <w:rFonts w:hint="eastAsia" w:ascii="仿宋" w:eastAsia="仿宋"/>
          <w:sz w:val="32"/>
          <w:szCs w:val="32"/>
          <w:shd w:val="clear" w:color="auto" w:fill="FFFFFF"/>
        </w:rPr>
        <w:t>202</w:t>
      </w:r>
      <w:r>
        <w:rPr>
          <w:rFonts w:hint="eastAsia" w:ascii="仿宋" w:eastAsia="仿宋"/>
          <w:sz w:val="32"/>
          <w:szCs w:val="32"/>
          <w:shd w:val="clear" w:color="auto" w:fill="FFFFFF"/>
          <w:lang w:val="en-US" w:eastAsia="zh-CN"/>
        </w:rPr>
        <w:t>1</w:t>
      </w:r>
      <w:r>
        <w:rPr>
          <w:rFonts w:hint="eastAsia" w:ascii="仿宋" w:eastAsia="仿宋"/>
          <w:sz w:val="32"/>
          <w:szCs w:val="32"/>
          <w:shd w:val="clear" w:color="auto" w:fill="FFFFFF"/>
        </w:rPr>
        <w:t>年度财政拨款收、支总计均为</w:t>
      </w:r>
      <w:r>
        <w:rPr>
          <w:rFonts w:hint="eastAsia" w:ascii="仿宋" w:eastAsia="仿宋"/>
          <w:sz w:val="32"/>
          <w:szCs w:val="32"/>
          <w:shd w:val="clear" w:color="auto" w:fill="FFFFFF"/>
          <w:lang w:val="en-US" w:eastAsia="zh-CN"/>
        </w:rPr>
        <w:t>1118.41</w:t>
      </w:r>
      <w:r>
        <w:rPr>
          <w:rFonts w:hint="eastAsia" w:ascii="仿宋" w:eastAsia="仿宋"/>
          <w:sz w:val="32"/>
          <w:szCs w:val="32"/>
          <w:shd w:val="clear" w:color="auto" w:fill="FFFFFF"/>
        </w:rPr>
        <w:t>万元。与上年度相比，财政拨款收、支总计各增</w:t>
      </w:r>
      <w:r>
        <w:rPr>
          <w:rFonts w:hint="eastAsia" w:ascii="仿宋" w:eastAsia="仿宋"/>
          <w:sz w:val="32"/>
          <w:szCs w:val="32"/>
          <w:shd w:val="clear" w:color="auto" w:fill="FFFFFF"/>
          <w:lang w:eastAsia="zh-CN"/>
        </w:rPr>
        <w:t>加</w:t>
      </w:r>
      <w:r>
        <w:rPr>
          <w:rFonts w:hint="eastAsia" w:ascii="仿宋" w:eastAsia="仿宋"/>
          <w:sz w:val="32"/>
          <w:szCs w:val="32"/>
          <w:shd w:val="clear" w:color="auto" w:fill="FFFFFF"/>
          <w:lang w:val="en-US" w:eastAsia="zh-CN"/>
        </w:rPr>
        <w:t>111.41</w:t>
      </w:r>
      <w:r>
        <w:rPr>
          <w:rFonts w:hint="eastAsia" w:ascii="仿宋" w:eastAsia="仿宋"/>
          <w:sz w:val="32"/>
          <w:szCs w:val="32"/>
          <w:shd w:val="clear" w:color="auto" w:fill="FFFFFF"/>
        </w:rPr>
        <w:t>万元，增长</w:t>
      </w:r>
      <w:r>
        <w:rPr>
          <w:rFonts w:hint="eastAsia" w:ascii="仿宋" w:eastAsia="仿宋"/>
          <w:sz w:val="32"/>
          <w:szCs w:val="32"/>
          <w:shd w:val="clear" w:color="auto" w:fill="FFFFFF"/>
          <w:lang w:val="en-US" w:eastAsia="zh-CN"/>
        </w:rPr>
        <w:t>11</w:t>
      </w:r>
      <w:r>
        <w:rPr>
          <w:rFonts w:hint="eastAsia" w:ascii="仿宋" w:eastAsia="仿宋"/>
          <w:sz w:val="32"/>
          <w:szCs w:val="32"/>
          <w:shd w:val="clear" w:color="auto" w:fill="FFFFFF"/>
        </w:rPr>
        <w:t>.</w:t>
      </w:r>
      <w:r>
        <w:rPr>
          <w:rFonts w:hint="eastAsia" w:ascii="仿宋" w:eastAsia="仿宋"/>
          <w:sz w:val="32"/>
          <w:szCs w:val="32"/>
          <w:shd w:val="clear" w:color="auto" w:fill="FFFFFF"/>
          <w:lang w:val="en-US" w:eastAsia="zh-CN"/>
        </w:rPr>
        <w:t>64</w:t>
      </w:r>
      <w:r>
        <w:rPr>
          <w:rFonts w:hint="eastAsia" w:ascii="仿宋" w:eastAsia="仿宋"/>
          <w:sz w:val="32"/>
          <w:szCs w:val="32"/>
          <w:shd w:val="clear" w:color="auto" w:fill="FFFFFF"/>
        </w:rPr>
        <w:t>%。主要原因是人员经费增加，社保公积金基数调整等。</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textAlignment w:val="auto"/>
        <w:rPr>
          <w:rFonts w:hint="eastAsia" w:ascii="仿宋" w:eastAsia="仿宋"/>
          <w:sz w:val="32"/>
          <w:szCs w:val="32"/>
        </w:rPr>
      </w:pPr>
      <w:r>
        <w:rPr>
          <w:rFonts w:hint="eastAsia" w:ascii="仿宋" w:eastAsia="仿宋"/>
          <w:sz w:val="32"/>
          <w:szCs w:val="32"/>
        </w:rPr>
        <w:t>  </w:t>
      </w:r>
      <w:r>
        <w:rPr>
          <w:rFonts w:hint="eastAsia" w:ascii="仿宋" w:eastAsia="仿宋"/>
          <w:sz w:val="32"/>
          <w:szCs w:val="32"/>
          <w:shd w:val="clear" w:color="auto" w:fill="FFFFFF"/>
        </w:rPr>
        <w:t>五、一般公共预算财政拨款支出决算情况说明</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textAlignment w:val="auto"/>
        <w:rPr>
          <w:rFonts w:hint="eastAsia" w:ascii="仿宋" w:eastAsia="仿宋"/>
          <w:sz w:val="32"/>
          <w:szCs w:val="32"/>
        </w:rPr>
      </w:pPr>
      <w:r>
        <w:rPr>
          <w:rFonts w:hint="eastAsia" w:ascii="仿宋" w:eastAsia="仿宋"/>
          <w:sz w:val="32"/>
          <w:szCs w:val="32"/>
        </w:rPr>
        <w:t>  </w:t>
      </w:r>
      <w:r>
        <w:rPr>
          <w:rFonts w:hint="eastAsia" w:ascii="仿宋" w:eastAsia="仿宋"/>
          <w:sz w:val="32"/>
          <w:szCs w:val="32"/>
          <w:shd w:val="clear" w:color="auto" w:fill="FFFFFF"/>
        </w:rPr>
        <w:t>（一）财政拨款支出决算总体情况。</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仿宋" w:eastAsia="仿宋"/>
          <w:sz w:val="32"/>
          <w:szCs w:val="32"/>
        </w:rPr>
      </w:pPr>
      <w:r>
        <w:rPr>
          <w:rFonts w:hint="eastAsia" w:ascii="仿宋" w:eastAsia="仿宋"/>
          <w:sz w:val="32"/>
          <w:szCs w:val="32"/>
          <w:shd w:val="clear" w:color="auto" w:fill="FFFFFF"/>
        </w:rPr>
        <w:t>202</w:t>
      </w:r>
      <w:r>
        <w:rPr>
          <w:rFonts w:hint="eastAsia" w:ascii="仿宋" w:eastAsia="仿宋"/>
          <w:sz w:val="32"/>
          <w:szCs w:val="32"/>
          <w:shd w:val="clear" w:color="auto" w:fill="FFFFFF"/>
          <w:lang w:val="en-US" w:eastAsia="zh-CN"/>
        </w:rPr>
        <w:t>1</w:t>
      </w:r>
      <w:r>
        <w:rPr>
          <w:rFonts w:hint="eastAsia" w:ascii="仿宋" w:eastAsia="仿宋"/>
          <w:sz w:val="32"/>
          <w:szCs w:val="32"/>
          <w:shd w:val="clear" w:color="auto" w:fill="FFFFFF"/>
        </w:rPr>
        <w:t>年度一般公共预算财政拨款支出</w:t>
      </w:r>
      <w:r>
        <w:rPr>
          <w:rFonts w:hint="eastAsia" w:ascii="仿宋" w:eastAsia="仿宋"/>
          <w:sz w:val="32"/>
          <w:szCs w:val="32"/>
          <w:shd w:val="clear" w:color="auto" w:fill="FFFFFF"/>
          <w:lang w:val="en-US" w:eastAsia="zh-CN"/>
        </w:rPr>
        <w:t>1118.41</w:t>
      </w:r>
      <w:r>
        <w:rPr>
          <w:rFonts w:hint="eastAsia" w:ascii="仿宋" w:eastAsia="仿宋"/>
          <w:sz w:val="32"/>
          <w:szCs w:val="32"/>
          <w:shd w:val="clear" w:color="auto" w:fill="FFFFFF"/>
        </w:rPr>
        <w:t>万元，占支出合计的100.00%。与上年度相比，一般公共预算财政拨款支出增加</w:t>
      </w:r>
      <w:r>
        <w:rPr>
          <w:rFonts w:hint="eastAsia" w:ascii="仿宋" w:eastAsia="仿宋"/>
          <w:sz w:val="32"/>
          <w:szCs w:val="32"/>
          <w:shd w:val="clear" w:color="auto" w:fill="FFFFFF"/>
          <w:lang w:val="en-US" w:eastAsia="zh-CN"/>
        </w:rPr>
        <w:t>111.41</w:t>
      </w:r>
      <w:r>
        <w:rPr>
          <w:rFonts w:hint="eastAsia" w:ascii="仿宋" w:eastAsia="仿宋"/>
          <w:sz w:val="32"/>
          <w:szCs w:val="32"/>
          <w:shd w:val="clear" w:color="auto" w:fill="FFFFFF"/>
        </w:rPr>
        <w:t>万元，增长</w:t>
      </w:r>
      <w:r>
        <w:rPr>
          <w:rFonts w:hint="eastAsia" w:ascii="仿宋" w:eastAsia="仿宋"/>
          <w:sz w:val="32"/>
          <w:szCs w:val="32"/>
          <w:shd w:val="clear" w:color="auto" w:fill="FFFFFF"/>
          <w:lang w:val="en-US" w:eastAsia="zh-CN"/>
        </w:rPr>
        <w:t>11</w:t>
      </w:r>
      <w:r>
        <w:rPr>
          <w:rFonts w:hint="eastAsia" w:ascii="仿宋" w:eastAsia="仿宋"/>
          <w:sz w:val="32"/>
          <w:szCs w:val="32"/>
          <w:shd w:val="clear" w:color="auto" w:fill="FFFFFF"/>
        </w:rPr>
        <w:t>.</w:t>
      </w:r>
      <w:r>
        <w:rPr>
          <w:rFonts w:hint="eastAsia" w:ascii="仿宋" w:eastAsia="仿宋"/>
          <w:sz w:val="32"/>
          <w:szCs w:val="32"/>
          <w:shd w:val="clear" w:color="auto" w:fill="FFFFFF"/>
          <w:lang w:val="en-US" w:eastAsia="zh-CN"/>
        </w:rPr>
        <w:t>64</w:t>
      </w:r>
      <w:r>
        <w:rPr>
          <w:rFonts w:hint="eastAsia" w:ascii="仿宋" w:eastAsia="仿宋"/>
          <w:sz w:val="32"/>
          <w:szCs w:val="32"/>
          <w:shd w:val="clear" w:color="auto" w:fill="FFFFFF"/>
        </w:rPr>
        <w:t>%。主要原因是人员经费增加，社保公积金基数调整等。</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textAlignment w:val="auto"/>
        <w:rPr>
          <w:rFonts w:hint="eastAsia" w:ascii="仿宋" w:eastAsia="仿宋"/>
          <w:sz w:val="32"/>
          <w:szCs w:val="32"/>
        </w:rPr>
      </w:pPr>
      <w:r>
        <w:rPr>
          <w:rFonts w:hint="eastAsia" w:ascii="仿宋" w:eastAsia="仿宋"/>
          <w:sz w:val="32"/>
          <w:szCs w:val="32"/>
        </w:rPr>
        <w:t>  </w:t>
      </w:r>
      <w:r>
        <w:rPr>
          <w:rFonts w:hint="eastAsia" w:ascii="仿宋" w:eastAsia="仿宋"/>
          <w:sz w:val="32"/>
          <w:szCs w:val="32"/>
          <w:shd w:val="clear" w:color="auto" w:fill="FFFFFF"/>
        </w:rPr>
        <w:t>（二）财政拨款支出决算结构情况。</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仿宋" w:eastAsia="仿宋"/>
          <w:sz w:val="32"/>
          <w:szCs w:val="32"/>
          <w:lang w:eastAsia="zh-CN"/>
        </w:rPr>
      </w:pPr>
      <w:r>
        <w:rPr>
          <w:rFonts w:hint="eastAsia" w:ascii="仿宋" w:eastAsia="仿宋"/>
          <w:sz w:val="32"/>
          <w:szCs w:val="32"/>
          <w:shd w:val="clear" w:color="auto" w:fill="FFFFFF"/>
        </w:rPr>
        <w:t>202</w:t>
      </w:r>
      <w:r>
        <w:rPr>
          <w:rFonts w:hint="eastAsia" w:ascii="仿宋" w:eastAsia="仿宋"/>
          <w:sz w:val="32"/>
          <w:szCs w:val="32"/>
          <w:shd w:val="clear" w:color="auto" w:fill="FFFFFF"/>
          <w:lang w:val="en-US" w:eastAsia="zh-CN"/>
        </w:rPr>
        <w:t>1</w:t>
      </w:r>
      <w:r>
        <w:rPr>
          <w:rFonts w:hint="eastAsia" w:ascii="仿宋" w:eastAsia="仿宋"/>
          <w:sz w:val="32"/>
          <w:szCs w:val="32"/>
          <w:shd w:val="clear" w:color="auto" w:fill="FFFFFF"/>
        </w:rPr>
        <w:t>年度一般公共预算财政拨款支出年初预算为</w:t>
      </w:r>
      <w:r>
        <w:rPr>
          <w:rFonts w:hint="eastAsia" w:ascii="仿宋" w:eastAsia="仿宋"/>
          <w:sz w:val="32"/>
          <w:szCs w:val="32"/>
          <w:shd w:val="clear" w:color="auto" w:fill="FFFFFF"/>
          <w:lang w:val="en-US" w:eastAsia="zh-CN"/>
        </w:rPr>
        <w:t>1007</w:t>
      </w:r>
      <w:r>
        <w:rPr>
          <w:rFonts w:hint="eastAsia" w:ascii="仿宋" w:eastAsia="仿宋"/>
          <w:sz w:val="32"/>
          <w:szCs w:val="32"/>
          <w:shd w:val="clear" w:color="auto" w:fill="FFFFFF"/>
        </w:rPr>
        <w:t>万元，一般公共预算财政拨款支出</w:t>
      </w:r>
      <w:r>
        <w:rPr>
          <w:rFonts w:hint="eastAsia" w:ascii="仿宋" w:eastAsia="仿宋"/>
          <w:sz w:val="32"/>
          <w:szCs w:val="32"/>
          <w:shd w:val="clear" w:color="auto" w:fill="FFFFFF"/>
          <w:lang w:val="en-US" w:eastAsia="zh-CN"/>
        </w:rPr>
        <w:t>1118.41</w:t>
      </w:r>
      <w:r>
        <w:rPr>
          <w:rFonts w:hint="eastAsia" w:ascii="仿宋" w:eastAsia="仿宋"/>
          <w:sz w:val="32"/>
          <w:szCs w:val="32"/>
          <w:shd w:val="clear" w:color="auto" w:fill="FFFFFF"/>
        </w:rPr>
        <w:t>万元，主要用于以下方面：一般公共服务（类）支出</w:t>
      </w:r>
      <w:r>
        <w:rPr>
          <w:rFonts w:hint="eastAsia" w:ascii="仿宋" w:eastAsia="仿宋"/>
          <w:sz w:val="32"/>
          <w:szCs w:val="32"/>
          <w:shd w:val="clear" w:color="auto" w:fill="FFFFFF"/>
          <w:lang w:val="en-US" w:eastAsia="zh-CN"/>
        </w:rPr>
        <w:t>1118.41</w:t>
      </w:r>
      <w:r>
        <w:rPr>
          <w:rFonts w:hint="eastAsia" w:ascii="仿宋" w:eastAsia="仿宋"/>
          <w:sz w:val="32"/>
          <w:szCs w:val="32"/>
          <w:shd w:val="clear" w:color="auto" w:fill="FFFFFF"/>
        </w:rPr>
        <w:t>万元，完成年初预算的</w:t>
      </w:r>
      <w:r>
        <w:rPr>
          <w:rFonts w:hint="eastAsia" w:ascii="仿宋" w:eastAsia="仿宋"/>
          <w:sz w:val="32"/>
          <w:szCs w:val="32"/>
          <w:shd w:val="clear" w:color="auto" w:fill="FFFFFF"/>
          <w:lang w:val="en-US" w:eastAsia="zh-CN"/>
        </w:rPr>
        <w:t>111</w:t>
      </w:r>
      <w:r>
        <w:rPr>
          <w:rFonts w:hint="eastAsia" w:ascii="仿宋" w:eastAsia="仿宋"/>
          <w:sz w:val="32"/>
          <w:szCs w:val="32"/>
          <w:shd w:val="clear" w:color="auto" w:fill="FFFFFF"/>
        </w:rPr>
        <w:t>.</w:t>
      </w:r>
      <w:r>
        <w:rPr>
          <w:rFonts w:hint="eastAsia" w:ascii="仿宋" w:eastAsia="仿宋"/>
          <w:sz w:val="32"/>
          <w:szCs w:val="32"/>
          <w:shd w:val="clear" w:color="auto" w:fill="FFFFFF"/>
          <w:lang w:val="en-US" w:eastAsia="zh-CN"/>
        </w:rPr>
        <w:t>0</w:t>
      </w:r>
      <w:r>
        <w:rPr>
          <w:rFonts w:hint="eastAsia" w:ascii="仿宋" w:eastAsia="仿宋"/>
          <w:sz w:val="32"/>
          <w:szCs w:val="32"/>
          <w:shd w:val="clear" w:color="auto" w:fill="FFFFFF"/>
        </w:rPr>
        <w:t>6%</w:t>
      </w:r>
      <w:r>
        <w:rPr>
          <w:rFonts w:hint="eastAsia" w:ascii="仿宋" w:eastAsia="仿宋"/>
          <w:sz w:val="32"/>
          <w:szCs w:val="32"/>
          <w:shd w:val="clear" w:color="auto" w:fill="FFFFFF"/>
          <w:lang w:eastAsia="zh-CN"/>
        </w:rPr>
        <w:t>，主要原因是人员增加，基数调整等。</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textAlignment w:val="auto"/>
        <w:rPr>
          <w:rFonts w:hint="eastAsia" w:ascii="仿宋" w:eastAsia="仿宋"/>
          <w:sz w:val="32"/>
          <w:szCs w:val="32"/>
          <w:shd w:val="clear" w:color="auto" w:fill="FFFFFF"/>
        </w:rPr>
      </w:pPr>
      <w:r>
        <w:rPr>
          <w:rFonts w:hint="eastAsia" w:ascii="仿宋" w:eastAsia="仿宋"/>
          <w:sz w:val="32"/>
          <w:szCs w:val="32"/>
        </w:rPr>
        <w:t>  </w:t>
      </w:r>
      <w:r>
        <w:rPr>
          <w:rFonts w:hint="eastAsia" w:ascii="仿宋" w:eastAsia="仿宋"/>
          <w:sz w:val="32"/>
          <w:szCs w:val="32"/>
          <w:shd w:val="clear" w:color="auto" w:fill="FFFFFF"/>
        </w:rPr>
        <w:t>（三）财政拨款支出决算具体情况。</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仿宋" w:eastAsia="仿宋"/>
          <w:sz w:val="32"/>
          <w:szCs w:val="32"/>
        </w:rPr>
      </w:pPr>
      <w:r>
        <w:rPr>
          <w:rFonts w:hint="eastAsia" w:ascii="仿宋" w:eastAsia="仿宋"/>
          <w:sz w:val="32"/>
          <w:szCs w:val="32"/>
          <w:shd w:val="clear" w:color="auto" w:fill="FFFFFF"/>
        </w:rPr>
        <w:t>202</w:t>
      </w:r>
      <w:r>
        <w:rPr>
          <w:rFonts w:hint="eastAsia" w:ascii="仿宋" w:eastAsia="仿宋"/>
          <w:sz w:val="32"/>
          <w:szCs w:val="32"/>
          <w:shd w:val="clear" w:color="auto" w:fill="FFFFFF"/>
          <w:lang w:val="en-US" w:eastAsia="zh-CN"/>
        </w:rPr>
        <w:t>1</w:t>
      </w:r>
      <w:r>
        <w:rPr>
          <w:rFonts w:hint="eastAsia" w:ascii="仿宋" w:eastAsia="仿宋"/>
          <w:sz w:val="32"/>
          <w:szCs w:val="32"/>
          <w:shd w:val="clear" w:color="auto" w:fill="FFFFFF"/>
        </w:rPr>
        <w:t>年度一般公共预算财政拨款支出年初预算为1</w:t>
      </w:r>
      <w:r>
        <w:rPr>
          <w:rFonts w:hint="eastAsia" w:ascii="仿宋" w:eastAsia="仿宋"/>
          <w:sz w:val="32"/>
          <w:szCs w:val="32"/>
          <w:shd w:val="clear" w:color="auto" w:fill="FFFFFF"/>
          <w:lang w:val="en-US" w:eastAsia="zh-CN"/>
        </w:rPr>
        <w:t>007</w:t>
      </w:r>
      <w:r>
        <w:rPr>
          <w:rFonts w:hint="eastAsia" w:ascii="仿宋" w:eastAsia="仿宋"/>
          <w:sz w:val="32"/>
          <w:szCs w:val="32"/>
          <w:shd w:val="clear" w:color="auto" w:fill="FFFFFF"/>
        </w:rPr>
        <w:t>万元，支出决算为</w:t>
      </w:r>
      <w:r>
        <w:rPr>
          <w:rFonts w:hint="eastAsia" w:ascii="仿宋" w:eastAsia="仿宋"/>
          <w:sz w:val="32"/>
          <w:szCs w:val="32"/>
          <w:shd w:val="clear" w:color="auto" w:fill="FFFFFF"/>
          <w:lang w:val="en-US" w:eastAsia="zh-CN"/>
        </w:rPr>
        <w:t>1118.41</w:t>
      </w:r>
      <w:r>
        <w:rPr>
          <w:rFonts w:hint="eastAsia" w:ascii="仿宋" w:eastAsia="仿宋"/>
          <w:sz w:val="32"/>
          <w:szCs w:val="32"/>
          <w:shd w:val="clear" w:color="auto" w:fill="FFFFFF"/>
        </w:rPr>
        <w:t>万元，完成年初预算的</w:t>
      </w:r>
      <w:r>
        <w:rPr>
          <w:rFonts w:hint="eastAsia" w:ascii="仿宋" w:eastAsia="仿宋"/>
          <w:sz w:val="32"/>
          <w:szCs w:val="32"/>
          <w:shd w:val="clear" w:color="auto" w:fill="FFFFFF"/>
          <w:lang w:val="en-US" w:eastAsia="zh-CN"/>
        </w:rPr>
        <w:t>111.06</w:t>
      </w:r>
      <w:r>
        <w:rPr>
          <w:rFonts w:hint="eastAsia" w:ascii="仿宋" w:eastAsia="仿宋"/>
          <w:sz w:val="32"/>
          <w:szCs w:val="32"/>
          <w:shd w:val="clear" w:color="auto" w:fill="FFFFFF"/>
        </w:rPr>
        <w:t>%。其中：</w:t>
      </w:r>
      <w:r>
        <w:rPr>
          <w:rFonts w:hint="eastAsia" w:ascii="仿宋" w:eastAsia="仿宋"/>
          <w:sz w:val="32"/>
          <w:szCs w:val="32"/>
        </w:rPr>
        <w:t>  </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仿宋" w:eastAsia="仿宋"/>
          <w:b w:val="0"/>
          <w:bCs w:val="0"/>
          <w:i w:val="0"/>
          <w:iCs w:val="0"/>
          <w:caps w:val="0"/>
          <w:smallCaps w:val="0"/>
          <w:vanish w:val="0"/>
          <w:color w:val="000000"/>
          <w:spacing w:val="0"/>
          <w:sz w:val="32"/>
          <w:szCs w:val="32"/>
        </w:rPr>
      </w:pPr>
      <w:r>
        <w:rPr>
          <w:rFonts w:hint="eastAsia" w:ascii="仿宋" w:eastAsia="仿宋"/>
          <w:b w:val="0"/>
          <w:bCs w:val="0"/>
          <w:i w:val="0"/>
          <w:iCs w:val="0"/>
          <w:caps w:val="0"/>
          <w:smallCaps w:val="0"/>
          <w:vanish w:val="0"/>
          <w:color w:val="000000"/>
          <w:spacing w:val="0"/>
          <w:sz w:val="32"/>
          <w:szCs w:val="32"/>
        </w:rPr>
        <w:t>1、一般公共服务港澳台事务台湾事务</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仿宋" w:eastAsia="仿宋"/>
          <w:b w:val="0"/>
          <w:bCs w:val="0"/>
          <w:i w:val="0"/>
          <w:iCs w:val="0"/>
          <w:caps w:val="0"/>
          <w:smallCaps w:val="0"/>
          <w:vanish w:val="0"/>
          <w:color w:val="000000"/>
          <w:spacing w:val="0"/>
          <w:sz w:val="32"/>
          <w:szCs w:val="32"/>
        </w:rPr>
      </w:pPr>
      <w:r>
        <w:rPr>
          <w:rFonts w:hint="eastAsia" w:ascii="仿宋" w:eastAsia="仿宋"/>
          <w:b w:val="0"/>
          <w:bCs w:val="0"/>
          <w:i w:val="0"/>
          <w:iCs w:val="0"/>
          <w:caps w:val="0"/>
          <w:smallCaps w:val="0"/>
          <w:vanish w:val="0"/>
          <w:color w:val="000000"/>
          <w:spacing w:val="0"/>
          <w:sz w:val="32"/>
          <w:szCs w:val="32"/>
        </w:rPr>
        <w:t>年初预算为</w:t>
      </w:r>
      <w:r>
        <w:rPr>
          <w:rFonts w:hint="eastAsia" w:ascii="仿宋" w:eastAsia="仿宋"/>
          <w:b w:val="0"/>
          <w:bCs w:val="0"/>
          <w:i w:val="0"/>
          <w:iCs w:val="0"/>
          <w:caps w:val="0"/>
          <w:smallCaps w:val="0"/>
          <w:vanish w:val="0"/>
          <w:color w:val="000000"/>
          <w:spacing w:val="0"/>
          <w:sz w:val="32"/>
          <w:szCs w:val="32"/>
          <w:lang w:val="en-US" w:eastAsia="zh-CN"/>
        </w:rPr>
        <w:t>1007</w:t>
      </w:r>
      <w:r>
        <w:rPr>
          <w:rFonts w:hint="eastAsia" w:ascii="仿宋" w:eastAsia="仿宋"/>
          <w:b w:val="0"/>
          <w:bCs w:val="0"/>
          <w:i w:val="0"/>
          <w:iCs w:val="0"/>
          <w:caps w:val="0"/>
          <w:smallCaps w:val="0"/>
          <w:vanish w:val="0"/>
          <w:color w:val="000000"/>
          <w:spacing w:val="0"/>
          <w:sz w:val="32"/>
          <w:szCs w:val="32"/>
        </w:rPr>
        <w:t>万元，支出决算为</w:t>
      </w:r>
      <w:r>
        <w:rPr>
          <w:rFonts w:hint="eastAsia" w:ascii="仿宋" w:eastAsia="仿宋"/>
          <w:b w:val="0"/>
          <w:bCs w:val="0"/>
          <w:i w:val="0"/>
          <w:iCs w:val="0"/>
          <w:caps w:val="0"/>
          <w:smallCaps w:val="0"/>
          <w:vanish w:val="0"/>
          <w:color w:val="000000"/>
          <w:spacing w:val="0"/>
          <w:sz w:val="32"/>
          <w:szCs w:val="32"/>
          <w:lang w:val="en-US" w:eastAsia="zh-CN"/>
        </w:rPr>
        <w:t>1118.37</w:t>
      </w:r>
      <w:r>
        <w:rPr>
          <w:rFonts w:hint="eastAsia" w:ascii="仿宋" w:eastAsia="仿宋"/>
          <w:b w:val="0"/>
          <w:bCs w:val="0"/>
          <w:i w:val="0"/>
          <w:iCs w:val="0"/>
          <w:caps w:val="0"/>
          <w:smallCaps w:val="0"/>
          <w:vanish w:val="0"/>
          <w:color w:val="000000"/>
          <w:spacing w:val="0"/>
          <w:sz w:val="32"/>
          <w:szCs w:val="32"/>
        </w:rPr>
        <w:t>万元，完成年初预算的</w:t>
      </w:r>
      <w:r>
        <w:rPr>
          <w:rFonts w:hint="eastAsia" w:ascii="仿宋" w:eastAsia="仿宋"/>
          <w:b w:val="0"/>
          <w:bCs w:val="0"/>
          <w:i w:val="0"/>
          <w:iCs w:val="0"/>
          <w:caps w:val="0"/>
          <w:smallCaps w:val="0"/>
          <w:vanish w:val="0"/>
          <w:color w:val="000000"/>
          <w:spacing w:val="0"/>
          <w:sz w:val="32"/>
          <w:szCs w:val="32"/>
          <w:lang w:val="en-US" w:eastAsia="zh-CN"/>
        </w:rPr>
        <w:t xml:space="preserve">110.37 </w:t>
      </w:r>
      <w:r>
        <w:rPr>
          <w:rFonts w:hint="eastAsia" w:ascii="仿宋" w:eastAsia="仿宋"/>
          <w:b w:val="0"/>
          <w:bCs w:val="0"/>
          <w:i w:val="0"/>
          <w:iCs w:val="0"/>
          <w:caps w:val="0"/>
          <w:smallCaps w:val="0"/>
          <w:vanish w:val="0"/>
          <w:color w:val="000000"/>
          <w:spacing w:val="0"/>
          <w:sz w:val="32"/>
          <w:szCs w:val="32"/>
        </w:rPr>
        <w:t>%，</w:t>
      </w:r>
      <w:r>
        <w:rPr>
          <w:rFonts w:hint="eastAsia" w:ascii="仿宋" w:eastAsia="仿宋"/>
          <w:sz w:val="32"/>
          <w:szCs w:val="32"/>
          <w:shd w:val="clear" w:color="auto" w:fill="FFFFFF"/>
        </w:rPr>
        <w:t>决算数与年初预算数存在差异的主要原因是</w:t>
      </w:r>
      <w:r>
        <w:rPr>
          <w:rFonts w:hint="eastAsia" w:ascii="仿宋" w:eastAsia="仿宋"/>
          <w:sz w:val="32"/>
          <w:szCs w:val="32"/>
          <w:shd w:val="clear" w:color="auto" w:fill="FFFFFF"/>
          <w:lang w:eastAsia="zh-CN"/>
        </w:rPr>
        <w:t>对台形势需要，</w:t>
      </w:r>
      <w:r>
        <w:rPr>
          <w:rFonts w:hint="eastAsia" w:ascii="仿宋" w:eastAsia="仿宋"/>
          <w:sz w:val="32"/>
          <w:szCs w:val="32"/>
          <w:shd w:val="clear" w:color="auto" w:fill="FFFFFF"/>
        </w:rPr>
        <w:t>培训费、</w:t>
      </w:r>
      <w:r>
        <w:rPr>
          <w:rFonts w:hint="eastAsia" w:ascii="仿宋" w:eastAsia="仿宋"/>
          <w:sz w:val="32"/>
          <w:szCs w:val="32"/>
          <w:shd w:val="clear" w:color="auto" w:fill="FFFFFF"/>
          <w:lang w:eastAsia="zh-CN"/>
        </w:rPr>
        <w:t>外出招商等</w:t>
      </w:r>
      <w:r>
        <w:rPr>
          <w:rFonts w:hint="eastAsia" w:ascii="仿宋" w:eastAsia="仿宋"/>
          <w:sz w:val="32"/>
          <w:szCs w:val="32"/>
          <w:shd w:val="clear" w:color="auto" w:fill="FFFFFF"/>
        </w:rPr>
        <w:t>。</w:t>
      </w:r>
    </w:p>
    <w:p>
      <w:pPr>
        <w:pStyle w:val="8"/>
        <w:keepNext w:val="0"/>
        <w:keepLines w:val="0"/>
        <w:pageBreakBefore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515"/>
        <w:textAlignment w:val="auto"/>
        <w:rPr>
          <w:rFonts w:hint="eastAsia" w:ascii="仿宋" w:eastAsia="仿宋"/>
          <w:b w:val="0"/>
          <w:bCs w:val="0"/>
          <w:i w:val="0"/>
          <w:iCs w:val="0"/>
          <w:caps w:val="0"/>
          <w:smallCaps w:val="0"/>
          <w:vanish w:val="0"/>
          <w:color w:val="000000"/>
          <w:spacing w:val="0"/>
          <w:sz w:val="32"/>
          <w:szCs w:val="32"/>
        </w:rPr>
      </w:pPr>
      <w:r>
        <w:rPr>
          <w:rFonts w:hint="eastAsia" w:ascii="仿宋" w:eastAsia="仿宋"/>
          <w:b w:val="0"/>
          <w:bCs w:val="0"/>
          <w:i w:val="0"/>
          <w:iCs w:val="0"/>
          <w:caps w:val="0"/>
          <w:smallCaps w:val="0"/>
          <w:vanish w:val="0"/>
          <w:color w:val="000000"/>
          <w:spacing w:val="0"/>
          <w:sz w:val="32"/>
          <w:szCs w:val="32"/>
        </w:rPr>
        <w:t>2、一般公共服务社会保障和就业支出人力资源和社会保障管理事务。年初预算为</w:t>
      </w:r>
      <w:r>
        <w:rPr>
          <w:rFonts w:hint="eastAsia" w:ascii="仿宋" w:eastAsia="仿宋"/>
          <w:b w:val="0"/>
          <w:bCs w:val="0"/>
          <w:i w:val="0"/>
          <w:iCs w:val="0"/>
          <w:caps w:val="0"/>
          <w:smallCaps w:val="0"/>
          <w:vanish w:val="0"/>
          <w:color w:val="000000"/>
          <w:spacing w:val="0"/>
          <w:sz w:val="32"/>
          <w:szCs w:val="32"/>
          <w:lang w:val="en-US" w:eastAsia="zh-CN"/>
        </w:rPr>
        <w:t>0</w:t>
      </w:r>
      <w:r>
        <w:rPr>
          <w:rFonts w:hint="eastAsia" w:ascii="仿宋" w:eastAsia="仿宋"/>
          <w:b w:val="0"/>
          <w:bCs w:val="0"/>
          <w:i w:val="0"/>
          <w:iCs w:val="0"/>
          <w:caps w:val="0"/>
          <w:smallCaps w:val="0"/>
          <w:vanish w:val="0"/>
          <w:color w:val="000000"/>
          <w:spacing w:val="0"/>
          <w:sz w:val="32"/>
          <w:szCs w:val="32"/>
        </w:rPr>
        <w:t>.</w:t>
      </w:r>
      <w:r>
        <w:rPr>
          <w:rFonts w:hint="eastAsia" w:ascii="仿宋" w:eastAsia="仿宋"/>
          <w:b w:val="0"/>
          <w:bCs w:val="0"/>
          <w:i w:val="0"/>
          <w:iCs w:val="0"/>
          <w:caps w:val="0"/>
          <w:smallCaps w:val="0"/>
          <w:vanish w:val="0"/>
          <w:color w:val="000000"/>
          <w:spacing w:val="0"/>
          <w:sz w:val="32"/>
          <w:szCs w:val="32"/>
          <w:lang w:val="en-US" w:eastAsia="zh-CN"/>
        </w:rPr>
        <w:t>04</w:t>
      </w:r>
      <w:r>
        <w:rPr>
          <w:rFonts w:hint="eastAsia" w:ascii="仿宋" w:eastAsia="仿宋"/>
          <w:b w:val="0"/>
          <w:bCs w:val="0"/>
          <w:i w:val="0"/>
          <w:iCs w:val="0"/>
          <w:caps w:val="0"/>
          <w:smallCaps w:val="0"/>
          <w:vanish w:val="0"/>
          <w:color w:val="000000"/>
          <w:spacing w:val="0"/>
          <w:sz w:val="32"/>
          <w:szCs w:val="32"/>
        </w:rPr>
        <w:t>万元，支出决算为</w:t>
      </w:r>
      <w:r>
        <w:rPr>
          <w:rFonts w:hint="eastAsia" w:ascii="仿宋" w:eastAsia="仿宋"/>
          <w:b w:val="0"/>
          <w:bCs w:val="0"/>
          <w:i w:val="0"/>
          <w:iCs w:val="0"/>
          <w:caps w:val="0"/>
          <w:smallCaps w:val="0"/>
          <w:vanish w:val="0"/>
          <w:color w:val="000000"/>
          <w:spacing w:val="0"/>
          <w:sz w:val="32"/>
          <w:szCs w:val="32"/>
          <w:lang w:val="en-US" w:eastAsia="zh-CN"/>
        </w:rPr>
        <w:t>0</w:t>
      </w:r>
      <w:r>
        <w:rPr>
          <w:rFonts w:hint="eastAsia" w:ascii="仿宋" w:eastAsia="仿宋"/>
          <w:b w:val="0"/>
          <w:bCs w:val="0"/>
          <w:i w:val="0"/>
          <w:iCs w:val="0"/>
          <w:caps w:val="0"/>
          <w:smallCaps w:val="0"/>
          <w:vanish w:val="0"/>
          <w:color w:val="000000"/>
          <w:spacing w:val="0"/>
          <w:sz w:val="32"/>
          <w:szCs w:val="32"/>
        </w:rPr>
        <w:t>.</w:t>
      </w:r>
      <w:r>
        <w:rPr>
          <w:rFonts w:hint="eastAsia" w:ascii="仿宋" w:eastAsia="仿宋"/>
          <w:b w:val="0"/>
          <w:bCs w:val="0"/>
          <w:i w:val="0"/>
          <w:iCs w:val="0"/>
          <w:caps w:val="0"/>
          <w:smallCaps w:val="0"/>
          <w:vanish w:val="0"/>
          <w:color w:val="000000"/>
          <w:spacing w:val="0"/>
          <w:sz w:val="32"/>
          <w:szCs w:val="32"/>
          <w:lang w:val="en-US" w:eastAsia="zh-CN"/>
        </w:rPr>
        <w:t>04</w:t>
      </w:r>
      <w:r>
        <w:rPr>
          <w:rFonts w:hint="eastAsia" w:ascii="仿宋" w:eastAsia="仿宋"/>
          <w:b w:val="0"/>
          <w:bCs w:val="0"/>
          <w:i w:val="0"/>
          <w:iCs w:val="0"/>
          <w:caps w:val="0"/>
          <w:smallCaps w:val="0"/>
          <w:vanish w:val="0"/>
          <w:color w:val="000000"/>
          <w:spacing w:val="0"/>
          <w:sz w:val="32"/>
          <w:szCs w:val="32"/>
        </w:rPr>
        <w:t>万元.。</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仿宋" w:eastAsia="仿宋"/>
          <w:sz w:val="32"/>
          <w:szCs w:val="32"/>
        </w:rPr>
      </w:pPr>
      <w:r>
        <w:rPr>
          <w:rFonts w:hint="eastAsia" w:ascii="仿宋" w:eastAsia="仿宋"/>
          <w:sz w:val="32"/>
          <w:szCs w:val="32"/>
          <w:shd w:val="clear" w:color="auto" w:fill="FFFFFF"/>
        </w:rPr>
        <w:t>六、一般公共预算财政拨款基本支出决算情况说明</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仿宋" w:eastAsia="仿宋"/>
          <w:sz w:val="32"/>
          <w:szCs w:val="32"/>
        </w:rPr>
      </w:pPr>
      <w:r>
        <w:rPr>
          <w:rFonts w:hint="eastAsia" w:ascii="仿宋" w:eastAsia="仿宋"/>
          <w:sz w:val="32"/>
          <w:szCs w:val="32"/>
          <w:shd w:val="clear" w:color="auto" w:fill="FFFFFF"/>
        </w:rPr>
        <w:t>202</w:t>
      </w:r>
      <w:r>
        <w:rPr>
          <w:rFonts w:hint="eastAsia" w:ascii="仿宋" w:eastAsia="仿宋"/>
          <w:sz w:val="32"/>
          <w:szCs w:val="32"/>
          <w:shd w:val="clear" w:color="auto" w:fill="FFFFFF"/>
          <w:lang w:val="en-US" w:eastAsia="zh-CN"/>
        </w:rPr>
        <w:t>1</w:t>
      </w:r>
      <w:r>
        <w:rPr>
          <w:rFonts w:hint="eastAsia" w:ascii="仿宋" w:eastAsia="仿宋"/>
          <w:sz w:val="32"/>
          <w:szCs w:val="32"/>
          <w:shd w:val="clear" w:color="auto" w:fill="FFFFFF"/>
        </w:rPr>
        <w:t>年度一般公共预算财政拨款基本支出</w:t>
      </w:r>
      <w:r>
        <w:rPr>
          <w:rFonts w:hint="eastAsia" w:ascii="仿宋" w:eastAsia="仿宋"/>
          <w:sz w:val="32"/>
          <w:szCs w:val="32"/>
          <w:shd w:val="clear" w:color="auto" w:fill="FFFFFF"/>
          <w:lang w:val="en-US" w:eastAsia="zh-CN"/>
        </w:rPr>
        <w:t>1002</w:t>
      </w:r>
      <w:r>
        <w:rPr>
          <w:rFonts w:hint="eastAsia" w:ascii="仿宋" w:eastAsia="仿宋"/>
          <w:sz w:val="32"/>
          <w:szCs w:val="32"/>
          <w:shd w:val="clear" w:color="auto" w:fill="FFFFFF"/>
        </w:rPr>
        <w:t>.</w:t>
      </w:r>
      <w:r>
        <w:rPr>
          <w:rFonts w:hint="eastAsia" w:ascii="仿宋" w:eastAsia="仿宋"/>
          <w:sz w:val="32"/>
          <w:szCs w:val="32"/>
          <w:shd w:val="clear" w:color="auto" w:fill="FFFFFF"/>
          <w:lang w:val="en-US" w:eastAsia="zh-CN"/>
        </w:rPr>
        <w:t>85</w:t>
      </w:r>
      <w:r>
        <w:rPr>
          <w:rFonts w:hint="eastAsia" w:ascii="仿宋" w:eastAsia="仿宋"/>
          <w:sz w:val="32"/>
          <w:szCs w:val="32"/>
          <w:shd w:val="clear" w:color="auto" w:fill="FFFFFF"/>
        </w:rPr>
        <w:t>万元。其中：人员经费</w:t>
      </w:r>
      <w:r>
        <w:rPr>
          <w:rFonts w:hint="eastAsia" w:ascii="仿宋" w:eastAsia="仿宋"/>
          <w:sz w:val="32"/>
          <w:szCs w:val="32"/>
          <w:shd w:val="clear" w:color="auto" w:fill="FFFFFF"/>
          <w:lang w:val="en-US" w:eastAsia="zh-CN"/>
        </w:rPr>
        <w:t>937</w:t>
      </w:r>
      <w:r>
        <w:rPr>
          <w:rFonts w:hint="eastAsia" w:ascii="仿宋" w:eastAsia="仿宋"/>
          <w:sz w:val="32"/>
          <w:szCs w:val="32"/>
          <w:shd w:val="clear" w:color="auto" w:fill="FFFFFF"/>
        </w:rPr>
        <w:t>.</w:t>
      </w:r>
      <w:r>
        <w:rPr>
          <w:rFonts w:hint="eastAsia" w:ascii="仿宋" w:eastAsia="仿宋"/>
          <w:sz w:val="32"/>
          <w:szCs w:val="32"/>
          <w:shd w:val="clear" w:color="auto" w:fill="FFFFFF"/>
          <w:lang w:val="en-US" w:eastAsia="zh-CN"/>
        </w:rPr>
        <w:t>64</w:t>
      </w:r>
      <w:r>
        <w:rPr>
          <w:rFonts w:hint="eastAsia" w:ascii="仿宋" w:eastAsia="仿宋"/>
          <w:sz w:val="32"/>
          <w:szCs w:val="32"/>
          <w:shd w:val="clear" w:color="auto" w:fill="FFFFFF"/>
        </w:rPr>
        <w:t>万元，主要包括：基本工资、津贴补贴、伙食补助费、绩效工资、机关事业单位基本养老保险缴费、职业年金缴费、其他社会保障缴费、其他工资福利支出、离休费、退休费、抚恤金、生活补助、医疗费、奖励金、住房公积金、采暖补贴、物业服务补贴、其他对个人和家庭的补助支出……；公用经费</w:t>
      </w:r>
      <w:r>
        <w:rPr>
          <w:rFonts w:hint="eastAsia" w:ascii="仿宋" w:eastAsia="仿宋"/>
          <w:sz w:val="32"/>
          <w:szCs w:val="32"/>
          <w:shd w:val="clear" w:color="auto" w:fill="FFFFFF"/>
          <w:lang w:val="en-US" w:eastAsia="zh-CN"/>
        </w:rPr>
        <w:t>65</w:t>
      </w:r>
      <w:r>
        <w:rPr>
          <w:rFonts w:hint="eastAsia" w:ascii="仿宋" w:eastAsia="仿宋"/>
          <w:sz w:val="32"/>
          <w:szCs w:val="32"/>
          <w:shd w:val="clear" w:color="auto" w:fill="FFFFFF"/>
        </w:rPr>
        <w:t>.</w:t>
      </w:r>
      <w:r>
        <w:rPr>
          <w:rFonts w:hint="eastAsia" w:ascii="仿宋" w:eastAsia="仿宋"/>
          <w:sz w:val="32"/>
          <w:szCs w:val="32"/>
          <w:shd w:val="clear" w:color="auto" w:fill="FFFFFF"/>
          <w:lang w:val="en-US" w:eastAsia="zh-CN"/>
        </w:rPr>
        <w:t>2</w:t>
      </w:r>
      <w:r>
        <w:rPr>
          <w:rFonts w:hint="eastAsia" w:ascii="仿宋" w:eastAsia="仿宋"/>
          <w:sz w:val="32"/>
          <w:szCs w:val="32"/>
          <w:shd w:val="clear" w:color="auto" w:fill="FFFFFF"/>
        </w:rPr>
        <w:t>1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仿宋" w:eastAsia="仿宋"/>
          <w:sz w:val="32"/>
          <w:szCs w:val="32"/>
        </w:rPr>
      </w:pPr>
      <w:r>
        <w:rPr>
          <w:rFonts w:hint="eastAsia" w:ascii="仿宋" w:eastAsia="仿宋"/>
          <w:sz w:val="32"/>
          <w:szCs w:val="32"/>
          <w:shd w:val="clear" w:color="auto" w:fill="FFFFFF"/>
        </w:rPr>
        <w:t>七、一般公共预算财政拨款“三公”经费支出决算情况说明</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仿宋" w:eastAsia="仿宋"/>
          <w:sz w:val="32"/>
          <w:szCs w:val="32"/>
          <w:shd w:val="clear" w:color="auto" w:fill="FFFFFF"/>
          <w:lang w:eastAsia="zh-CN"/>
        </w:rPr>
      </w:pPr>
      <w:r>
        <w:rPr>
          <w:rFonts w:hint="eastAsia" w:ascii="仿宋" w:eastAsia="仿宋"/>
          <w:sz w:val="32"/>
          <w:szCs w:val="32"/>
          <w:shd w:val="clear" w:color="auto" w:fill="FFFFFF"/>
        </w:rPr>
        <w:t>（一）“三公”经费财政拨款支出决算总体情况说明</w:t>
      </w:r>
      <w:r>
        <w:rPr>
          <w:rFonts w:hint="eastAsia" w:ascii="仿宋" w:eastAsia="仿宋"/>
          <w:sz w:val="32"/>
          <w:szCs w:val="32"/>
          <w:shd w:val="clear" w:color="auto" w:fill="FFFFFF"/>
          <w:lang w:eastAsia="zh-CN"/>
        </w:rPr>
        <w:t>。</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仿宋" w:eastAsia="仿宋"/>
          <w:sz w:val="32"/>
          <w:szCs w:val="32"/>
          <w:shd w:val="clear" w:color="auto" w:fill="FFFFFF"/>
        </w:rPr>
      </w:pPr>
      <w:r>
        <w:rPr>
          <w:rFonts w:hint="eastAsia" w:ascii="仿宋" w:eastAsia="仿宋"/>
          <w:sz w:val="32"/>
          <w:szCs w:val="32"/>
          <w:shd w:val="clear" w:color="auto" w:fill="FFFFFF"/>
        </w:rPr>
        <w:t>202</w:t>
      </w:r>
      <w:r>
        <w:rPr>
          <w:rFonts w:hint="eastAsia" w:ascii="仿宋" w:eastAsia="仿宋"/>
          <w:sz w:val="32"/>
          <w:szCs w:val="32"/>
          <w:shd w:val="clear" w:color="auto" w:fill="FFFFFF"/>
          <w:lang w:val="en-US" w:eastAsia="zh-CN"/>
        </w:rPr>
        <w:t>1</w:t>
      </w:r>
      <w:r>
        <w:rPr>
          <w:rFonts w:hint="eastAsia" w:ascii="仿宋" w:eastAsia="仿宋"/>
          <w:sz w:val="32"/>
          <w:szCs w:val="32"/>
          <w:shd w:val="clear" w:color="auto" w:fill="FFFFFF"/>
        </w:rPr>
        <w:t>年度“三公”经费财政拨款支出预算为45.00万元，支出决算为</w:t>
      </w:r>
      <w:r>
        <w:rPr>
          <w:rFonts w:hint="eastAsia" w:ascii="仿宋" w:eastAsia="仿宋"/>
          <w:sz w:val="32"/>
          <w:szCs w:val="32"/>
          <w:shd w:val="clear" w:color="auto" w:fill="FFFFFF"/>
          <w:lang w:val="en-US" w:eastAsia="zh-CN"/>
        </w:rPr>
        <w:t>13</w:t>
      </w:r>
      <w:r>
        <w:rPr>
          <w:rFonts w:hint="eastAsia" w:ascii="仿宋" w:eastAsia="仿宋"/>
          <w:sz w:val="32"/>
          <w:szCs w:val="32"/>
          <w:shd w:val="clear" w:color="auto" w:fill="FFFFFF"/>
        </w:rPr>
        <w:t>.</w:t>
      </w:r>
      <w:r>
        <w:rPr>
          <w:rFonts w:hint="eastAsia" w:ascii="仿宋" w:eastAsia="仿宋"/>
          <w:sz w:val="32"/>
          <w:szCs w:val="32"/>
          <w:shd w:val="clear" w:color="auto" w:fill="FFFFFF"/>
          <w:lang w:val="en-US" w:eastAsia="zh-CN"/>
        </w:rPr>
        <w:t>33</w:t>
      </w:r>
      <w:r>
        <w:rPr>
          <w:rFonts w:hint="eastAsia" w:ascii="仿宋" w:eastAsia="仿宋"/>
          <w:sz w:val="32"/>
          <w:szCs w:val="32"/>
          <w:shd w:val="clear" w:color="auto" w:fill="FFFFFF"/>
        </w:rPr>
        <w:t>万元，完成预算的2</w:t>
      </w:r>
      <w:r>
        <w:rPr>
          <w:rFonts w:hint="eastAsia" w:ascii="仿宋" w:eastAsia="仿宋"/>
          <w:sz w:val="32"/>
          <w:szCs w:val="32"/>
          <w:shd w:val="clear" w:color="auto" w:fill="FFFFFF"/>
          <w:lang w:val="en-US" w:eastAsia="zh-CN"/>
        </w:rPr>
        <w:t>9</w:t>
      </w:r>
      <w:r>
        <w:rPr>
          <w:rFonts w:hint="eastAsia" w:ascii="仿宋" w:eastAsia="仿宋"/>
          <w:sz w:val="32"/>
          <w:szCs w:val="32"/>
          <w:shd w:val="clear" w:color="auto" w:fill="FFFFFF"/>
        </w:rPr>
        <w:t>.</w:t>
      </w:r>
      <w:r>
        <w:rPr>
          <w:rFonts w:hint="eastAsia" w:ascii="仿宋" w:eastAsia="仿宋"/>
          <w:sz w:val="32"/>
          <w:szCs w:val="32"/>
          <w:shd w:val="clear" w:color="auto" w:fill="FFFFFF"/>
          <w:lang w:val="en-US" w:eastAsia="zh-CN"/>
        </w:rPr>
        <w:t>6</w:t>
      </w:r>
      <w:r>
        <w:rPr>
          <w:rFonts w:hint="eastAsia" w:ascii="仿宋" w:eastAsia="仿宋"/>
          <w:sz w:val="32"/>
          <w:szCs w:val="32"/>
          <w:shd w:val="clear" w:color="auto" w:fill="FFFFFF"/>
        </w:rPr>
        <w:t>2%</w:t>
      </w:r>
      <w:r>
        <w:rPr>
          <w:rFonts w:hint="eastAsia" w:ascii="仿宋" w:eastAsia="仿宋"/>
          <w:sz w:val="32"/>
          <w:szCs w:val="32"/>
          <w:shd w:val="clear" w:color="auto" w:fill="FFFFFF"/>
          <w:lang w:eastAsia="zh-CN"/>
        </w:rPr>
        <w:t>，</w:t>
      </w:r>
      <w:r>
        <w:rPr>
          <w:rFonts w:hint="eastAsia" w:ascii="仿宋" w:hAnsi="仿宋" w:eastAsia="仿宋" w:cs="仿宋"/>
          <w:sz w:val="32"/>
          <w:szCs w:val="32"/>
        </w:rPr>
        <w:t>决算数小于年初预算数的主要原因是严格按预算执行</w:t>
      </w:r>
      <w:r>
        <w:rPr>
          <w:rFonts w:hint="eastAsia" w:ascii="仿宋" w:hAnsi="仿宋" w:eastAsia="仿宋" w:cs="仿宋"/>
          <w:sz w:val="32"/>
          <w:szCs w:val="32"/>
          <w:lang w:eastAsia="zh-CN"/>
        </w:rPr>
        <w:t>，严格公务接待审批，规范公务接待。</w:t>
      </w:r>
      <w:r>
        <w:rPr>
          <w:rFonts w:hint="eastAsia" w:ascii="仿宋" w:hAnsi="仿宋" w:eastAsia="仿宋" w:cs="仿宋"/>
          <w:sz w:val="32"/>
          <w:szCs w:val="32"/>
        </w:rPr>
        <w:t>与上年相比</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14</w:t>
      </w:r>
      <w:r>
        <w:rPr>
          <w:rFonts w:hint="eastAsia" w:ascii="仿宋" w:hAnsi="仿宋" w:eastAsia="仿宋" w:cs="仿宋"/>
          <w:sz w:val="32"/>
          <w:szCs w:val="32"/>
        </w:rPr>
        <w:t>.</w:t>
      </w:r>
      <w:r>
        <w:rPr>
          <w:rFonts w:hint="eastAsia" w:ascii="仿宋" w:hAnsi="仿宋" w:eastAsia="仿宋" w:cs="仿宋"/>
          <w:sz w:val="32"/>
          <w:szCs w:val="32"/>
          <w:lang w:val="en-US" w:eastAsia="zh-CN"/>
        </w:rPr>
        <w:t>25</w:t>
      </w:r>
      <w:r>
        <w:rPr>
          <w:rFonts w:hint="eastAsia" w:ascii="仿宋" w:hAnsi="仿宋" w:eastAsia="仿宋" w:cs="仿宋"/>
          <w:sz w:val="32"/>
          <w:szCs w:val="32"/>
        </w:rPr>
        <w:t>万元，</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50</w:t>
      </w:r>
      <w:r>
        <w:rPr>
          <w:rFonts w:hint="eastAsia" w:ascii="仿宋" w:hAnsi="仿宋" w:eastAsia="仿宋" w:cs="仿宋"/>
          <w:sz w:val="32"/>
          <w:szCs w:val="32"/>
        </w:rPr>
        <w:t>.</w:t>
      </w:r>
      <w:r>
        <w:rPr>
          <w:rFonts w:hint="eastAsia" w:ascii="仿宋" w:hAnsi="仿宋" w:eastAsia="仿宋" w:cs="仿宋"/>
          <w:sz w:val="32"/>
          <w:szCs w:val="32"/>
          <w:lang w:val="en-US" w:eastAsia="zh-CN"/>
        </w:rPr>
        <w:t>86</w:t>
      </w:r>
      <w:r>
        <w:rPr>
          <w:rFonts w:hint="eastAsia" w:ascii="仿宋" w:hAnsi="仿宋" w:eastAsia="仿宋" w:cs="仿宋"/>
          <w:sz w:val="32"/>
          <w:szCs w:val="32"/>
        </w:rPr>
        <w:t>%，</w:t>
      </w:r>
      <w:r>
        <w:rPr>
          <w:rFonts w:hint="eastAsia" w:ascii="仿宋" w:hAnsi="仿宋" w:eastAsia="仿宋" w:cs="仿宋"/>
          <w:sz w:val="32"/>
          <w:szCs w:val="32"/>
          <w:lang w:eastAsia="zh-CN"/>
        </w:rPr>
        <w:t>减少</w:t>
      </w:r>
      <w:r>
        <w:rPr>
          <w:rFonts w:hint="eastAsia" w:ascii="仿宋" w:hAnsi="仿宋" w:eastAsia="仿宋" w:cs="仿宋"/>
          <w:sz w:val="32"/>
          <w:szCs w:val="32"/>
        </w:rPr>
        <w:t>的主要原因是受对台政策影响，</w:t>
      </w:r>
      <w:r>
        <w:rPr>
          <w:rFonts w:hint="eastAsia" w:ascii="仿宋" w:hAnsi="仿宋" w:eastAsia="仿宋" w:cs="仿宋"/>
          <w:sz w:val="32"/>
          <w:szCs w:val="32"/>
          <w:lang w:eastAsia="zh-CN"/>
        </w:rPr>
        <w:t>暂停赴</w:t>
      </w:r>
      <w:r>
        <w:rPr>
          <w:rFonts w:hint="eastAsia" w:ascii="仿宋" w:hAnsi="仿宋" w:eastAsia="仿宋" w:cs="仿宋"/>
          <w:sz w:val="32"/>
          <w:szCs w:val="32"/>
        </w:rPr>
        <w:t>台交流。</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仿宋" w:eastAsia="仿宋"/>
          <w:sz w:val="32"/>
          <w:szCs w:val="32"/>
        </w:rPr>
      </w:pPr>
      <w:r>
        <w:rPr>
          <w:rFonts w:hint="eastAsia" w:ascii="仿宋" w:eastAsia="仿宋"/>
          <w:sz w:val="32"/>
          <w:szCs w:val="32"/>
          <w:shd w:val="clear" w:color="auto" w:fill="FFFFFF"/>
          <w:lang w:eastAsia="zh-CN"/>
        </w:rPr>
        <w:t>（</w:t>
      </w:r>
      <w:r>
        <w:rPr>
          <w:rFonts w:hint="eastAsia" w:ascii="仿宋" w:eastAsia="仿宋"/>
          <w:sz w:val="32"/>
          <w:szCs w:val="32"/>
          <w:shd w:val="clear" w:color="auto" w:fill="FFFFFF"/>
        </w:rPr>
        <w:t>二）“三公”经费财政拨款支出决算具体情况说明。</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仿宋" w:eastAsia="仿宋"/>
          <w:sz w:val="32"/>
          <w:szCs w:val="32"/>
        </w:rPr>
      </w:pPr>
      <w:r>
        <w:rPr>
          <w:rFonts w:hint="eastAsia" w:ascii="仿宋" w:eastAsia="仿宋"/>
          <w:sz w:val="32"/>
          <w:szCs w:val="32"/>
          <w:shd w:val="clear" w:color="auto" w:fill="FFFFFF"/>
        </w:rPr>
        <w:t>202</w:t>
      </w:r>
      <w:r>
        <w:rPr>
          <w:rFonts w:hint="eastAsia" w:ascii="仿宋" w:eastAsia="仿宋"/>
          <w:sz w:val="32"/>
          <w:szCs w:val="32"/>
          <w:shd w:val="clear" w:color="auto" w:fill="FFFFFF"/>
          <w:lang w:val="en-US" w:eastAsia="zh-CN"/>
        </w:rPr>
        <w:t>1</w:t>
      </w:r>
      <w:r>
        <w:rPr>
          <w:rFonts w:hint="eastAsia" w:ascii="仿宋" w:eastAsia="仿宋"/>
          <w:sz w:val="32"/>
          <w:szCs w:val="32"/>
          <w:shd w:val="clear" w:color="auto" w:fill="FFFFFF"/>
        </w:rPr>
        <w:t>年度“三公”经费财政拨款支出决算中，因公出国（境）费支出决算0.00万元，完成预算的0.00%，占0.00%</w:t>
      </w:r>
      <w:r>
        <w:rPr>
          <w:rFonts w:hint="eastAsia" w:ascii="仿宋" w:eastAsia="仿宋"/>
          <w:sz w:val="32"/>
          <w:szCs w:val="32"/>
          <w:shd w:val="clear" w:color="auto" w:fill="FFFFFF"/>
          <w:lang w:eastAsia="zh-CN"/>
        </w:rPr>
        <w:t>，</w:t>
      </w:r>
      <w:r>
        <w:rPr>
          <w:rFonts w:hint="eastAsia" w:ascii="仿宋" w:hAnsi="仿宋" w:eastAsia="仿宋" w:cs="仿宋"/>
          <w:sz w:val="32"/>
          <w:szCs w:val="32"/>
        </w:rPr>
        <w:t>主要原因是受对台政策影响，</w:t>
      </w:r>
      <w:r>
        <w:rPr>
          <w:rFonts w:hint="eastAsia" w:ascii="仿宋" w:hAnsi="仿宋" w:eastAsia="仿宋" w:cs="仿宋"/>
          <w:sz w:val="32"/>
          <w:szCs w:val="32"/>
          <w:lang w:eastAsia="zh-CN"/>
        </w:rPr>
        <w:t>暂停赴</w:t>
      </w:r>
      <w:r>
        <w:rPr>
          <w:rFonts w:hint="eastAsia" w:ascii="仿宋" w:hAnsi="仿宋" w:eastAsia="仿宋" w:cs="仿宋"/>
          <w:sz w:val="32"/>
          <w:szCs w:val="32"/>
        </w:rPr>
        <w:t>台交流。</w:t>
      </w:r>
      <w:r>
        <w:rPr>
          <w:rFonts w:hint="eastAsia" w:ascii="仿宋" w:hAnsi="仿宋" w:eastAsia="仿宋" w:cs="仿宋"/>
          <w:sz w:val="32"/>
          <w:szCs w:val="32"/>
          <w:lang w:eastAsia="zh-CN"/>
        </w:rPr>
        <w:t>公务用车购置及运行费决算</w:t>
      </w:r>
      <w:r>
        <w:rPr>
          <w:rFonts w:hint="eastAsia" w:ascii="仿宋" w:hAnsi="仿宋" w:eastAsia="仿宋" w:cs="仿宋"/>
          <w:sz w:val="32"/>
          <w:szCs w:val="32"/>
          <w:lang w:val="en-US" w:eastAsia="zh-CN"/>
        </w:rPr>
        <w:t>4.46万元，完成预算的89%。</w:t>
      </w:r>
      <w:r>
        <w:rPr>
          <w:rFonts w:hint="eastAsia" w:ascii="仿宋" w:eastAsia="仿宋"/>
          <w:sz w:val="32"/>
          <w:szCs w:val="32"/>
          <w:shd w:val="clear" w:color="auto" w:fill="FFFFFF"/>
        </w:rPr>
        <w:t>公务接待费支出决算8.13万元，完成预算的4</w:t>
      </w:r>
      <w:r>
        <w:rPr>
          <w:rFonts w:hint="eastAsia" w:ascii="仿宋" w:eastAsia="仿宋"/>
          <w:sz w:val="32"/>
          <w:szCs w:val="32"/>
          <w:shd w:val="clear" w:color="auto" w:fill="FFFFFF"/>
          <w:lang w:val="en-US" w:eastAsia="zh-CN"/>
        </w:rPr>
        <w:t>4</w:t>
      </w:r>
      <w:r>
        <w:rPr>
          <w:rFonts w:hint="eastAsia" w:ascii="仿宋" w:eastAsia="仿宋"/>
          <w:sz w:val="32"/>
          <w:szCs w:val="32"/>
          <w:shd w:val="clear" w:color="auto" w:fill="FFFFFF"/>
        </w:rPr>
        <w:t>.</w:t>
      </w:r>
      <w:r>
        <w:rPr>
          <w:rFonts w:hint="eastAsia" w:ascii="仿宋" w:eastAsia="仿宋"/>
          <w:sz w:val="32"/>
          <w:szCs w:val="32"/>
          <w:shd w:val="clear" w:color="auto" w:fill="FFFFFF"/>
          <w:lang w:val="en-US" w:eastAsia="zh-CN"/>
        </w:rPr>
        <w:t>35</w:t>
      </w:r>
      <w:r>
        <w:rPr>
          <w:rFonts w:hint="eastAsia" w:ascii="仿宋" w:eastAsia="仿宋"/>
          <w:sz w:val="32"/>
          <w:szCs w:val="32"/>
          <w:shd w:val="clear" w:color="auto" w:fill="FFFFFF"/>
        </w:rPr>
        <w:t>%，占</w:t>
      </w:r>
      <w:r>
        <w:rPr>
          <w:rFonts w:hint="eastAsia" w:ascii="仿宋" w:eastAsia="仿宋"/>
          <w:sz w:val="32"/>
          <w:szCs w:val="32"/>
          <w:shd w:val="clear" w:color="auto" w:fill="FFFFFF"/>
          <w:lang w:val="en-US" w:eastAsia="zh-CN"/>
        </w:rPr>
        <w:t>44</w:t>
      </w:r>
      <w:r>
        <w:rPr>
          <w:rFonts w:hint="eastAsia" w:ascii="仿宋" w:eastAsia="仿宋"/>
          <w:sz w:val="32"/>
          <w:szCs w:val="32"/>
          <w:shd w:val="clear" w:color="auto" w:fill="FFFFFF"/>
        </w:rPr>
        <w:t>.</w:t>
      </w:r>
      <w:r>
        <w:rPr>
          <w:rFonts w:hint="eastAsia" w:ascii="仿宋" w:eastAsia="仿宋"/>
          <w:sz w:val="32"/>
          <w:szCs w:val="32"/>
          <w:shd w:val="clear" w:color="auto" w:fill="FFFFFF"/>
          <w:lang w:val="en-US" w:eastAsia="zh-CN"/>
        </w:rPr>
        <w:t>35</w:t>
      </w:r>
      <w:r>
        <w:rPr>
          <w:rFonts w:hint="eastAsia" w:ascii="仿宋" w:eastAsia="仿宋"/>
          <w:sz w:val="32"/>
          <w:szCs w:val="32"/>
          <w:shd w:val="clear" w:color="auto" w:fill="FFFFFF"/>
        </w:rPr>
        <w:t>%</w:t>
      </w:r>
      <w:r>
        <w:rPr>
          <w:rFonts w:hint="eastAsia" w:ascii="仿宋" w:eastAsia="仿宋"/>
          <w:sz w:val="32"/>
          <w:szCs w:val="32"/>
          <w:shd w:val="clear" w:color="auto" w:fill="FFFFFF"/>
          <w:lang w:eastAsia="zh-CN"/>
        </w:rPr>
        <w:t>；与上年相比增加</w:t>
      </w:r>
      <w:r>
        <w:rPr>
          <w:rFonts w:hint="eastAsia" w:ascii="仿宋" w:eastAsia="仿宋"/>
          <w:sz w:val="32"/>
          <w:szCs w:val="32"/>
          <w:shd w:val="clear" w:color="auto" w:fill="FFFFFF"/>
          <w:lang w:val="en-US" w:eastAsia="zh-CN"/>
        </w:rPr>
        <w:t>0.74万元，减少59.27%，增加的原因是两岸交流增多，接待来长团组增加。</w:t>
      </w:r>
      <w:r>
        <w:rPr>
          <w:rFonts w:hint="eastAsia" w:ascii="仿宋" w:eastAsia="仿宋"/>
          <w:sz w:val="32"/>
          <w:szCs w:val="32"/>
          <w:shd w:val="clear" w:color="auto" w:fill="FFFFFF"/>
        </w:rPr>
        <w:t>具体情况如下：</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40" w:firstLineChars="200"/>
        <w:textAlignment w:val="auto"/>
        <w:rPr>
          <w:rFonts w:hint="eastAsia" w:ascii="仿宋" w:eastAsia="仿宋"/>
          <w:sz w:val="32"/>
          <w:szCs w:val="32"/>
        </w:rPr>
      </w:pPr>
      <w:r>
        <w:rPr>
          <w:rFonts w:ascii="仿宋" w:eastAsia="仿宋"/>
          <w:sz w:val="32"/>
          <w:szCs w:val="32"/>
          <w:shd w:val="clear" w:color="auto" w:fill="FFFFFF"/>
        </w:rPr>
        <w:t>1、</w:t>
      </w:r>
      <w:r>
        <w:rPr>
          <w:rFonts w:hint="eastAsia" w:ascii="仿宋" w:eastAsia="仿宋"/>
          <w:sz w:val="32"/>
          <w:szCs w:val="32"/>
          <w:shd w:val="clear" w:color="auto" w:fill="FFFFFF"/>
        </w:rPr>
        <w:t>因公出国（境）费年初预算为20.00万元，支出决算为0.00万元，完成年初预算的0.00%。决算数与年初预算数存在差异的主要原因是受对台交流政策影响，无长台交流。</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40" w:firstLineChars="200"/>
        <w:textAlignment w:val="auto"/>
        <w:rPr>
          <w:rFonts w:hint="eastAsia" w:ascii="仿宋" w:eastAsia="仿宋"/>
          <w:sz w:val="32"/>
          <w:szCs w:val="32"/>
        </w:rPr>
      </w:pPr>
      <w:r>
        <w:rPr>
          <w:rFonts w:hint="eastAsia" w:ascii="仿宋" w:eastAsia="仿宋"/>
          <w:sz w:val="32"/>
          <w:szCs w:val="32"/>
          <w:lang w:val="en-US" w:eastAsia="zh-CN"/>
        </w:rPr>
        <w:t>2</w:t>
      </w:r>
      <w:r>
        <w:rPr>
          <w:rFonts w:ascii="仿宋" w:eastAsia="仿宋"/>
          <w:sz w:val="32"/>
          <w:szCs w:val="32"/>
        </w:rPr>
        <w:t>、</w:t>
      </w:r>
      <w:r>
        <w:rPr>
          <w:rFonts w:hint="eastAsia" w:ascii="仿宋" w:eastAsia="仿宋"/>
          <w:sz w:val="32"/>
          <w:szCs w:val="32"/>
          <w:shd w:val="clear" w:color="auto" w:fill="FFFFFF"/>
        </w:rPr>
        <w:t>公务接待费年初预算为20.00万元，支出决算为8.</w:t>
      </w:r>
      <w:r>
        <w:rPr>
          <w:rFonts w:hint="eastAsia" w:ascii="仿宋" w:eastAsia="仿宋"/>
          <w:sz w:val="32"/>
          <w:szCs w:val="32"/>
          <w:shd w:val="clear" w:color="auto" w:fill="FFFFFF"/>
          <w:lang w:val="en-US" w:eastAsia="zh-CN"/>
        </w:rPr>
        <w:t>87</w:t>
      </w:r>
      <w:r>
        <w:rPr>
          <w:rFonts w:hint="eastAsia" w:ascii="仿宋" w:eastAsia="仿宋"/>
          <w:sz w:val="32"/>
          <w:szCs w:val="32"/>
          <w:shd w:val="clear" w:color="auto" w:fill="FFFFFF"/>
        </w:rPr>
        <w:t>万元，完成年初预算的4</w:t>
      </w:r>
      <w:r>
        <w:rPr>
          <w:rFonts w:hint="eastAsia" w:ascii="仿宋" w:eastAsia="仿宋"/>
          <w:sz w:val="32"/>
          <w:szCs w:val="32"/>
          <w:shd w:val="clear" w:color="auto" w:fill="FFFFFF"/>
          <w:lang w:val="en-US" w:eastAsia="zh-CN"/>
        </w:rPr>
        <w:t>4</w:t>
      </w:r>
      <w:r>
        <w:rPr>
          <w:rFonts w:hint="eastAsia" w:ascii="仿宋" w:eastAsia="仿宋"/>
          <w:sz w:val="32"/>
          <w:szCs w:val="32"/>
          <w:shd w:val="clear" w:color="auto" w:fill="FFFFFF"/>
        </w:rPr>
        <w:t>.</w:t>
      </w:r>
      <w:r>
        <w:rPr>
          <w:rFonts w:hint="eastAsia" w:ascii="仿宋" w:eastAsia="仿宋"/>
          <w:sz w:val="32"/>
          <w:szCs w:val="32"/>
          <w:shd w:val="clear" w:color="auto" w:fill="FFFFFF"/>
          <w:lang w:val="en-US" w:eastAsia="zh-CN"/>
        </w:rPr>
        <w:t>35</w:t>
      </w:r>
      <w:r>
        <w:rPr>
          <w:rFonts w:hint="eastAsia" w:ascii="仿宋" w:eastAsia="仿宋"/>
          <w:sz w:val="32"/>
          <w:szCs w:val="32"/>
          <w:shd w:val="clear" w:color="auto" w:fill="FFFFFF"/>
        </w:rPr>
        <w:t>%。决算数与年初预算数存在差异的主要原因是严格公务接待审批，规范公务接待管理。其中：</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仿宋" w:eastAsia="仿宋"/>
          <w:sz w:val="32"/>
          <w:szCs w:val="32"/>
          <w:shd w:val="clear" w:color="auto" w:fill="FFFFFF"/>
        </w:rPr>
      </w:pPr>
      <w:r>
        <w:rPr>
          <w:rFonts w:hint="eastAsia" w:ascii="仿宋" w:eastAsia="仿宋"/>
          <w:sz w:val="32"/>
          <w:szCs w:val="32"/>
          <w:shd w:val="clear" w:color="auto" w:fill="FFFFFF"/>
        </w:rPr>
        <w:t>其他国内公务接待支出8.</w:t>
      </w:r>
      <w:r>
        <w:rPr>
          <w:rFonts w:hint="eastAsia" w:ascii="仿宋" w:eastAsia="仿宋"/>
          <w:sz w:val="32"/>
          <w:szCs w:val="32"/>
          <w:shd w:val="clear" w:color="auto" w:fill="FFFFFF"/>
          <w:lang w:val="en-US" w:eastAsia="zh-CN"/>
        </w:rPr>
        <w:t>87</w:t>
      </w:r>
      <w:r>
        <w:rPr>
          <w:rFonts w:hint="eastAsia" w:ascii="仿宋" w:eastAsia="仿宋"/>
          <w:sz w:val="32"/>
          <w:szCs w:val="32"/>
          <w:shd w:val="clear" w:color="auto" w:fill="FFFFFF"/>
        </w:rPr>
        <w:t>万元。主要用于台商及台资企业负责人接待。202</w:t>
      </w:r>
      <w:r>
        <w:rPr>
          <w:rFonts w:hint="eastAsia" w:ascii="仿宋" w:eastAsia="仿宋"/>
          <w:sz w:val="32"/>
          <w:szCs w:val="32"/>
          <w:shd w:val="clear" w:color="auto" w:fill="FFFFFF"/>
          <w:lang w:val="en-US" w:eastAsia="zh-CN"/>
        </w:rPr>
        <w:t>1</w:t>
      </w:r>
      <w:r>
        <w:rPr>
          <w:rFonts w:hint="eastAsia" w:ascii="仿宋" w:eastAsia="仿宋"/>
          <w:sz w:val="32"/>
          <w:szCs w:val="32"/>
          <w:shd w:val="clear" w:color="auto" w:fill="FFFFFF"/>
        </w:rPr>
        <w:t>年共接待国内来访团组</w:t>
      </w:r>
      <w:r>
        <w:rPr>
          <w:rFonts w:hint="eastAsia" w:ascii="仿宋" w:eastAsia="仿宋"/>
          <w:sz w:val="32"/>
          <w:szCs w:val="32"/>
          <w:shd w:val="clear" w:color="auto" w:fill="FFFFFF"/>
          <w:lang w:val="en-US" w:eastAsia="zh-CN"/>
        </w:rPr>
        <w:t>58</w:t>
      </w:r>
      <w:r>
        <w:rPr>
          <w:rFonts w:hint="eastAsia" w:ascii="仿宋" w:eastAsia="仿宋"/>
          <w:sz w:val="32"/>
          <w:szCs w:val="32"/>
          <w:shd w:val="clear" w:color="auto" w:fill="FFFFFF"/>
        </w:rPr>
        <w:t>个、来宾</w:t>
      </w:r>
      <w:r>
        <w:rPr>
          <w:rFonts w:hint="eastAsia" w:ascii="仿宋" w:eastAsia="仿宋"/>
          <w:sz w:val="32"/>
          <w:szCs w:val="32"/>
          <w:shd w:val="clear" w:color="auto" w:fill="FFFFFF"/>
          <w:lang w:val="en-US" w:eastAsia="zh-CN"/>
        </w:rPr>
        <w:t>721</w:t>
      </w:r>
      <w:r>
        <w:rPr>
          <w:rFonts w:hint="eastAsia" w:ascii="仿宋" w:eastAsia="仿宋"/>
          <w:sz w:val="32"/>
          <w:szCs w:val="32"/>
          <w:shd w:val="clear" w:color="auto" w:fill="FFFFFF"/>
        </w:rPr>
        <w:t>人次（不包括陪同人员）。</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仿宋" w:eastAsia="仿宋"/>
          <w:sz w:val="32"/>
          <w:szCs w:val="32"/>
          <w:shd w:val="clear" w:color="auto" w:fill="FFFFFF"/>
          <w:lang w:val="en-US" w:eastAsia="zh-CN"/>
        </w:rPr>
      </w:pPr>
      <w:r>
        <w:rPr>
          <w:rFonts w:hint="eastAsia" w:ascii="仿宋" w:eastAsia="仿宋"/>
          <w:sz w:val="32"/>
          <w:szCs w:val="32"/>
          <w:shd w:val="clear" w:color="auto" w:fill="FFFFFF"/>
          <w:lang w:val="en-US" w:eastAsia="zh-CN"/>
        </w:rPr>
        <w:t>3、</w:t>
      </w:r>
      <w:r>
        <w:rPr>
          <w:rFonts w:hint="eastAsia" w:ascii="仿宋" w:eastAsia="仿宋"/>
          <w:sz w:val="32"/>
          <w:szCs w:val="32"/>
          <w:shd w:val="clear" w:color="auto" w:fill="FFFFFF"/>
        </w:rPr>
        <w:t>公务用车购置及运行费</w:t>
      </w:r>
      <w:r>
        <w:rPr>
          <w:rFonts w:hint="eastAsia" w:ascii="仿宋" w:eastAsia="仿宋"/>
          <w:sz w:val="32"/>
          <w:szCs w:val="32"/>
          <w:shd w:val="clear" w:color="auto" w:fill="FFFFFF"/>
          <w:lang w:eastAsia="zh-CN"/>
        </w:rPr>
        <w:t>年初预算为</w:t>
      </w:r>
      <w:r>
        <w:rPr>
          <w:rFonts w:hint="eastAsia" w:ascii="仿宋" w:eastAsia="仿宋"/>
          <w:sz w:val="32"/>
          <w:szCs w:val="32"/>
          <w:shd w:val="clear" w:color="auto" w:fill="FFFFFF"/>
          <w:lang w:val="en-US" w:eastAsia="zh-CN"/>
        </w:rPr>
        <w:t>5万元，</w:t>
      </w:r>
      <w:r>
        <w:rPr>
          <w:rFonts w:hint="eastAsia" w:ascii="仿宋" w:eastAsia="仿宋"/>
          <w:sz w:val="32"/>
          <w:szCs w:val="32"/>
          <w:shd w:val="clear" w:color="auto" w:fill="FFFFFF"/>
        </w:rPr>
        <w:t>支出决算</w:t>
      </w:r>
      <w:r>
        <w:rPr>
          <w:rFonts w:hint="eastAsia" w:ascii="仿宋" w:eastAsia="仿宋"/>
          <w:sz w:val="32"/>
          <w:szCs w:val="32"/>
          <w:shd w:val="clear" w:color="auto" w:fill="FFFFFF"/>
          <w:lang w:val="en-US" w:eastAsia="zh-CN"/>
        </w:rPr>
        <w:t>4</w:t>
      </w:r>
      <w:r>
        <w:rPr>
          <w:rFonts w:hint="eastAsia" w:ascii="仿宋" w:eastAsia="仿宋"/>
          <w:sz w:val="32"/>
          <w:szCs w:val="32"/>
          <w:shd w:val="clear" w:color="auto" w:fill="FFFFFF"/>
        </w:rPr>
        <w:t>.</w:t>
      </w:r>
      <w:r>
        <w:rPr>
          <w:rFonts w:hint="eastAsia" w:ascii="仿宋" w:eastAsia="仿宋"/>
          <w:sz w:val="32"/>
          <w:szCs w:val="32"/>
          <w:shd w:val="clear" w:color="auto" w:fill="FFFFFF"/>
          <w:lang w:val="en-US" w:eastAsia="zh-CN"/>
        </w:rPr>
        <w:t>46</w:t>
      </w:r>
      <w:r>
        <w:rPr>
          <w:rFonts w:hint="eastAsia" w:ascii="仿宋" w:eastAsia="仿宋"/>
          <w:sz w:val="32"/>
          <w:szCs w:val="32"/>
          <w:shd w:val="clear" w:color="auto" w:fill="FFFFFF"/>
        </w:rPr>
        <w:t>万元，</w:t>
      </w:r>
      <w:r>
        <w:rPr>
          <w:rFonts w:hint="eastAsia" w:ascii="仿宋" w:eastAsia="仿宋"/>
          <w:sz w:val="32"/>
          <w:szCs w:val="32"/>
          <w:shd w:val="clear" w:color="auto" w:fill="FFFFFF"/>
          <w:lang w:eastAsia="zh-CN"/>
        </w:rPr>
        <w:t>完成年初预算的</w:t>
      </w:r>
      <w:r>
        <w:rPr>
          <w:rFonts w:hint="eastAsia" w:ascii="仿宋" w:eastAsia="仿宋"/>
          <w:sz w:val="32"/>
          <w:szCs w:val="32"/>
          <w:shd w:val="clear" w:color="auto" w:fill="FFFFFF"/>
          <w:lang w:val="en-US" w:eastAsia="zh-CN"/>
        </w:rPr>
        <w:t>89%。</w:t>
      </w:r>
      <w:r>
        <w:rPr>
          <w:rFonts w:hint="eastAsia" w:ascii="仿宋" w:eastAsia="仿宋"/>
          <w:sz w:val="32"/>
          <w:szCs w:val="32"/>
          <w:shd w:val="clear" w:color="auto" w:fill="FFFFFF"/>
          <w:lang w:eastAsia="zh-CN"/>
        </w:rPr>
        <w:t>其中：公用用车购置费</w:t>
      </w:r>
      <w:r>
        <w:rPr>
          <w:rFonts w:hint="eastAsia" w:ascii="仿宋" w:eastAsia="仿宋"/>
          <w:sz w:val="32"/>
          <w:szCs w:val="32"/>
          <w:shd w:val="clear" w:color="auto" w:fill="FFFFFF"/>
          <w:lang w:val="en-US" w:eastAsia="zh-CN"/>
        </w:rPr>
        <w:t>0万元（单位本级），更新公务用车0辆。公务用车运行维护费  万元，主要是车辆加油、充电、修理等支出，截止2021年12月31日，我单位开支财政拨款的公务用车保有量有2辆。（三公经费支出口径应在专业名词解释中予以说明）。</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textAlignment w:val="auto"/>
        <w:rPr>
          <w:rFonts w:ascii="仿宋" w:eastAsia="仿宋"/>
          <w:sz w:val="32"/>
          <w:szCs w:val="32"/>
          <w:shd w:val="clear" w:color="auto" w:fill="FFFFFF"/>
        </w:rPr>
      </w:pPr>
      <w:r>
        <w:rPr>
          <w:rFonts w:ascii="仿宋" w:eastAsia="仿宋"/>
          <w:sz w:val="32"/>
          <w:szCs w:val="32"/>
        </w:rPr>
        <w:t>八、</w:t>
      </w:r>
      <w:r>
        <w:rPr>
          <w:rFonts w:hint="eastAsia" w:ascii="仿宋" w:eastAsia="仿宋"/>
          <w:sz w:val="32"/>
          <w:szCs w:val="32"/>
          <w:shd w:val="clear" w:color="auto" w:fill="FFFFFF"/>
        </w:rPr>
        <w:t>政府性基金预算财政拨款支出决算情况说明</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仿宋" w:eastAsia="仿宋"/>
          <w:sz w:val="32"/>
          <w:szCs w:val="32"/>
        </w:rPr>
      </w:pPr>
      <w:r>
        <w:rPr>
          <w:rFonts w:hint="eastAsia" w:ascii="仿宋" w:eastAsia="仿宋"/>
          <w:sz w:val="32"/>
          <w:szCs w:val="32"/>
          <w:shd w:val="clear" w:color="auto" w:fill="FFFFFF"/>
        </w:rPr>
        <w:t>202</w:t>
      </w:r>
      <w:r>
        <w:rPr>
          <w:rFonts w:hint="eastAsia" w:ascii="仿宋" w:eastAsia="仿宋"/>
          <w:sz w:val="32"/>
          <w:szCs w:val="32"/>
          <w:shd w:val="clear" w:color="auto" w:fill="FFFFFF"/>
          <w:lang w:val="en-US" w:eastAsia="zh-CN"/>
        </w:rPr>
        <w:t>1</w:t>
      </w:r>
      <w:r>
        <w:rPr>
          <w:rFonts w:hint="eastAsia" w:ascii="仿宋" w:eastAsia="仿宋"/>
          <w:sz w:val="32"/>
          <w:szCs w:val="32"/>
          <w:shd w:val="clear" w:color="auto" w:fill="FFFFFF"/>
        </w:rPr>
        <w:t>年度政府性基金预算财政拨款支出年初预算为0万元。</w:t>
      </w:r>
    </w:p>
    <w:p>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仿宋" w:eastAsia="仿宋"/>
          <w:sz w:val="32"/>
          <w:szCs w:val="32"/>
        </w:rPr>
      </w:pPr>
      <w:r>
        <w:rPr>
          <w:rFonts w:hint="eastAsia" w:ascii="仿宋" w:eastAsia="仿宋"/>
          <w:sz w:val="32"/>
          <w:szCs w:val="32"/>
          <w:shd w:val="clear" w:color="auto" w:fill="FFFFFF"/>
        </w:rPr>
        <w:t>国有资本经营预算财政拨款支出决算情况</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80" w:lineRule="exact"/>
        <w:ind w:right="0" w:rightChars="0" w:firstLine="640" w:firstLineChars="200"/>
        <w:textAlignment w:val="auto"/>
        <w:rPr>
          <w:rFonts w:hint="eastAsia" w:ascii="仿宋" w:eastAsia="仿宋"/>
          <w:sz w:val="32"/>
          <w:szCs w:val="32"/>
        </w:rPr>
      </w:pPr>
      <w:r>
        <w:rPr>
          <w:rFonts w:hint="eastAsia" w:ascii="仿宋" w:eastAsia="仿宋"/>
          <w:sz w:val="32"/>
          <w:szCs w:val="32"/>
          <w:shd w:val="clear" w:color="auto" w:fill="FFFFFF"/>
        </w:rPr>
        <w:t>202</w:t>
      </w:r>
      <w:r>
        <w:rPr>
          <w:rFonts w:hint="eastAsia" w:ascii="仿宋" w:eastAsia="仿宋"/>
          <w:sz w:val="32"/>
          <w:szCs w:val="32"/>
          <w:shd w:val="clear" w:color="auto" w:fill="FFFFFF"/>
          <w:lang w:val="en-US" w:eastAsia="zh-CN"/>
        </w:rPr>
        <w:t>1</w:t>
      </w:r>
      <w:r>
        <w:rPr>
          <w:rFonts w:hint="eastAsia" w:ascii="仿宋" w:eastAsia="仿宋"/>
          <w:sz w:val="32"/>
          <w:szCs w:val="32"/>
          <w:shd w:val="clear" w:color="auto" w:fill="FFFFFF"/>
        </w:rPr>
        <w:t>年国有资本经营预算财政拨款支出0万元。</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仿宋" w:eastAsia="仿宋"/>
          <w:sz w:val="32"/>
          <w:szCs w:val="32"/>
        </w:rPr>
      </w:pPr>
      <w:r>
        <w:rPr>
          <w:rFonts w:hint="eastAsia" w:ascii="仿宋" w:eastAsia="仿宋"/>
          <w:sz w:val="32"/>
          <w:szCs w:val="32"/>
          <w:shd w:val="clear" w:color="auto" w:fill="FFFFFF"/>
        </w:rPr>
        <w:t>十、机关运行经费支出情况说明</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仿宋" w:eastAsia="仿宋"/>
          <w:sz w:val="32"/>
          <w:szCs w:val="32"/>
        </w:rPr>
      </w:pPr>
      <w:r>
        <w:rPr>
          <w:rFonts w:hint="eastAsia" w:ascii="仿宋" w:eastAsia="仿宋"/>
          <w:sz w:val="32"/>
          <w:szCs w:val="32"/>
          <w:shd w:val="clear" w:color="auto" w:fill="FFFFFF"/>
        </w:rPr>
        <w:t>202</w:t>
      </w:r>
      <w:r>
        <w:rPr>
          <w:rFonts w:hint="eastAsia" w:ascii="仿宋" w:eastAsia="仿宋"/>
          <w:sz w:val="32"/>
          <w:szCs w:val="32"/>
          <w:shd w:val="clear" w:color="auto" w:fill="FFFFFF"/>
          <w:lang w:val="en-US" w:eastAsia="zh-CN"/>
        </w:rPr>
        <w:t>1</w:t>
      </w:r>
      <w:r>
        <w:rPr>
          <w:rFonts w:hint="eastAsia" w:ascii="仿宋" w:eastAsia="仿宋"/>
          <w:sz w:val="32"/>
          <w:szCs w:val="32"/>
          <w:shd w:val="clear" w:color="auto" w:fill="FFFFFF"/>
        </w:rPr>
        <w:t>年度机关运行经费年初预算为</w:t>
      </w:r>
      <w:r>
        <w:rPr>
          <w:rFonts w:hint="eastAsia" w:ascii="仿宋" w:eastAsia="仿宋"/>
          <w:sz w:val="32"/>
          <w:szCs w:val="32"/>
          <w:shd w:val="clear" w:color="auto" w:fill="FFFFFF"/>
          <w:lang w:val="en-US" w:eastAsia="zh-CN"/>
        </w:rPr>
        <w:t>70.77</w:t>
      </w:r>
      <w:r>
        <w:rPr>
          <w:rFonts w:hint="eastAsia" w:ascii="仿宋" w:eastAsia="仿宋"/>
          <w:sz w:val="32"/>
          <w:szCs w:val="32"/>
          <w:shd w:val="clear" w:color="auto" w:fill="FFFFFF"/>
        </w:rPr>
        <w:t>万元，支出决算万</w:t>
      </w:r>
      <w:r>
        <w:rPr>
          <w:rFonts w:hint="eastAsia" w:ascii="仿宋" w:eastAsia="仿宋"/>
          <w:sz w:val="32"/>
          <w:szCs w:val="32"/>
          <w:shd w:val="clear" w:color="auto" w:fill="FFFFFF"/>
          <w:lang w:val="en-US" w:eastAsia="zh-CN"/>
        </w:rPr>
        <w:t>65.21</w:t>
      </w:r>
      <w:r>
        <w:rPr>
          <w:rFonts w:hint="eastAsia" w:ascii="仿宋" w:eastAsia="仿宋"/>
          <w:sz w:val="32"/>
          <w:szCs w:val="32"/>
          <w:shd w:val="clear" w:color="auto" w:fill="FFFFFF"/>
        </w:rPr>
        <w:t>元，完成年初预算的</w:t>
      </w:r>
      <w:r>
        <w:rPr>
          <w:rFonts w:hint="eastAsia" w:ascii="仿宋" w:eastAsia="仿宋"/>
          <w:sz w:val="32"/>
          <w:szCs w:val="32"/>
          <w:shd w:val="clear" w:color="auto" w:fill="FFFFFF"/>
          <w:lang w:val="en-US" w:eastAsia="zh-CN"/>
        </w:rPr>
        <w:t>92.14</w:t>
      </w:r>
      <w:r>
        <w:rPr>
          <w:rFonts w:hint="eastAsia" w:ascii="仿宋" w:eastAsia="仿宋"/>
          <w:sz w:val="32"/>
          <w:szCs w:val="32"/>
          <w:shd w:val="clear" w:color="auto" w:fill="FFFFFF"/>
        </w:rPr>
        <w:t>%。决算数与年初预算数存在差异的主要原因是人员调进，工资社保等</w:t>
      </w:r>
      <w:r>
        <w:rPr>
          <w:rFonts w:hint="eastAsia" w:ascii="仿宋" w:eastAsia="仿宋"/>
          <w:sz w:val="32"/>
          <w:szCs w:val="32"/>
          <w:shd w:val="clear" w:color="auto" w:fill="FFFFFF"/>
          <w:lang w:eastAsia="zh-CN"/>
        </w:rPr>
        <w:t>调整</w:t>
      </w:r>
      <w:r>
        <w:rPr>
          <w:rFonts w:hint="eastAsia" w:ascii="仿宋" w:eastAsia="仿宋"/>
          <w:sz w:val="32"/>
          <w:szCs w:val="32"/>
          <w:shd w:val="clear" w:color="auto" w:fill="FFFFFF"/>
        </w:rPr>
        <w:t>支出。</w:t>
      </w:r>
    </w:p>
    <w:p>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480" w:lineRule="exact"/>
        <w:ind w:left="0" w:leftChars="0" w:firstLine="640" w:firstLineChars="200"/>
        <w:textAlignment w:val="auto"/>
        <w:rPr>
          <w:rFonts w:hint="eastAsia" w:ascii="仿宋" w:eastAsia="仿宋"/>
          <w:sz w:val="32"/>
          <w:szCs w:val="32"/>
          <w:shd w:val="clear" w:color="auto" w:fill="FFFFFF"/>
        </w:rPr>
      </w:pPr>
      <w:r>
        <w:rPr>
          <w:rFonts w:hint="eastAsia" w:ascii="仿宋" w:eastAsia="仿宋"/>
          <w:sz w:val="32"/>
          <w:szCs w:val="32"/>
          <w:shd w:val="clear" w:color="auto" w:fill="FFFFFF"/>
        </w:rPr>
        <w:t>一般性支出情况</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80" w:lineRule="exact"/>
        <w:ind w:right="0" w:rightChars="0" w:firstLine="640" w:firstLineChars="200"/>
        <w:textAlignment w:val="auto"/>
        <w:rPr>
          <w:rFonts w:hint="eastAsia" w:ascii="仿宋" w:eastAsia="仿宋"/>
          <w:sz w:val="32"/>
          <w:szCs w:val="32"/>
        </w:rPr>
      </w:pPr>
      <w:r>
        <w:rPr>
          <w:rFonts w:hint="eastAsia" w:ascii="仿宋" w:eastAsia="仿宋"/>
          <w:sz w:val="32"/>
          <w:szCs w:val="32"/>
          <w:shd w:val="clear" w:color="auto" w:fill="FFFFFF"/>
        </w:rPr>
        <w:t>202</w:t>
      </w:r>
      <w:r>
        <w:rPr>
          <w:rFonts w:hint="eastAsia" w:ascii="仿宋" w:eastAsia="仿宋"/>
          <w:sz w:val="32"/>
          <w:szCs w:val="32"/>
          <w:shd w:val="clear" w:color="auto" w:fill="FFFFFF"/>
          <w:lang w:val="en-US" w:eastAsia="zh-CN"/>
        </w:rPr>
        <w:t>1</w:t>
      </w:r>
      <w:r>
        <w:rPr>
          <w:rFonts w:hint="eastAsia" w:ascii="仿宋" w:eastAsia="仿宋"/>
          <w:sz w:val="32"/>
          <w:szCs w:val="32"/>
          <w:shd w:val="clear" w:color="auto" w:fill="FFFFFF"/>
        </w:rPr>
        <w:t>年本部门开支会议费</w:t>
      </w:r>
      <w:r>
        <w:rPr>
          <w:rFonts w:hint="eastAsia" w:ascii="仿宋" w:eastAsia="仿宋"/>
          <w:sz w:val="32"/>
          <w:szCs w:val="32"/>
          <w:shd w:val="clear" w:color="auto" w:fill="FFFFFF"/>
          <w:lang w:val="en-US" w:eastAsia="zh-CN"/>
        </w:rPr>
        <w:t>0.13</w:t>
      </w:r>
      <w:r>
        <w:rPr>
          <w:rFonts w:hint="eastAsia" w:ascii="仿宋" w:eastAsia="仿宋"/>
          <w:sz w:val="32"/>
          <w:szCs w:val="32"/>
          <w:shd w:val="clear" w:color="auto" w:fill="FFFFFF"/>
        </w:rPr>
        <w:t>元；开支培训费</w:t>
      </w:r>
      <w:r>
        <w:rPr>
          <w:rFonts w:hint="eastAsia" w:ascii="仿宋" w:eastAsia="仿宋"/>
          <w:sz w:val="32"/>
          <w:szCs w:val="32"/>
          <w:shd w:val="clear" w:color="auto" w:fill="FFFFFF"/>
          <w:lang w:val="en-US" w:eastAsia="zh-CN"/>
        </w:rPr>
        <w:t>3</w:t>
      </w:r>
      <w:r>
        <w:rPr>
          <w:rFonts w:hint="eastAsia" w:ascii="仿宋" w:eastAsia="仿宋"/>
          <w:sz w:val="32"/>
          <w:szCs w:val="32"/>
          <w:shd w:val="clear" w:color="auto" w:fill="FFFFFF"/>
        </w:rPr>
        <w:t>.</w:t>
      </w:r>
      <w:r>
        <w:rPr>
          <w:rFonts w:hint="eastAsia" w:ascii="仿宋" w:eastAsia="仿宋"/>
          <w:sz w:val="32"/>
          <w:szCs w:val="32"/>
          <w:shd w:val="clear" w:color="auto" w:fill="FFFFFF"/>
          <w:lang w:val="en-US" w:eastAsia="zh-CN"/>
        </w:rPr>
        <w:t>35</w:t>
      </w:r>
      <w:r>
        <w:rPr>
          <w:rFonts w:hint="eastAsia" w:ascii="仿宋" w:eastAsia="仿宋"/>
          <w:sz w:val="32"/>
          <w:szCs w:val="32"/>
          <w:shd w:val="clear" w:color="auto" w:fill="FFFFFF"/>
        </w:rPr>
        <w:t>万元，</w:t>
      </w:r>
      <w:r>
        <w:rPr>
          <w:rFonts w:hint="eastAsia" w:ascii="仿宋" w:eastAsia="仿宋"/>
          <w:sz w:val="32"/>
          <w:szCs w:val="32"/>
          <w:shd w:val="clear" w:color="auto" w:fill="FFFFFF"/>
          <w:lang w:eastAsia="zh-CN"/>
        </w:rPr>
        <w:t>其中住宿</w:t>
      </w:r>
      <w:r>
        <w:rPr>
          <w:rFonts w:hint="eastAsia" w:ascii="仿宋" w:eastAsia="仿宋"/>
          <w:sz w:val="32"/>
          <w:szCs w:val="32"/>
          <w:shd w:val="clear" w:color="auto" w:fill="FFFFFF"/>
          <w:lang w:val="en-US" w:eastAsia="zh-CN"/>
        </w:rPr>
        <w:t>2万元，</w:t>
      </w:r>
      <w:r>
        <w:rPr>
          <w:rFonts w:hint="eastAsia" w:ascii="仿宋" w:eastAsia="仿宋"/>
          <w:sz w:val="32"/>
          <w:szCs w:val="32"/>
          <w:shd w:val="clear" w:color="auto" w:fill="FFFFFF"/>
          <w:lang w:eastAsia="zh-CN"/>
        </w:rPr>
        <w:t>餐费</w:t>
      </w:r>
      <w:r>
        <w:rPr>
          <w:rFonts w:hint="eastAsia" w:ascii="仿宋" w:eastAsia="仿宋"/>
          <w:sz w:val="32"/>
          <w:szCs w:val="32"/>
          <w:shd w:val="clear" w:color="auto" w:fill="FFFFFF"/>
          <w:lang w:val="en-US" w:eastAsia="zh-CN"/>
        </w:rPr>
        <w:t>1.35万元，</w:t>
      </w:r>
      <w:r>
        <w:rPr>
          <w:rFonts w:hint="eastAsia" w:ascii="仿宋" w:eastAsia="仿宋"/>
          <w:sz w:val="32"/>
          <w:szCs w:val="32"/>
          <w:shd w:val="clear" w:color="auto" w:fill="FFFFFF"/>
        </w:rPr>
        <w:t>用于开展对台干部、</w:t>
      </w:r>
      <w:r>
        <w:rPr>
          <w:rFonts w:hint="eastAsia" w:ascii="仿宋" w:eastAsia="仿宋"/>
          <w:sz w:val="32"/>
          <w:szCs w:val="32"/>
          <w:shd w:val="clear" w:color="auto" w:fill="FFFFFF"/>
          <w:lang w:eastAsia="zh-CN"/>
        </w:rPr>
        <w:t>业务</w:t>
      </w:r>
      <w:r>
        <w:rPr>
          <w:rFonts w:hint="eastAsia" w:ascii="仿宋" w:eastAsia="仿宋"/>
          <w:sz w:val="32"/>
          <w:szCs w:val="32"/>
          <w:shd w:val="clear" w:color="auto" w:fill="FFFFFF"/>
        </w:rPr>
        <w:t>培训，人数</w:t>
      </w:r>
      <w:r>
        <w:rPr>
          <w:rFonts w:hint="eastAsia" w:ascii="仿宋" w:eastAsia="仿宋"/>
          <w:sz w:val="32"/>
          <w:szCs w:val="32"/>
          <w:shd w:val="clear" w:color="auto" w:fill="FFFFFF"/>
          <w:lang w:val="en-US" w:eastAsia="zh-CN"/>
        </w:rPr>
        <w:t>6</w:t>
      </w:r>
      <w:r>
        <w:rPr>
          <w:rFonts w:hint="eastAsia" w:ascii="仿宋" w:eastAsia="仿宋"/>
          <w:sz w:val="32"/>
          <w:szCs w:val="32"/>
          <w:shd w:val="clear" w:color="auto" w:fill="FFFFFF"/>
        </w:rPr>
        <w:t>0人，内容为机关公务员在职培训和对台交流工作培训等。202</w:t>
      </w:r>
      <w:r>
        <w:rPr>
          <w:rFonts w:hint="eastAsia" w:ascii="仿宋" w:eastAsia="仿宋"/>
          <w:sz w:val="32"/>
          <w:szCs w:val="32"/>
          <w:shd w:val="clear" w:color="auto" w:fill="FFFFFF"/>
          <w:lang w:val="en-US" w:eastAsia="zh-CN"/>
        </w:rPr>
        <w:t>1</w:t>
      </w:r>
      <w:r>
        <w:rPr>
          <w:rFonts w:hint="eastAsia" w:ascii="仿宋" w:eastAsia="仿宋"/>
          <w:sz w:val="32"/>
          <w:szCs w:val="32"/>
          <w:shd w:val="clear" w:color="auto" w:fill="FFFFFF"/>
        </w:rPr>
        <w:t>年度本部门无举办节庆、晚会、论坛、赛事等。</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仿宋" w:eastAsia="仿宋"/>
          <w:sz w:val="32"/>
          <w:szCs w:val="32"/>
        </w:rPr>
      </w:pPr>
      <w:r>
        <w:rPr>
          <w:rFonts w:hint="eastAsia" w:ascii="仿宋" w:eastAsia="仿宋"/>
          <w:sz w:val="32"/>
          <w:szCs w:val="32"/>
          <w:shd w:val="clear" w:color="auto" w:fill="FFFFFF"/>
        </w:rPr>
        <w:t>十二、政府采购支出情况说明</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仿宋" w:eastAsia="仿宋"/>
          <w:sz w:val="32"/>
          <w:szCs w:val="32"/>
        </w:rPr>
      </w:pPr>
      <w:r>
        <w:rPr>
          <w:rFonts w:hint="eastAsia" w:ascii="仿宋" w:eastAsia="仿宋"/>
          <w:sz w:val="32"/>
          <w:szCs w:val="32"/>
          <w:shd w:val="clear" w:color="auto" w:fill="FFFFFF"/>
        </w:rPr>
        <w:t>202</w:t>
      </w:r>
      <w:r>
        <w:rPr>
          <w:rFonts w:hint="eastAsia" w:ascii="仿宋" w:eastAsia="仿宋"/>
          <w:sz w:val="32"/>
          <w:szCs w:val="32"/>
          <w:shd w:val="clear" w:color="auto" w:fill="FFFFFF"/>
          <w:lang w:val="en-US" w:eastAsia="zh-CN"/>
        </w:rPr>
        <w:t>1</w:t>
      </w:r>
      <w:r>
        <w:rPr>
          <w:rFonts w:hint="eastAsia" w:ascii="仿宋" w:eastAsia="仿宋"/>
          <w:sz w:val="32"/>
          <w:szCs w:val="32"/>
          <w:shd w:val="clear" w:color="auto" w:fill="FFFFFF"/>
        </w:rPr>
        <w:t>年度政府采购支出总额</w:t>
      </w:r>
      <w:r>
        <w:rPr>
          <w:rFonts w:hint="eastAsia" w:ascii="仿宋" w:eastAsia="仿宋"/>
          <w:sz w:val="32"/>
          <w:szCs w:val="32"/>
          <w:shd w:val="clear" w:color="auto" w:fill="FFFFFF"/>
          <w:lang w:val="en-US" w:eastAsia="zh-CN"/>
        </w:rPr>
        <w:t>13.39</w:t>
      </w:r>
      <w:r>
        <w:rPr>
          <w:rFonts w:hint="eastAsia" w:ascii="仿宋" w:eastAsia="仿宋"/>
          <w:sz w:val="32"/>
          <w:szCs w:val="32"/>
          <w:shd w:val="clear" w:color="auto" w:fill="FFFFFF"/>
        </w:rPr>
        <w:t>万元，其中：政府采购货物支出</w:t>
      </w:r>
      <w:r>
        <w:rPr>
          <w:rFonts w:hint="eastAsia" w:ascii="仿宋" w:eastAsia="仿宋"/>
          <w:sz w:val="32"/>
          <w:szCs w:val="32"/>
          <w:shd w:val="clear" w:color="auto" w:fill="FFFFFF"/>
          <w:lang w:val="en-US" w:eastAsia="zh-CN"/>
        </w:rPr>
        <w:t>13.39</w:t>
      </w:r>
      <w:r>
        <w:rPr>
          <w:rFonts w:hint="eastAsia" w:ascii="仿宋" w:eastAsia="仿宋"/>
          <w:sz w:val="32"/>
          <w:szCs w:val="32"/>
          <w:shd w:val="clear" w:color="auto" w:fill="FFFFFF"/>
        </w:rPr>
        <w:t>万元、政府采购工程支出0万元、政府采购服务支出0万元。授予中小企业合同金额0万元，占政府采购支出总额的0%，其中：授予小微企业合同金额0万元，占政府采购支出总额的0%。</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40" w:firstLineChars="200"/>
        <w:textAlignment w:val="auto"/>
        <w:rPr>
          <w:rFonts w:hint="eastAsia" w:ascii="仿宋" w:eastAsia="仿宋"/>
          <w:sz w:val="32"/>
          <w:szCs w:val="32"/>
        </w:rPr>
      </w:pPr>
      <w:r>
        <w:rPr>
          <w:rFonts w:hint="eastAsia" w:ascii="仿宋" w:eastAsia="仿宋"/>
          <w:sz w:val="32"/>
          <w:szCs w:val="32"/>
          <w:shd w:val="clear" w:color="auto" w:fill="FFFFFF"/>
        </w:rPr>
        <w:t>十三、国有资产占用情况说明</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仿宋" w:eastAsia="仿宋"/>
          <w:sz w:val="32"/>
          <w:szCs w:val="32"/>
          <w:lang w:eastAsia="zh-CN"/>
        </w:rPr>
      </w:pPr>
      <w:r>
        <w:rPr>
          <w:rFonts w:hint="eastAsia" w:ascii="仿宋" w:eastAsia="仿宋"/>
          <w:sz w:val="32"/>
          <w:szCs w:val="32"/>
          <w:shd w:val="clear" w:color="auto" w:fill="FFFFFF"/>
        </w:rPr>
        <w:t>202</w:t>
      </w:r>
      <w:r>
        <w:rPr>
          <w:rFonts w:hint="eastAsia" w:ascii="仿宋" w:eastAsia="仿宋"/>
          <w:sz w:val="32"/>
          <w:szCs w:val="32"/>
          <w:shd w:val="clear" w:color="auto" w:fill="FFFFFF"/>
          <w:lang w:val="en-US" w:eastAsia="zh-CN"/>
        </w:rPr>
        <w:t>1</w:t>
      </w:r>
      <w:r>
        <w:rPr>
          <w:rFonts w:hint="eastAsia" w:ascii="仿宋" w:eastAsia="仿宋"/>
          <w:sz w:val="32"/>
          <w:szCs w:val="32"/>
          <w:shd w:val="clear" w:color="auto" w:fill="FFFFFF"/>
        </w:rPr>
        <w:t>年期末，我单位共有车辆2辆。其中：省级领导干部用车0辆、主要领导干部用车0辆、机要通信用车0辆、应急保障车0辆、执法执勤用车0辆、特种专业技术用车0辆、离退休干部用车0辆、其他用车2辆；单位价值50万元以上通用设备0台（套），单位价值100万元以上专用设备0台（套）。</w:t>
      </w:r>
      <w:r>
        <w:rPr>
          <w:rFonts w:hint="eastAsia" w:ascii="仿宋" w:eastAsia="仿宋"/>
          <w:sz w:val="32"/>
          <w:szCs w:val="32"/>
          <w:shd w:val="clear" w:color="auto" w:fill="FFFFFF"/>
          <w:lang w:eastAsia="zh-CN"/>
        </w:rPr>
        <w:t>车辆</w:t>
      </w:r>
      <w:r>
        <w:rPr>
          <w:rFonts w:hint="eastAsia" w:ascii="仿宋" w:eastAsia="仿宋"/>
          <w:sz w:val="32"/>
          <w:szCs w:val="32"/>
          <w:shd w:val="clear" w:color="auto" w:fill="FFFFFF"/>
        </w:rPr>
        <w:t>主要用于接待</w:t>
      </w:r>
      <w:r>
        <w:rPr>
          <w:rFonts w:hint="eastAsia" w:ascii="仿宋" w:eastAsia="仿宋"/>
          <w:sz w:val="32"/>
          <w:szCs w:val="32"/>
          <w:shd w:val="clear" w:color="auto" w:fill="FFFFFF"/>
          <w:lang w:eastAsia="zh-CN"/>
        </w:rPr>
        <w:t>、外出调研</w:t>
      </w:r>
      <w:r>
        <w:rPr>
          <w:rFonts w:hint="eastAsia" w:ascii="仿宋" w:eastAsia="仿宋"/>
          <w:sz w:val="32"/>
          <w:szCs w:val="32"/>
          <w:shd w:val="clear" w:color="auto" w:fill="FFFFFF"/>
        </w:rPr>
        <w:t>等</w:t>
      </w:r>
      <w:r>
        <w:rPr>
          <w:rFonts w:hint="eastAsia" w:ascii="仿宋" w:eastAsia="仿宋"/>
          <w:sz w:val="32"/>
          <w:szCs w:val="32"/>
          <w:shd w:val="clear" w:color="auto" w:fill="FFFFFF"/>
          <w:lang w:eastAsia="zh-CN"/>
        </w:rPr>
        <w:t>工作需要。</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仿宋" w:eastAsia="仿宋"/>
          <w:sz w:val="32"/>
          <w:szCs w:val="32"/>
        </w:rPr>
      </w:pPr>
      <w:r>
        <w:rPr>
          <w:rFonts w:hint="eastAsia" w:ascii="仿宋" w:eastAsia="仿宋" w:cs="宋体"/>
          <w:b w:val="0"/>
          <w:bCs w:val="0"/>
          <w:sz w:val="32"/>
          <w:szCs w:val="32"/>
          <w:shd w:val="clear" w:color="auto" w:fill="FFFFFF"/>
        </w:rPr>
        <w:t>十四、关于202</w:t>
      </w:r>
      <w:r>
        <w:rPr>
          <w:rFonts w:hint="eastAsia" w:ascii="仿宋" w:eastAsia="仿宋" w:cs="宋体"/>
          <w:b w:val="0"/>
          <w:bCs w:val="0"/>
          <w:sz w:val="32"/>
          <w:szCs w:val="32"/>
          <w:shd w:val="clear" w:color="auto" w:fill="FFFFFF"/>
          <w:lang w:val="en-US" w:eastAsia="zh-CN"/>
        </w:rPr>
        <w:t>1</w:t>
      </w:r>
      <w:r>
        <w:rPr>
          <w:rFonts w:hint="eastAsia" w:ascii="仿宋" w:eastAsia="仿宋" w:cs="宋体"/>
          <w:b w:val="0"/>
          <w:bCs w:val="0"/>
          <w:sz w:val="32"/>
          <w:szCs w:val="32"/>
          <w:shd w:val="clear" w:color="auto" w:fill="FFFFFF"/>
        </w:rPr>
        <w:t>年度预算绩效情况的说明</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仿宋" w:eastAsia="仿宋"/>
          <w:color w:val="333333"/>
          <w:sz w:val="32"/>
          <w:szCs w:val="32"/>
          <w:shd w:val="clear" w:color="auto" w:fill="FFFFFF"/>
        </w:rPr>
      </w:pPr>
      <w:r>
        <w:rPr>
          <w:rFonts w:hint="eastAsia" w:ascii="仿宋" w:eastAsia="仿宋"/>
          <w:color w:val="333333"/>
          <w:sz w:val="32"/>
          <w:szCs w:val="32"/>
          <w:shd w:val="clear" w:color="auto" w:fill="FFFFFF"/>
        </w:rPr>
        <w:t>根据长沙市财政局《关于开展202</w:t>
      </w:r>
      <w:r>
        <w:rPr>
          <w:rFonts w:hint="eastAsia" w:ascii="仿宋" w:eastAsia="仿宋"/>
          <w:color w:val="333333"/>
          <w:sz w:val="32"/>
          <w:szCs w:val="32"/>
          <w:shd w:val="clear" w:color="auto" w:fill="FFFFFF"/>
          <w:lang w:val="en-US" w:eastAsia="zh-CN"/>
        </w:rPr>
        <w:t>1</w:t>
      </w:r>
      <w:r>
        <w:rPr>
          <w:rFonts w:hint="eastAsia" w:ascii="仿宋" w:eastAsia="仿宋"/>
          <w:color w:val="333333"/>
          <w:sz w:val="32"/>
          <w:szCs w:val="32"/>
          <w:shd w:val="clear" w:color="auto" w:fill="FFFFFF"/>
        </w:rPr>
        <w:t>年市级财政资金绩效自评工作的通知》文件要求，我单位对202</w:t>
      </w:r>
      <w:r>
        <w:rPr>
          <w:rFonts w:hint="eastAsia" w:ascii="仿宋" w:eastAsia="仿宋"/>
          <w:color w:val="333333"/>
          <w:sz w:val="32"/>
          <w:szCs w:val="32"/>
          <w:shd w:val="clear" w:color="auto" w:fill="FFFFFF"/>
          <w:lang w:val="en-US" w:eastAsia="zh-CN"/>
        </w:rPr>
        <w:t>1</w:t>
      </w:r>
      <w:r>
        <w:rPr>
          <w:rFonts w:hint="eastAsia" w:ascii="仿宋" w:eastAsia="仿宋"/>
          <w:color w:val="333333"/>
          <w:sz w:val="32"/>
          <w:szCs w:val="32"/>
          <w:shd w:val="clear" w:color="auto" w:fill="FFFFFF"/>
        </w:rPr>
        <w:t>年度部门整体支出进行了绩效自评，对资金支出管理及使用情况、资产管理情况、部门整体支出绩效情况等方面进行了全面梳理。我单位建立了较健全的资金管理制度，有效地发挥了财政资金的经济效益和社会效益，为对台工作的开展提供了有力保障。</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textAlignment w:val="auto"/>
        <w:rPr>
          <w:rFonts w:hint="default" w:ascii="仿宋" w:eastAsia="仿宋"/>
          <w:color w:val="333333"/>
          <w:sz w:val="32"/>
          <w:szCs w:val="32"/>
          <w:shd w:val="clear" w:color="auto" w:fill="FFFFFF"/>
          <w:lang w:val="en-US" w:eastAsia="zh-CN"/>
        </w:rPr>
      </w:pPr>
      <w:r>
        <w:rPr>
          <w:rFonts w:hint="eastAsia" w:ascii="仿宋" w:eastAsia="仿宋"/>
          <w:color w:val="333333"/>
          <w:sz w:val="32"/>
          <w:szCs w:val="32"/>
          <w:shd w:val="clear" w:color="auto" w:fill="FFFFFF"/>
          <w:lang w:eastAsia="zh-CN"/>
        </w:rPr>
        <w:t>十五、本单位</w:t>
      </w:r>
      <w:r>
        <w:rPr>
          <w:rFonts w:hint="eastAsia" w:ascii="仿宋" w:eastAsia="仿宋"/>
          <w:color w:val="333333"/>
          <w:sz w:val="32"/>
          <w:szCs w:val="32"/>
          <w:shd w:val="clear" w:color="auto" w:fill="FFFFFF"/>
          <w:lang w:val="en-US" w:eastAsia="zh-CN"/>
        </w:rPr>
        <w:t>2021年无重点项目支出，为常规性项目开支。</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黑体" w:eastAsia="黑体"/>
          <w:sz w:val="32"/>
          <w:szCs w:val="32"/>
        </w:rPr>
      </w:pPr>
      <w:r>
        <w:rPr>
          <w:rFonts w:hint="eastAsia" w:ascii="黑体" w:eastAsia="黑体"/>
          <w:sz w:val="32"/>
          <w:szCs w:val="32"/>
          <w:shd w:val="clear" w:color="auto" w:fill="FFFFFF"/>
        </w:rPr>
        <w:t>第四部分 名词解释</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仿宋" w:eastAsia="仿宋"/>
          <w:sz w:val="32"/>
          <w:szCs w:val="32"/>
        </w:rPr>
      </w:pPr>
      <w:r>
        <w:rPr>
          <w:rFonts w:hint="eastAsia" w:ascii="仿宋" w:eastAsia="仿宋"/>
          <w:color w:val="333333"/>
          <w:sz w:val="32"/>
          <w:szCs w:val="32"/>
          <w:shd w:val="clear" w:color="auto" w:fill="FFFFFF"/>
        </w:rPr>
        <w:t>一、基本支出：指为保障机构正常运转、完成日常工作任务而发生的各项支出，包括人员支出和公用支出。</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仿宋" w:eastAsia="仿宋"/>
          <w:sz w:val="32"/>
          <w:szCs w:val="32"/>
        </w:rPr>
      </w:pPr>
      <w:r>
        <w:rPr>
          <w:rFonts w:hint="eastAsia" w:ascii="仿宋" w:eastAsia="仿宋"/>
          <w:color w:val="333333"/>
          <w:sz w:val="32"/>
          <w:szCs w:val="32"/>
          <w:shd w:val="clear" w:color="auto" w:fill="FFFFFF"/>
        </w:rPr>
        <w:t>二、项目支出：指在基本支出以外为完成相关行政任务和事业发展目标所发生的各项支出。</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仿宋" w:eastAsia="仿宋"/>
          <w:sz w:val="32"/>
          <w:szCs w:val="32"/>
        </w:rPr>
      </w:pPr>
      <w:r>
        <w:rPr>
          <w:rFonts w:hint="eastAsia" w:ascii="仿宋" w:eastAsia="仿宋"/>
          <w:color w:val="333333"/>
          <w:sz w:val="32"/>
          <w:szCs w:val="32"/>
          <w:shd w:val="clear" w:color="auto" w:fill="FFFFFF"/>
        </w:rPr>
        <w:t>三、“三公”经费：指通过财政拨款资金安排的因公出国（境）费、公务用车购置及运行费和公务接待费支出。</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仿宋" w:eastAsia="仿宋"/>
          <w:color w:val="333333"/>
          <w:sz w:val="32"/>
          <w:szCs w:val="32"/>
          <w:shd w:val="clear" w:color="auto" w:fill="FFFFFF"/>
        </w:rPr>
      </w:pPr>
      <w:r>
        <w:rPr>
          <w:rFonts w:hint="eastAsia" w:ascii="仿宋" w:eastAsia="仿宋"/>
          <w:color w:val="333333"/>
          <w:sz w:val="32"/>
          <w:szCs w:val="32"/>
          <w:shd w:val="clear" w:color="auto" w:fill="FFFFFF"/>
        </w:rPr>
        <w:t>四、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黑体" w:hAnsi="黑体" w:eastAsia="黑体" w:cs="黑体"/>
          <w:color w:val="333333"/>
          <w:sz w:val="32"/>
          <w:szCs w:val="32"/>
          <w:shd w:val="clear" w:color="auto" w:fill="FFFFFF"/>
          <w:lang w:val="en-US" w:eastAsia="zh-CN"/>
        </w:rPr>
      </w:pPr>
      <w:r>
        <w:rPr>
          <w:rFonts w:hint="eastAsia" w:ascii="黑体" w:hAnsi="黑体" w:eastAsia="黑体" w:cs="黑体"/>
          <w:color w:val="333333"/>
          <w:sz w:val="32"/>
          <w:szCs w:val="32"/>
          <w:shd w:val="clear" w:color="auto" w:fill="FFFFFF"/>
          <w:lang w:val="en-US" w:eastAsia="zh-CN"/>
        </w:rPr>
        <w:t>第五部分  附件</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textAlignment w:val="auto"/>
        <w:rPr>
          <w:rFonts w:hint="eastAsia" w:ascii="仿宋" w:eastAsia="仿宋"/>
          <w:sz w:val="32"/>
          <w:szCs w:val="32"/>
        </w:rPr>
      </w:pPr>
      <w:r>
        <w:rPr>
          <w:rFonts w:hint="eastAsia" w:ascii="仿宋" w:eastAsia="仿宋"/>
          <w:sz w:val="32"/>
          <w:szCs w:val="32"/>
        </w:rPr>
        <w:t>  </w:t>
      </w:r>
    </w:p>
    <w:p>
      <w:pPr>
        <w:widowControl/>
        <w:spacing w:before="100" w:beforeAutospacing="1" w:after="100" w:afterAutospacing="1" w:line="360" w:lineRule="auto"/>
        <w:ind w:right="641" w:firstLine="562" w:firstLineChars="200"/>
        <w:jc w:val="center"/>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 xml:space="preserve"> </w:t>
      </w:r>
      <w:r>
        <w:rPr>
          <w:rFonts w:hint="eastAsia" w:ascii="黑体" w:hAnsi="黑体" w:eastAsia="黑体" w:cs="黑体"/>
          <w:b w:val="0"/>
          <w:bCs/>
          <w:color w:val="000000" w:themeColor="text1"/>
          <w:kern w:val="0"/>
          <w:sz w:val="32"/>
          <w:szCs w:val="32"/>
          <w14:textFill>
            <w14:solidFill>
              <w14:schemeClr w14:val="tx1"/>
            </w14:solidFill>
          </w14:textFill>
        </w:rPr>
        <w:t>部门整体支出绩效自评报告</w:t>
      </w:r>
    </w:p>
    <w:p>
      <w:pPr>
        <w:pStyle w:val="5"/>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为深入推进预算绩效管理改革，规范政府部门财政支出，强化政府部门履职效能，切实提高财政资金使用效益，长沙市财政局根据《中华人民共和国预算法》《中华人民共和国预算法实施 条例》、《</w:t>
      </w:r>
      <w:r>
        <w:rPr>
          <w:rFonts w:hint="eastAsia" w:ascii="仿宋" w:hAnsi="仿宋" w:eastAsia="仿宋" w:cs="仿宋"/>
          <w:color w:val="000000" w:themeColor="text1"/>
          <w:w w:val="95"/>
          <w:sz w:val="32"/>
          <w:szCs w:val="32"/>
          <w14:textFill>
            <w14:solidFill>
              <w14:schemeClr w14:val="tx1"/>
            </w14:solidFill>
          </w14:textFill>
        </w:rPr>
        <w:t>中共中央国务院关于全面实施预算绩效管理的意见</w:t>
      </w:r>
      <w:r>
        <w:rPr>
          <w:rFonts w:hint="eastAsia" w:ascii="仿宋" w:hAnsi="仿宋" w:eastAsia="仿宋" w:cs="仿宋"/>
          <w:color w:val="000000" w:themeColor="text1"/>
          <w:spacing w:val="-312"/>
          <w:w w:val="95"/>
          <w:sz w:val="32"/>
          <w:szCs w:val="32"/>
          <w14:textFill>
            <w14:solidFill>
              <w14:schemeClr w14:val="tx1"/>
            </w14:solidFill>
          </w14:textFill>
        </w:rPr>
        <w:t>》</w:t>
      </w:r>
      <w:r>
        <w:rPr>
          <w:rFonts w:hint="eastAsia" w:ascii="仿宋" w:hAnsi="仿宋" w:eastAsia="仿宋" w:cs="仿宋"/>
          <w:color w:val="000000" w:themeColor="text1"/>
          <w:w w:val="95"/>
          <w:sz w:val="32"/>
          <w:szCs w:val="32"/>
          <w14:textFill>
            <w14:solidFill>
              <w14:schemeClr w14:val="tx1"/>
            </w14:solidFill>
          </w14:textFill>
        </w:rPr>
        <w:t>（中</w:t>
      </w:r>
      <w:r>
        <w:rPr>
          <w:rFonts w:hint="eastAsia" w:ascii="仿宋" w:hAnsi="仿宋" w:eastAsia="仿宋" w:cs="仿宋"/>
          <w:color w:val="000000" w:themeColor="text1"/>
          <w:spacing w:val="-48"/>
          <w:w w:val="95"/>
          <w:sz w:val="32"/>
          <w:szCs w:val="32"/>
          <w14:textFill>
            <w14:solidFill>
              <w14:schemeClr w14:val="tx1"/>
            </w14:solidFill>
          </w14:textFill>
        </w:rPr>
        <w:t>发〔</w:t>
      </w:r>
      <w:r>
        <w:rPr>
          <w:rFonts w:hint="eastAsia" w:ascii="仿宋" w:hAnsi="仿宋" w:eastAsia="仿宋" w:cs="仿宋"/>
          <w:color w:val="000000" w:themeColor="text1"/>
          <w:w w:val="95"/>
          <w:sz w:val="32"/>
          <w:szCs w:val="32"/>
          <w14:textFill>
            <w14:solidFill>
              <w14:schemeClr w14:val="tx1"/>
            </w14:solidFill>
          </w14:textFill>
        </w:rPr>
        <w:t>2018</w:t>
      </w:r>
      <w:r>
        <w:rPr>
          <w:rFonts w:hint="eastAsia" w:ascii="仿宋" w:hAnsi="仿宋" w:eastAsia="仿宋" w:cs="仿宋"/>
          <w:color w:val="000000" w:themeColor="text1"/>
          <w:spacing w:val="-96"/>
          <w:w w:val="95"/>
          <w:sz w:val="32"/>
          <w:szCs w:val="32"/>
          <w14:textFill>
            <w14:solidFill>
              <w14:schemeClr w14:val="tx1"/>
            </w14:solidFill>
          </w14:textFill>
        </w:rPr>
        <w:t>〕</w:t>
      </w:r>
      <w:r>
        <w:rPr>
          <w:rFonts w:hint="eastAsia" w:ascii="仿宋" w:hAnsi="仿宋" w:eastAsia="仿宋" w:cs="仿宋"/>
          <w:color w:val="000000" w:themeColor="text1"/>
          <w:w w:val="95"/>
          <w:sz w:val="32"/>
          <w:szCs w:val="32"/>
          <w14:textFill>
            <w14:solidFill>
              <w14:schemeClr w14:val="tx1"/>
            </w14:solidFill>
          </w14:textFill>
        </w:rPr>
        <w:t>34号</w:t>
      </w:r>
      <w:r>
        <w:rPr>
          <w:rFonts w:hint="eastAsia" w:ascii="仿宋" w:hAnsi="仿宋" w:eastAsia="仿宋" w:cs="仿宋"/>
          <w:color w:val="000000" w:themeColor="text1"/>
          <w:spacing w:val="-99"/>
          <w:w w:val="95"/>
          <w:sz w:val="32"/>
          <w:szCs w:val="32"/>
          <w14:textFill>
            <w14:solidFill>
              <w14:schemeClr w14:val="tx1"/>
            </w14:solidFill>
          </w14:textFill>
        </w:rPr>
        <w:t>）</w:t>
      </w:r>
      <w:r>
        <w:rPr>
          <w:rFonts w:hint="eastAsia" w:ascii="仿宋" w:hAnsi="仿宋" w:eastAsia="仿宋" w:cs="仿宋"/>
          <w:color w:val="000000" w:themeColor="text1"/>
          <w:spacing w:val="-17"/>
          <w:w w:val="95"/>
          <w:sz w:val="32"/>
          <w:szCs w:val="32"/>
          <w14:textFill>
            <w14:solidFill>
              <w14:schemeClr w14:val="tx1"/>
            </w14:solidFill>
          </w14:textFill>
        </w:rPr>
        <w:t>、《项目支出绩效评价管理办法</w:t>
      </w:r>
      <w:r>
        <w:rPr>
          <w:rFonts w:hint="eastAsia" w:ascii="仿宋" w:hAnsi="仿宋" w:eastAsia="仿宋" w:cs="仿宋"/>
          <w:color w:val="000000" w:themeColor="text1"/>
          <w:spacing w:val="-197"/>
          <w:w w:val="95"/>
          <w:sz w:val="32"/>
          <w:szCs w:val="32"/>
          <w14:textFill>
            <w14:solidFill>
              <w14:schemeClr w14:val="tx1"/>
            </w14:solidFill>
          </w14:textFill>
        </w:rPr>
        <w:t>》</w:t>
      </w:r>
      <w:r>
        <w:rPr>
          <w:rFonts w:hint="eastAsia" w:ascii="仿宋" w:hAnsi="仿宋" w:eastAsia="仿宋" w:cs="仿宋"/>
          <w:color w:val="000000" w:themeColor="text1"/>
          <w:w w:val="95"/>
          <w:sz w:val="32"/>
          <w:szCs w:val="32"/>
          <w14:textFill>
            <w14:solidFill>
              <w14:schemeClr w14:val="tx1"/>
            </w14:solidFill>
          </w14:textFill>
        </w:rPr>
        <w:t>（</w:t>
      </w:r>
      <w:r>
        <w:rPr>
          <w:rFonts w:hint="eastAsia" w:ascii="仿宋" w:hAnsi="仿宋" w:eastAsia="仿宋" w:cs="仿宋"/>
          <w:color w:val="000000" w:themeColor="text1"/>
          <w:spacing w:val="-32"/>
          <w:w w:val="95"/>
          <w:sz w:val="32"/>
          <w:szCs w:val="32"/>
          <w14:textFill>
            <w14:solidFill>
              <w14:schemeClr w14:val="tx1"/>
            </w14:solidFill>
          </w14:textFill>
        </w:rPr>
        <w:t>财预〔</w:t>
      </w:r>
      <w:r>
        <w:rPr>
          <w:rFonts w:hint="eastAsia" w:ascii="仿宋" w:hAnsi="仿宋" w:eastAsia="仿宋" w:cs="仿宋"/>
          <w:color w:val="000000" w:themeColor="text1"/>
          <w:w w:val="95"/>
          <w:sz w:val="32"/>
          <w:szCs w:val="32"/>
          <w14:textFill>
            <w14:solidFill>
              <w14:schemeClr w14:val="tx1"/>
            </w14:solidFill>
          </w14:textFill>
        </w:rPr>
        <w:t>2020〕</w:t>
      </w:r>
      <w:r>
        <w:rPr>
          <w:rFonts w:hint="eastAsia" w:ascii="仿宋" w:hAnsi="仿宋" w:eastAsia="仿宋" w:cs="仿宋"/>
          <w:color w:val="000000" w:themeColor="text1"/>
          <w:sz w:val="32"/>
          <w:szCs w:val="32"/>
          <w14:textFill>
            <w14:solidFill>
              <w14:schemeClr w14:val="tx1"/>
            </w14:solidFill>
          </w14:textFill>
        </w:rPr>
        <w:t>10</w:t>
      </w:r>
      <w:r>
        <w:rPr>
          <w:rFonts w:hint="eastAsia" w:ascii="仿宋" w:hAnsi="仿宋" w:eastAsia="仿宋" w:cs="仿宋"/>
          <w:color w:val="000000" w:themeColor="text1"/>
          <w:spacing w:val="-1"/>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号）</w:t>
      </w:r>
      <w:r>
        <w:rPr>
          <w:rFonts w:hint="eastAsia" w:ascii="仿宋" w:hAnsi="仿宋" w:eastAsia="仿宋" w:cs="仿宋"/>
          <w:color w:val="000000" w:themeColor="text1"/>
          <w:spacing w:val="1"/>
          <w:sz w:val="32"/>
          <w:szCs w:val="32"/>
          <w14:textFill>
            <w14:solidFill>
              <w14:schemeClr w14:val="tx1"/>
            </w14:solidFill>
          </w14:textFill>
        </w:rPr>
        <w:t>、《中共湖南省委办公厅 湖南省人民政府办公厅关于</w:t>
      </w:r>
      <w:r>
        <w:rPr>
          <w:rFonts w:hint="eastAsia" w:ascii="仿宋" w:hAnsi="仿宋" w:eastAsia="仿宋" w:cs="仿宋"/>
          <w:color w:val="000000" w:themeColor="text1"/>
          <w:spacing w:val="-7"/>
          <w:sz w:val="32"/>
          <w:szCs w:val="32"/>
          <w14:textFill>
            <w14:solidFill>
              <w14:schemeClr w14:val="tx1"/>
            </w14:solidFill>
          </w14:textFill>
        </w:rPr>
        <w:t>全面实施预算绩效管理的实施意见》</w:t>
      </w:r>
      <w:r>
        <w:rPr>
          <w:rFonts w:hint="eastAsia" w:ascii="仿宋" w:hAnsi="仿宋" w:eastAsia="仿宋" w:cs="仿宋"/>
          <w:color w:val="000000" w:themeColor="text1"/>
          <w:spacing w:val="-3"/>
          <w:sz w:val="32"/>
          <w:szCs w:val="32"/>
          <w14:textFill>
            <w14:solidFill>
              <w14:schemeClr w14:val="tx1"/>
            </w14:solidFill>
          </w14:textFill>
        </w:rPr>
        <w:t>（</w:t>
      </w:r>
      <w:r>
        <w:rPr>
          <w:rFonts w:hint="eastAsia" w:ascii="仿宋" w:hAnsi="仿宋" w:eastAsia="仿宋" w:cs="仿宋"/>
          <w:color w:val="000000" w:themeColor="text1"/>
          <w:spacing w:val="-2"/>
          <w:sz w:val="32"/>
          <w:szCs w:val="32"/>
          <w14:textFill>
            <w14:solidFill>
              <w14:schemeClr w14:val="tx1"/>
            </w14:solidFill>
          </w14:textFill>
        </w:rPr>
        <w:t>湘办发〔2019〕10</w:t>
      </w:r>
      <w:r>
        <w:rPr>
          <w:rFonts w:hint="eastAsia" w:ascii="仿宋" w:hAnsi="仿宋" w:eastAsia="仿宋" w:cs="仿宋"/>
          <w:color w:val="000000" w:themeColor="text1"/>
          <w:spacing w:val="-18"/>
          <w:sz w:val="32"/>
          <w:szCs w:val="32"/>
          <w14:textFill>
            <w14:solidFill>
              <w14:schemeClr w14:val="tx1"/>
            </w14:solidFill>
          </w14:textFill>
        </w:rPr>
        <w:t xml:space="preserve"> </w:t>
      </w:r>
      <w:r>
        <w:rPr>
          <w:rFonts w:hint="eastAsia" w:ascii="仿宋" w:hAnsi="仿宋" w:eastAsia="仿宋" w:cs="仿宋"/>
          <w:color w:val="000000" w:themeColor="text1"/>
          <w:spacing w:val="-2"/>
          <w:sz w:val="32"/>
          <w:szCs w:val="32"/>
          <w14:textFill>
            <w14:solidFill>
              <w14:schemeClr w14:val="tx1"/>
            </w14:solidFill>
          </w14:textFill>
        </w:rPr>
        <w:t>号）</w:t>
      </w:r>
      <w:r>
        <w:rPr>
          <w:rFonts w:hint="eastAsia" w:ascii="仿宋" w:hAnsi="仿宋" w:eastAsia="仿宋" w:cs="仿宋"/>
          <w:color w:val="000000" w:themeColor="text1"/>
          <w:spacing w:val="2"/>
          <w:w w:val="95"/>
          <w:sz w:val="32"/>
          <w:szCs w:val="32"/>
          <w14:textFill>
            <w14:solidFill>
              <w14:schemeClr w14:val="tx1"/>
            </w14:solidFill>
          </w14:textFill>
        </w:rPr>
        <w:t>等相关规定，我中心组成评价工作组，对2</w:t>
      </w:r>
      <w:r>
        <w:rPr>
          <w:rFonts w:hint="eastAsia" w:ascii="仿宋" w:hAnsi="仿宋" w:eastAsia="仿宋" w:cs="仿宋"/>
          <w:color w:val="000000" w:themeColor="text1"/>
          <w:spacing w:val="-1"/>
          <w:sz w:val="32"/>
          <w:szCs w:val="32"/>
          <w14:textFill>
            <w14:solidFill>
              <w14:schemeClr w14:val="tx1"/>
            </w14:solidFill>
          </w14:textFill>
        </w:rPr>
        <w:t>021年</w:t>
      </w:r>
      <w:r>
        <w:rPr>
          <w:rFonts w:hint="eastAsia" w:ascii="仿宋" w:hAnsi="仿宋" w:eastAsia="仿宋" w:cs="仿宋"/>
          <w:color w:val="000000" w:themeColor="text1"/>
          <w:sz w:val="32"/>
          <w:szCs w:val="32"/>
          <w14:textFill>
            <w14:solidFill>
              <w14:schemeClr w14:val="tx1"/>
            </w14:solidFill>
          </w14:textFill>
        </w:rPr>
        <w:t>部门整体支出实施了绩效评价，形成了本绩效自评报告。现将具体绩效评价情况报告如下：</w:t>
      </w:r>
    </w:p>
    <w:p>
      <w:pPr>
        <w:pStyle w:val="2"/>
        <w:spacing w:before="0" w:after="0" w:line="360" w:lineRule="auto"/>
        <w:ind w:firstLine="643" w:firstLineChars="200"/>
        <w:contextualSpacing/>
        <w:rPr>
          <w:rFonts w:hint="eastAsia" w:ascii="仿宋" w:hAnsi="仿宋" w:eastAsia="仿宋" w:cs="仿宋"/>
          <w:color w:val="000000" w:themeColor="text1"/>
          <w:kern w:val="0"/>
          <w:sz w:val="32"/>
          <w:szCs w:val="32"/>
          <w14:textFill>
            <w14:solidFill>
              <w14:schemeClr w14:val="tx1"/>
            </w14:solidFill>
          </w14:textFill>
        </w:rPr>
      </w:pPr>
      <w:bookmarkStart w:id="0" w:name="_Toc35974565"/>
      <w:r>
        <w:rPr>
          <w:rFonts w:hint="eastAsia" w:ascii="仿宋" w:hAnsi="仿宋" w:eastAsia="仿宋" w:cs="仿宋"/>
          <w:color w:val="000000" w:themeColor="text1"/>
          <w:kern w:val="0"/>
          <w:sz w:val="32"/>
          <w:szCs w:val="32"/>
          <w14:textFill>
            <w14:solidFill>
              <w14:schemeClr w14:val="tx1"/>
            </w14:solidFill>
          </w14:textFill>
        </w:rPr>
        <w:t>一、部门概况</w:t>
      </w:r>
      <w:bookmarkEnd w:id="0"/>
    </w:p>
    <w:p>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color w:val="000000" w:themeColor="text1"/>
          <w:kern w:val="0"/>
          <w:sz w:val="32"/>
          <w:szCs w:val="32"/>
          <w14:textFill>
            <w14:solidFill>
              <w14:schemeClr w14:val="tx1"/>
            </w14:solidFill>
          </w14:textFill>
        </w:rPr>
        <w:t>（二）部门整体支出规模</w:t>
      </w:r>
    </w:p>
    <w:p>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2021年初市财政批复预算为1007.00万元，增加对台项目预算310.00万元（见表1-1），年中预算调整1,428.37万元，年未无结余。</w:t>
      </w:r>
    </w:p>
    <w:p>
      <w:pPr>
        <w:pStyle w:val="5"/>
        <w:ind w:firstLine="1280" w:firstLineChars="400"/>
        <w:rPr>
          <w:rFonts w:hint="eastAsia" w:ascii="仿宋" w:hAnsi="仿宋" w:eastAsia="仿宋" w:cs="仿宋"/>
          <w:sz w:val="32"/>
          <w:szCs w:val="32"/>
        </w:rPr>
      </w:pPr>
      <w:r>
        <w:rPr>
          <w:rFonts w:hint="eastAsia" w:ascii="仿宋" w:hAnsi="仿宋" w:eastAsia="仿宋" w:cs="仿宋"/>
          <w:sz w:val="32"/>
          <w:szCs w:val="32"/>
        </w:rPr>
        <w:t>表 1-1台办2021年年度部门支出预算总体情况</w:t>
      </w:r>
    </w:p>
    <w:p>
      <w:pPr>
        <w:jc w:val="right"/>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（单位：万元）</w:t>
      </w:r>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89"/>
        <w:gridCol w:w="2511"/>
        <w:gridCol w:w="38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1196" w:type="pct"/>
            <w:vMerge w:val="restart"/>
          </w:tcPr>
          <w:p>
            <w:pPr>
              <w:pStyle w:val="13"/>
              <w:spacing w:line="362" w:lineRule="auto"/>
              <w:ind w:left="395" w:right="324" w:hanging="60"/>
              <w:rPr>
                <w:rFonts w:hint="eastAsia" w:ascii="仿宋" w:hAnsi="仿宋" w:eastAsia="仿宋" w:cs="仿宋"/>
                <w:color w:val="000000" w:themeColor="text1"/>
                <w:sz w:val="32"/>
                <w:szCs w:val="32"/>
                <w:lang w:eastAsia="en-US"/>
                <w14:textFill>
                  <w14:solidFill>
                    <w14:schemeClr w14:val="tx1"/>
                  </w14:solidFill>
                </w14:textFill>
              </w:rPr>
            </w:pPr>
            <w:r>
              <w:rPr>
                <w:rFonts w:hint="eastAsia" w:ascii="仿宋" w:hAnsi="仿宋" w:eastAsia="仿宋" w:cs="仿宋"/>
                <w:color w:val="000000" w:themeColor="text1"/>
                <w:spacing w:val="-1"/>
                <w:sz w:val="32"/>
                <w:szCs w:val="32"/>
                <w:lang w:eastAsia="en-US"/>
                <w14:textFill>
                  <w14:solidFill>
                    <w14:schemeClr w14:val="tx1"/>
                  </w14:solidFill>
                </w14:textFill>
              </w:rPr>
              <w:t>支出总预算</w:t>
            </w:r>
            <w:r>
              <w:rPr>
                <w:rFonts w:hint="eastAsia" w:ascii="仿宋" w:hAnsi="仿宋" w:eastAsia="仿宋" w:cs="仿宋"/>
                <w:color w:val="000000" w:themeColor="text1"/>
                <w:sz w:val="32"/>
                <w:szCs w:val="32"/>
                <w:lang w:eastAsia="en-US"/>
                <w14:textFill>
                  <w14:solidFill>
                    <w14:schemeClr w14:val="tx1"/>
                  </w14:solidFill>
                </w14:textFill>
              </w:rPr>
              <w:t>1317.00</w:t>
            </w:r>
          </w:p>
        </w:tc>
        <w:tc>
          <w:tcPr>
            <w:tcW w:w="1510" w:type="pct"/>
            <w:vMerge w:val="restart"/>
          </w:tcPr>
          <w:p>
            <w:pPr>
              <w:pStyle w:val="13"/>
              <w:spacing w:before="171" w:line="362" w:lineRule="auto"/>
              <w:ind w:left="275" w:right="267" w:firstLine="660"/>
              <w:rPr>
                <w:rFonts w:hint="eastAsia" w:ascii="仿宋" w:hAnsi="仿宋" w:eastAsia="仿宋" w:cs="仿宋"/>
                <w:color w:val="000000" w:themeColor="text1"/>
                <w:sz w:val="32"/>
                <w:szCs w:val="32"/>
                <w:lang w:eastAsia="en-US"/>
                <w14:textFill>
                  <w14:solidFill>
                    <w14:schemeClr w14:val="tx1"/>
                  </w14:solidFill>
                </w14:textFill>
              </w:rPr>
            </w:pPr>
            <w:r>
              <w:rPr>
                <w:rFonts w:hint="eastAsia" w:ascii="仿宋" w:hAnsi="仿宋" w:eastAsia="仿宋" w:cs="仿宋"/>
                <w:color w:val="000000" w:themeColor="text1"/>
                <w:sz w:val="32"/>
                <w:szCs w:val="32"/>
                <w:lang w:eastAsia="en-US"/>
                <w14:textFill>
                  <w14:solidFill>
                    <w14:schemeClr w14:val="tx1"/>
                  </w14:solidFill>
                </w14:textFill>
              </w:rPr>
              <w:t>基本支出890.00（67.58%）</w:t>
            </w:r>
          </w:p>
        </w:tc>
        <w:tc>
          <w:tcPr>
            <w:tcW w:w="2294" w:type="pct"/>
          </w:tcPr>
          <w:p>
            <w:pPr>
              <w:pStyle w:val="13"/>
              <w:spacing w:before="1" w:line="290" w:lineRule="exact"/>
              <w:ind w:left="235" w:right="224"/>
              <w:jc w:val="center"/>
              <w:rPr>
                <w:rFonts w:hint="eastAsia" w:ascii="仿宋" w:hAnsi="仿宋" w:eastAsia="仿宋" w:cs="仿宋"/>
                <w:color w:val="000000" w:themeColor="text1"/>
                <w:sz w:val="32"/>
                <w:szCs w:val="32"/>
                <w:lang w:eastAsia="en-US"/>
                <w14:textFill>
                  <w14:solidFill>
                    <w14:schemeClr w14:val="tx1"/>
                  </w14:solidFill>
                </w14:textFill>
              </w:rPr>
            </w:pPr>
            <w:r>
              <w:rPr>
                <w:rFonts w:hint="eastAsia" w:ascii="仿宋" w:hAnsi="仿宋" w:eastAsia="仿宋" w:cs="仿宋"/>
                <w:color w:val="000000" w:themeColor="text1"/>
                <w:sz w:val="32"/>
                <w:szCs w:val="32"/>
                <w:lang w:eastAsia="en-US"/>
                <w14:textFill>
                  <w14:solidFill>
                    <w14:schemeClr w14:val="tx1"/>
                  </w14:solidFill>
                </w14:textFill>
              </w:rPr>
              <w:t xml:space="preserve">工资福利支出：660.36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1196" w:type="pct"/>
            <w:vMerge w:val="continue"/>
            <w:tcBorders>
              <w:top w:val="nil"/>
            </w:tcBorders>
          </w:tcPr>
          <w:p>
            <w:pPr>
              <w:autoSpaceDE w:val="0"/>
              <w:autoSpaceDN w:val="0"/>
              <w:rPr>
                <w:rFonts w:hint="eastAsia" w:ascii="仿宋" w:hAnsi="仿宋" w:eastAsia="仿宋" w:cs="仿宋"/>
                <w:color w:val="000000" w:themeColor="text1"/>
                <w:sz w:val="32"/>
                <w:szCs w:val="32"/>
                <w:lang w:eastAsia="en-US"/>
                <w14:textFill>
                  <w14:solidFill>
                    <w14:schemeClr w14:val="tx1"/>
                  </w14:solidFill>
                </w14:textFill>
              </w:rPr>
            </w:pPr>
          </w:p>
        </w:tc>
        <w:tc>
          <w:tcPr>
            <w:tcW w:w="1510" w:type="pct"/>
            <w:vMerge w:val="continue"/>
            <w:tcBorders>
              <w:top w:val="nil"/>
            </w:tcBorders>
          </w:tcPr>
          <w:p>
            <w:pPr>
              <w:autoSpaceDE w:val="0"/>
              <w:autoSpaceDN w:val="0"/>
              <w:rPr>
                <w:rFonts w:hint="eastAsia" w:ascii="仿宋" w:hAnsi="仿宋" w:eastAsia="仿宋" w:cs="仿宋"/>
                <w:color w:val="000000" w:themeColor="text1"/>
                <w:sz w:val="32"/>
                <w:szCs w:val="32"/>
                <w:lang w:eastAsia="en-US"/>
                <w14:textFill>
                  <w14:solidFill>
                    <w14:schemeClr w14:val="tx1"/>
                  </w14:solidFill>
                </w14:textFill>
              </w:rPr>
            </w:pPr>
          </w:p>
        </w:tc>
        <w:tc>
          <w:tcPr>
            <w:tcW w:w="2294" w:type="pct"/>
          </w:tcPr>
          <w:p>
            <w:pPr>
              <w:pStyle w:val="13"/>
              <w:spacing w:before="2" w:line="290" w:lineRule="exact"/>
              <w:ind w:left="235" w:right="224"/>
              <w:jc w:val="center"/>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 xml:space="preserve">一般商品和服务支出：70.77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1196" w:type="pct"/>
            <w:vMerge w:val="continue"/>
            <w:tcBorders>
              <w:top w:val="nil"/>
            </w:tcBorders>
          </w:tcPr>
          <w:p>
            <w:pPr>
              <w:autoSpaceDE w:val="0"/>
              <w:autoSpaceDN w:val="0"/>
              <w:rPr>
                <w:rFonts w:hint="eastAsia" w:ascii="仿宋" w:hAnsi="仿宋" w:eastAsia="仿宋" w:cs="仿宋"/>
                <w:color w:val="000000" w:themeColor="text1"/>
                <w:sz w:val="32"/>
                <w:szCs w:val="32"/>
                <w:lang w:eastAsia="zh-CN"/>
                <w14:textFill>
                  <w14:solidFill>
                    <w14:schemeClr w14:val="tx1"/>
                  </w14:solidFill>
                </w14:textFill>
              </w:rPr>
            </w:pPr>
          </w:p>
        </w:tc>
        <w:tc>
          <w:tcPr>
            <w:tcW w:w="1510" w:type="pct"/>
            <w:vMerge w:val="continue"/>
            <w:tcBorders>
              <w:top w:val="nil"/>
            </w:tcBorders>
          </w:tcPr>
          <w:p>
            <w:pPr>
              <w:autoSpaceDE w:val="0"/>
              <w:autoSpaceDN w:val="0"/>
              <w:rPr>
                <w:rFonts w:hint="eastAsia" w:ascii="仿宋" w:hAnsi="仿宋" w:eastAsia="仿宋" w:cs="仿宋"/>
                <w:color w:val="000000" w:themeColor="text1"/>
                <w:sz w:val="32"/>
                <w:szCs w:val="32"/>
                <w:lang w:eastAsia="zh-CN"/>
                <w14:textFill>
                  <w14:solidFill>
                    <w14:schemeClr w14:val="tx1"/>
                  </w14:solidFill>
                </w14:textFill>
              </w:rPr>
            </w:pPr>
          </w:p>
        </w:tc>
        <w:tc>
          <w:tcPr>
            <w:tcW w:w="2294" w:type="pct"/>
          </w:tcPr>
          <w:p>
            <w:pPr>
              <w:pStyle w:val="13"/>
              <w:spacing w:before="1" w:line="290" w:lineRule="exact"/>
              <w:ind w:left="235" w:right="224"/>
              <w:jc w:val="center"/>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 xml:space="preserve">对个人和家庭的补助：158.87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1196" w:type="pct"/>
            <w:vMerge w:val="continue"/>
            <w:tcBorders>
              <w:top w:val="nil"/>
            </w:tcBorders>
          </w:tcPr>
          <w:p>
            <w:pPr>
              <w:autoSpaceDE w:val="0"/>
              <w:autoSpaceDN w:val="0"/>
              <w:rPr>
                <w:rFonts w:hint="eastAsia" w:ascii="仿宋" w:hAnsi="仿宋" w:eastAsia="仿宋" w:cs="仿宋"/>
                <w:color w:val="000000" w:themeColor="text1"/>
                <w:sz w:val="32"/>
                <w:szCs w:val="32"/>
                <w:lang w:eastAsia="zh-CN"/>
                <w14:textFill>
                  <w14:solidFill>
                    <w14:schemeClr w14:val="tx1"/>
                  </w14:solidFill>
                </w14:textFill>
              </w:rPr>
            </w:pPr>
          </w:p>
        </w:tc>
        <w:tc>
          <w:tcPr>
            <w:tcW w:w="1510" w:type="pct"/>
            <w:vMerge w:val="restart"/>
          </w:tcPr>
          <w:p>
            <w:pPr>
              <w:pStyle w:val="13"/>
              <w:spacing w:before="12"/>
              <w:ind w:left="255" w:right="249"/>
              <w:jc w:val="center"/>
              <w:rPr>
                <w:rFonts w:hint="eastAsia" w:ascii="仿宋" w:hAnsi="仿宋" w:eastAsia="仿宋" w:cs="仿宋"/>
                <w:color w:val="000000" w:themeColor="text1"/>
                <w:sz w:val="32"/>
                <w:szCs w:val="32"/>
                <w:lang w:eastAsia="en-US"/>
                <w14:textFill>
                  <w14:solidFill>
                    <w14:schemeClr w14:val="tx1"/>
                  </w14:solidFill>
                </w14:textFill>
              </w:rPr>
            </w:pPr>
            <w:r>
              <w:rPr>
                <w:rFonts w:hint="eastAsia" w:ascii="仿宋" w:hAnsi="仿宋" w:eastAsia="仿宋" w:cs="仿宋"/>
                <w:color w:val="000000" w:themeColor="text1"/>
                <w:sz w:val="32"/>
                <w:szCs w:val="32"/>
                <w:lang w:eastAsia="en-US"/>
                <w14:textFill>
                  <w14:solidFill>
                    <w14:schemeClr w14:val="tx1"/>
                  </w14:solidFill>
                </w14:textFill>
              </w:rPr>
              <w:t>项目支出</w:t>
            </w:r>
          </w:p>
          <w:p>
            <w:pPr>
              <w:pStyle w:val="13"/>
              <w:spacing w:before="158"/>
              <w:ind w:left="255" w:right="249"/>
              <w:jc w:val="center"/>
              <w:rPr>
                <w:rFonts w:hint="eastAsia" w:ascii="仿宋" w:hAnsi="仿宋" w:eastAsia="仿宋" w:cs="仿宋"/>
                <w:color w:val="000000" w:themeColor="text1"/>
                <w:sz w:val="32"/>
                <w:szCs w:val="32"/>
                <w:lang w:eastAsia="en-US"/>
                <w14:textFill>
                  <w14:solidFill>
                    <w14:schemeClr w14:val="tx1"/>
                  </w14:solidFill>
                </w14:textFill>
              </w:rPr>
            </w:pPr>
            <w:r>
              <w:rPr>
                <w:rFonts w:hint="eastAsia" w:ascii="仿宋" w:hAnsi="仿宋" w:eastAsia="仿宋" w:cs="仿宋"/>
                <w:color w:val="000000" w:themeColor="text1"/>
                <w:sz w:val="32"/>
                <w:szCs w:val="32"/>
                <w:lang w:eastAsia="en-US"/>
                <w14:textFill>
                  <w14:solidFill>
                    <w14:schemeClr w14:val="tx1"/>
                  </w14:solidFill>
                </w14:textFill>
              </w:rPr>
              <w:t>427.00（32.42%）</w:t>
            </w:r>
          </w:p>
        </w:tc>
        <w:tc>
          <w:tcPr>
            <w:tcW w:w="2294" w:type="pct"/>
          </w:tcPr>
          <w:p>
            <w:pPr>
              <w:pStyle w:val="13"/>
              <w:spacing w:before="2" w:line="288" w:lineRule="exact"/>
              <w:ind w:left="235" w:right="224"/>
              <w:jc w:val="center"/>
              <w:rPr>
                <w:rFonts w:hint="eastAsia" w:ascii="仿宋" w:hAnsi="仿宋" w:eastAsia="仿宋" w:cs="仿宋"/>
                <w:color w:val="000000" w:themeColor="text1"/>
                <w:sz w:val="32"/>
                <w:szCs w:val="32"/>
                <w:lang w:eastAsia="en-US"/>
                <w14:textFill>
                  <w14:solidFill>
                    <w14:schemeClr w14:val="tx1"/>
                  </w14:solidFill>
                </w14:textFill>
              </w:rPr>
            </w:pPr>
            <w:r>
              <w:rPr>
                <w:rFonts w:hint="eastAsia" w:ascii="仿宋" w:hAnsi="仿宋" w:eastAsia="仿宋" w:cs="仿宋"/>
                <w:color w:val="000000" w:themeColor="text1"/>
                <w:sz w:val="32"/>
                <w:szCs w:val="32"/>
                <w:lang w:eastAsia="en-US"/>
                <w14:textFill>
                  <w14:solidFill>
                    <w14:schemeClr w14:val="tx1"/>
                  </w14:solidFill>
                </w14:textFill>
              </w:rPr>
              <w:t xml:space="preserve">行政事业类项目：427.00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1196" w:type="pct"/>
            <w:vMerge w:val="continue"/>
            <w:tcBorders>
              <w:top w:val="nil"/>
            </w:tcBorders>
          </w:tcPr>
          <w:p>
            <w:pPr>
              <w:autoSpaceDE w:val="0"/>
              <w:autoSpaceDN w:val="0"/>
              <w:rPr>
                <w:rFonts w:hint="eastAsia" w:ascii="仿宋" w:hAnsi="仿宋" w:eastAsia="仿宋" w:cs="仿宋"/>
                <w:color w:val="000000" w:themeColor="text1"/>
                <w:sz w:val="32"/>
                <w:szCs w:val="32"/>
                <w:lang w:eastAsia="en-US"/>
                <w14:textFill>
                  <w14:solidFill>
                    <w14:schemeClr w14:val="tx1"/>
                  </w14:solidFill>
                </w14:textFill>
              </w:rPr>
            </w:pPr>
          </w:p>
        </w:tc>
        <w:tc>
          <w:tcPr>
            <w:tcW w:w="1510" w:type="pct"/>
            <w:vMerge w:val="continue"/>
            <w:tcBorders>
              <w:top w:val="nil"/>
            </w:tcBorders>
          </w:tcPr>
          <w:p>
            <w:pPr>
              <w:autoSpaceDE w:val="0"/>
              <w:autoSpaceDN w:val="0"/>
              <w:rPr>
                <w:rFonts w:hint="eastAsia" w:ascii="仿宋" w:hAnsi="仿宋" w:eastAsia="仿宋" w:cs="仿宋"/>
                <w:color w:val="000000" w:themeColor="text1"/>
                <w:sz w:val="32"/>
                <w:szCs w:val="32"/>
                <w:lang w:eastAsia="en-US"/>
                <w14:textFill>
                  <w14:solidFill>
                    <w14:schemeClr w14:val="tx1"/>
                  </w14:solidFill>
                </w14:textFill>
              </w:rPr>
            </w:pPr>
          </w:p>
        </w:tc>
        <w:tc>
          <w:tcPr>
            <w:tcW w:w="2294" w:type="pct"/>
          </w:tcPr>
          <w:p>
            <w:pPr>
              <w:pStyle w:val="13"/>
              <w:tabs>
                <w:tab w:val="center" w:pos="1909"/>
                <w:tab w:val="right" w:pos="3584"/>
              </w:tabs>
              <w:spacing w:line="291" w:lineRule="exact"/>
              <w:ind w:left="235" w:right="224"/>
              <w:rPr>
                <w:rFonts w:hint="eastAsia" w:ascii="仿宋" w:hAnsi="仿宋" w:eastAsia="仿宋" w:cs="仿宋"/>
                <w:color w:val="000000" w:themeColor="text1"/>
                <w:sz w:val="32"/>
                <w:szCs w:val="32"/>
                <w:lang w:eastAsia="en-US"/>
                <w14:textFill>
                  <w14:solidFill>
                    <w14:schemeClr w14:val="tx1"/>
                  </w14:solidFill>
                </w14:textFill>
              </w:rPr>
            </w:pPr>
            <w:r>
              <w:rPr>
                <w:rFonts w:hint="eastAsia" w:ascii="仿宋" w:hAnsi="仿宋" w:eastAsia="仿宋" w:cs="仿宋"/>
                <w:color w:val="000000" w:themeColor="text1"/>
                <w:sz w:val="32"/>
                <w:szCs w:val="32"/>
                <w:lang w:eastAsia="en-US"/>
                <w14:textFill>
                  <w14:solidFill>
                    <w14:schemeClr w14:val="tx1"/>
                  </w14:solidFill>
                </w14:textFill>
              </w:rPr>
              <w:tab/>
            </w:r>
            <w:r>
              <w:rPr>
                <w:rFonts w:hint="eastAsia" w:ascii="仿宋" w:hAnsi="仿宋" w:eastAsia="仿宋" w:cs="仿宋"/>
                <w:color w:val="000000" w:themeColor="text1"/>
                <w:sz w:val="32"/>
                <w:szCs w:val="32"/>
                <w:lang w:eastAsia="en-US"/>
                <w14:textFill>
                  <w14:solidFill>
                    <w14:schemeClr w14:val="tx1"/>
                  </w14:solidFill>
                </w14:textFill>
              </w:rPr>
              <w:t>其他类项目：</w:t>
            </w:r>
            <w:r>
              <w:rPr>
                <w:rFonts w:hint="eastAsia" w:ascii="仿宋" w:hAnsi="仿宋" w:eastAsia="仿宋" w:cs="仿宋"/>
                <w:color w:val="000000" w:themeColor="text1"/>
                <w:sz w:val="32"/>
                <w:szCs w:val="32"/>
                <w:lang w:eastAsia="en-US"/>
                <w14:textFill>
                  <w14:solidFill>
                    <w14:schemeClr w14:val="tx1"/>
                  </w14:solidFill>
                </w14:textFill>
              </w:rPr>
              <w:tab/>
            </w:r>
          </w:p>
        </w:tc>
      </w:tr>
    </w:tbl>
    <w:p>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根据台办2021年度部门决算信息，2021年部门整体支出428.41万元，其中：基本支出 1002.85万元，项目支出 425.56万元。部门预算支出明细详见表 1-2。</w:t>
      </w:r>
    </w:p>
    <w:p>
      <w:pPr>
        <w:spacing w:line="360" w:lineRule="auto"/>
        <w:ind w:left="578"/>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pacing w:val="-36"/>
          <w:sz w:val="32"/>
          <w:szCs w:val="32"/>
          <w14:textFill>
            <w14:solidFill>
              <w14:schemeClr w14:val="tx1"/>
            </w14:solidFill>
          </w14:textFill>
        </w:rPr>
        <w:t xml:space="preserve">表 </w:t>
      </w:r>
      <w:r>
        <w:rPr>
          <w:rFonts w:hint="eastAsia" w:ascii="仿宋" w:hAnsi="仿宋" w:eastAsia="仿宋" w:cs="仿宋"/>
          <w:color w:val="000000" w:themeColor="text1"/>
          <w:spacing w:val="-1"/>
          <w:sz w:val="32"/>
          <w:szCs w:val="32"/>
          <w14:textFill>
            <w14:solidFill>
              <w14:schemeClr w14:val="tx1"/>
            </w14:solidFill>
          </w14:textFill>
        </w:rPr>
        <w:t>1-2</w:t>
      </w:r>
      <w:r>
        <w:rPr>
          <w:rFonts w:hint="eastAsia" w:ascii="仿宋" w:hAnsi="仿宋" w:eastAsia="仿宋" w:cs="仿宋"/>
          <w:color w:val="000000" w:themeColor="text1"/>
          <w:spacing w:val="-21"/>
          <w:sz w:val="32"/>
          <w:szCs w:val="32"/>
          <w14:textFill>
            <w14:solidFill>
              <w14:schemeClr w14:val="tx1"/>
            </w14:solidFill>
          </w14:textFill>
        </w:rPr>
        <w:t xml:space="preserve"> 台办 </w:t>
      </w:r>
      <w:r>
        <w:rPr>
          <w:rFonts w:hint="eastAsia" w:ascii="仿宋" w:hAnsi="仿宋" w:eastAsia="仿宋" w:cs="仿宋"/>
          <w:color w:val="000000" w:themeColor="text1"/>
          <w:spacing w:val="-1"/>
          <w:sz w:val="32"/>
          <w:szCs w:val="32"/>
          <w14:textFill>
            <w14:solidFill>
              <w14:schemeClr w14:val="tx1"/>
            </w14:solidFill>
          </w14:textFill>
        </w:rPr>
        <w:t>2021年</w:t>
      </w:r>
      <w:r>
        <w:rPr>
          <w:rFonts w:hint="eastAsia" w:ascii="仿宋" w:hAnsi="仿宋" w:eastAsia="仿宋" w:cs="仿宋"/>
          <w:color w:val="000000" w:themeColor="text1"/>
          <w:spacing w:val="-9"/>
          <w:sz w:val="32"/>
          <w:szCs w:val="32"/>
          <w14:textFill>
            <w14:solidFill>
              <w14:schemeClr w14:val="tx1"/>
            </w14:solidFill>
          </w14:textFill>
        </w:rPr>
        <w:t xml:space="preserve"> 年度部门预算支出明细表</w:t>
      </w:r>
      <w:r>
        <w:rPr>
          <w:rFonts w:hint="eastAsia" w:ascii="仿宋" w:hAnsi="仿宋" w:eastAsia="仿宋" w:cs="仿宋"/>
          <w:color w:val="000000" w:themeColor="text1"/>
          <w:sz w:val="32"/>
          <w:szCs w:val="32"/>
          <w14:textFill>
            <w14:solidFill>
              <w14:schemeClr w14:val="tx1"/>
            </w14:solidFill>
          </w14:textFill>
        </w:rPr>
        <w:t>（单位：万元）</w:t>
      </w:r>
    </w:p>
    <w:tbl>
      <w:tblPr>
        <w:tblStyle w:val="9"/>
        <w:tblW w:w="5000" w:type="pct"/>
        <w:tblInd w:w="0" w:type="dxa"/>
        <w:tblBorders>
          <w:top w:val="single" w:color="000000" w:sz="12" w:space="0"/>
          <w:left w:val="none" w:color="auto" w:sz="0" w:space="0"/>
          <w:bottom w:val="single" w:color="000000" w:sz="12" w:space="0"/>
          <w:right w:val="none" w:color="auto" w:sz="0" w:space="0"/>
          <w:insideH w:val="dotted" w:color="000000" w:sz="4"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2316"/>
        <w:gridCol w:w="2071"/>
        <w:gridCol w:w="2069"/>
        <w:gridCol w:w="2066"/>
      </w:tblGrid>
      <w:tr>
        <w:tblPrEx>
          <w:tblBorders>
            <w:top w:val="single" w:color="000000" w:sz="12" w:space="0"/>
            <w:left w:val="none" w:color="auto" w:sz="0" w:space="0"/>
            <w:bottom w:val="single" w:color="000000" w:sz="12" w:space="0"/>
            <w:right w:val="none" w:color="auto" w:sz="0" w:space="0"/>
            <w:insideH w:val="dotted" w:color="000000" w:sz="4" w:space="0"/>
            <w:insideV w:val="none" w:color="auto" w:sz="0" w:space="0"/>
          </w:tblBorders>
          <w:shd w:val="clear" w:color="auto" w:fill="FFFFFF" w:themeFill="background1"/>
          <w:tblCellMar>
            <w:top w:w="0" w:type="dxa"/>
            <w:left w:w="108" w:type="dxa"/>
            <w:bottom w:w="0" w:type="dxa"/>
            <w:right w:w="108" w:type="dxa"/>
          </w:tblCellMar>
        </w:tblPrEx>
        <w:trPr>
          <w:trHeight w:val="284" w:hRule="atLeast"/>
        </w:trPr>
        <w:tc>
          <w:tcPr>
            <w:tcW w:w="1359" w:type="pct"/>
            <w:shd w:val="clear" w:color="auto" w:fill="FFFFFF" w:themeFill="background1"/>
            <w:vAlign w:val="center"/>
          </w:tcPr>
          <w:p>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项 目</w:t>
            </w:r>
          </w:p>
        </w:tc>
        <w:tc>
          <w:tcPr>
            <w:tcW w:w="1215" w:type="pct"/>
            <w:shd w:val="clear" w:color="auto" w:fill="FFFFFF" w:themeFill="background1"/>
            <w:vAlign w:val="center"/>
          </w:tcPr>
          <w:p>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年初预算数</w:t>
            </w:r>
          </w:p>
        </w:tc>
        <w:tc>
          <w:tcPr>
            <w:tcW w:w="1214" w:type="pct"/>
            <w:shd w:val="clear" w:color="auto" w:fill="FFFFFF" w:themeFill="background1"/>
            <w:vAlign w:val="center"/>
          </w:tcPr>
          <w:p>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调整预算数</w:t>
            </w:r>
          </w:p>
        </w:tc>
        <w:tc>
          <w:tcPr>
            <w:tcW w:w="1212" w:type="pct"/>
            <w:shd w:val="clear" w:color="auto" w:fill="FFFFFF" w:themeFill="background1"/>
            <w:vAlign w:val="center"/>
          </w:tcPr>
          <w:p>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决算数</w:t>
            </w:r>
          </w:p>
        </w:tc>
      </w:tr>
      <w:tr>
        <w:tblPrEx>
          <w:tblBorders>
            <w:top w:val="single" w:color="000000" w:sz="12" w:space="0"/>
            <w:left w:val="none" w:color="auto" w:sz="0" w:space="0"/>
            <w:bottom w:val="single" w:color="000000" w:sz="12" w:space="0"/>
            <w:right w:val="none" w:color="auto" w:sz="0" w:space="0"/>
            <w:insideH w:val="dotted" w:color="000000" w:sz="4" w:space="0"/>
            <w:insideV w:val="none" w:color="auto" w:sz="0" w:space="0"/>
          </w:tblBorders>
          <w:shd w:val="clear" w:color="auto" w:fill="FFFFFF" w:themeFill="background1"/>
          <w:tblCellMar>
            <w:top w:w="0" w:type="dxa"/>
            <w:left w:w="108" w:type="dxa"/>
            <w:bottom w:w="0" w:type="dxa"/>
            <w:right w:w="108" w:type="dxa"/>
          </w:tblCellMar>
        </w:tblPrEx>
        <w:trPr>
          <w:trHeight w:val="284" w:hRule="atLeast"/>
        </w:trPr>
        <w:tc>
          <w:tcPr>
            <w:tcW w:w="1359" w:type="pct"/>
            <w:shd w:val="clear" w:color="auto" w:fill="FFFFFF" w:themeFill="background1"/>
            <w:vAlign w:val="center"/>
          </w:tcPr>
          <w:p>
            <w:pPr>
              <w:widowControl/>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一、基本支出</w:t>
            </w:r>
          </w:p>
        </w:tc>
        <w:tc>
          <w:tcPr>
            <w:tcW w:w="1215" w:type="pct"/>
            <w:shd w:val="clear" w:color="auto" w:fill="FFFFFF" w:themeFill="background1"/>
            <w:vAlign w:val="center"/>
          </w:tcPr>
          <w:p>
            <w:pPr>
              <w:widowControl/>
              <w:jc w:val="righ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890.00</w:t>
            </w:r>
          </w:p>
        </w:tc>
        <w:tc>
          <w:tcPr>
            <w:tcW w:w="1214" w:type="pct"/>
            <w:shd w:val="clear" w:color="auto" w:fill="FFFFFF" w:themeFill="background1"/>
            <w:vAlign w:val="center"/>
          </w:tcPr>
          <w:p>
            <w:pPr>
              <w:widowControl/>
              <w:jc w:val="righ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1,002.85</w:t>
            </w:r>
          </w:p>
        </w:tc>
        <w:tc>
          <w:tcPr>
            <w:tcW w:w="1212" w:type="pct"/>
            <w:shd w:val="clear" w:color="auto" w:fill="FFFFFF" w:themeFill="background1"/>
            <w:vAlign w:val="center"/>
          </w:tcPr>
          <w:p>
            <w:pPr>
              <w:widowControl/>
              <w:jc w:val="righ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1,002.85</w:t>
            </w:r>
          </w:p>
        </w:tc>
      </w:tr>
      <w:tr>
        <w:tblPrEx>
          <w:tblBorders>
            <w:top w:val="single" w:color="000000" w:sz="12" w:space="0"/>
            <w:left w:val="none" w:color="auto" w:sz="0" w:space="0"/>
            <w:bottom w:val="single" w:color="000000" w:sz="12" w:space="0"/>
            <w:right w:val="none" w:color="auto" w:sz="0" w:space="0"/>
            <w:insideH w:val="dotted" w:color="000000" w:sz="4" w:space="0"/>
            <w:insideV w:val="none" w:color="auto" w:sz="0" w:space="0"/>
          </w:tblBorders>
          <w:shd w:val="clear" w:color="auto" w:fill="FFFFFF" w:themeFill="background1"/>
          <w:tblCellMar>
            <w:top w:w="0" w:type="dxa"/>
            <w:left w:w="108" w:type="dxa"/>
            <w:bottom w:w="0" w:type="dxa"/>
            <w:right w:w="108" w:type="dxa"/>
          </w:tblCellMar>
        </w:tblPrEx>
        <w:trPr>
          <w:trHeight w:val="284" w:hRule="atLeast"/>
        </w:trPr>
        <w:tc>
          <w:tcPr>
            <w:tcW w:w="1359" w:type="pct"/>
            <w:shd w:val="clear" w:color="auto" w:fill="FFFFFF" w:themeFill="background1"/>
            <w:vAlign w:val="center"/>
          </w:tcPr>
          <w:p>
            <w:pPr>
              <w:widowControl/>
              <w:ind w:firstLine="320" w:firstLineChars="10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人员经费</w:t>
            </w:r>
          </w:p>
        </w:tc>
        <w:tc>
          <w:tcPr>
            <w:tcW w:w="1215" w:type="pct"/>
            <w:shd w:val="clear" w:color="auto" w:fill="FFFFFF" w:themeFill="background1"/>
            <w:vAlign w:val="center"/>
          </w:tcPr>
          <w:p>
            <w:pPr>
              <w:widowControl/>
              <w:jc w:val="righ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819.23</w:t>
            </w:r>
          </w:p>
        </w:tc>
        <w:tc>
          <w:tcPr>
            <w:tcW w:w="1214" w:type="pct"/>
            <w:shd w:val="clear" w:color="auto" w:fill="FFFFFF" w:themeFill="background1"/>
            <w:vAlign w:val="center"/>
          </w:tcPr>
          <w:p>
            <w:pPr>
              <w:widowControl/>
              <w:jc w:val="righ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937.64</w:t>
            </w:r>
          </w:p>
        </w:tc>
        <w:tc>
          <w:tcPr>
            <w:tcW w:w="1212" w:type="pct"/>
            <w:shd w:val="clear" w:color="auto" w:fill="FFFFFF" w:themeFill="background1"/>
            <w:vAlign w:val="center"/>
          </w:tcPr>
          <w:p>
            <w:pPr>
              <w:widowControl/>
              <w:jc w:val="righ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937.64</w:t>
            </w:r>
          </w:p>
        </w:tc>
      </w:tr>
      <w:tr>
        <w:tblPrEx>
          <w:tblBorders>
            <w:top w:val="single" w:color="000000" w:sz="12" w:space="0"/>
            <w:left w:val="none" w:color="auto" w:sz="0" w:space="0"/>
            <w:bottom w:val="single" w:color="000000" w:sz="12" w:space="0"/>
            <w:right w:val="none" w:color="auto" w:sz="0" w:space="0"/>
            <w:insideH w:val="dotted" w:color="000000" w:sz="4" w:space="0"/>
            <w:insideV w:val="none" w:color="auto" w:sz="0" w:space="0"/>
          </w:tblBorders>
          <w:shd w:val="clear" w:color="auto" w:fill="FFFFFF" w:themeFill="background1"/>
          <w:tblCellMar>
            <w:top w:w="0" w:type="dxa"/>
            <w:left w:w="108" w:type="dxa"/>
            <w:bottom w:w="0" w:type="dxa"/>
            <w:right w:w="108" w:type="dxa"/>
          </w:tblCellMar>
        </w:tblPrEx>
        <w:trPr>
          <w:trHeight w:val="284" w:hRule="atLeast"/>
        </w:trPr>
        <w:tc>
          <w:tcPr>
            <w:tcW w:w="1359" w:type="pct"/>
            <w:shd w:val="clear" w:color="auto" w:fill="FFFFFF" w:themeFill="background1"/>
            <w:vAlign w:val="center"/>
          </w:tcPr>
          <w:p>
            <w:pPr>
              <w:widowControl/>
              <w:ind w:firstLine="320" w:firstLineChars="10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日常公用经费</w:t>
            </w:r>
          </w:p>
        </w:tc>
        <w:tc>
          <w:tcPr>
            <w:tcW w:w="1215" w:type="pct"/>
            <w:shd w:val="clear" w:color="auto" w:fill="FFFFFF" w:themeFill="background1"/>
            <w:vAlign w:val="center"/>
          </w:tcPr>
          <w:p>
            <w:pPr>
              <w:widowControl/>
              <w:jc w:val="righ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70.77</w:t>
            </w:r>
          </w:p>
        </w:tc>
        <w:tc>
          <w:tcPr>
            <w:tcW w:w="1214" w:type="pct"/>
            <w:shd w:val="clear" w:color="auto" w:fill="FFFFFF" w:themeFill="background1"/>
            <w:vAlign w:val="center"/>
          </w:tcPr>
          <w:p>
            <w:pPr>
              <w:widowControl/>
              <w:jc w:val="righ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65.21</w:t>
            </w:r>
          </w:p>
        </w:tc>
        <w:tc>
          <w:tcPr>
            <w:tcW w:w="1212" w:type="pct"/>
            <w:shd w:val="clear" w:color="auto" w:fill="FFFFFF" w:themeFill="background1"/>
            <w:vAlign w:val="center"/>
          </w:tcPr>
          <w:p>
            <w:pPr>
              <w:widowControl/>
              <w:jc w:val="righ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65.21</w:t>
            </w:r>
          </w:p>
        </w:tc>
      </w:tr>
      <w:tr>
        <w:tblPrEx>
          <w:tblBorders>
            <w:top w:val="single" w:color="000000" w:sz="12" w:space="0"/>
            <w:left w:val="none" w:color="auto" w:sz="0" w:space="0"/>
            <w:bottom w:val="single" w:color="000000" w:sz="12" w:space="0"/>
            <w:right w:val="none" w:color="auto" w:sz="0" w:space="0"/>
            <w:insideH w:val="dotted" w:color="000000" w:sz="4" w:space="0"/>
            <w:insideV w:val="none" w:color="auto" w:sz="0" w:space="0"/>
          </w:tblBorders>
          <w:shd w:val="clear" w:color="auto" w:fill="FFFFFF" w:themeFill="background1"/>
          <w:tblCellMar>
            <w:top w:w="0" w:type="dxa"/>
            <w:left w:w="108" w:type="dxa"/>
            <w:bottom w:w="0" w:type="dxa"/>
            <w:right w:w="108" w:type="dxa"/>
          </w:tblCellMar>
        </w:tblPrEx>
        <w:trPr>
          <w:trHeight w:val="284" w:hRule="atLeast"/>
        </w:trPr>
        <w:tc>
          <w:tcPr>
            <w:tcW w:w="1359" w:type="pct"/>
            <w:shd w:val="clear" w:color="auto" w:fill="FFFFFF" w:themeFill="background1"/>
            <w:vAlign w:val="center"/>
          </w:tcPr>
          <w:p>
            <w:pPr>
              <w:widowControl/>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二、项目支出</w:t>
            </w:r>
          </w:p>
        </w:tc>
        <w:tc>
          <w:tcPr>
            <w:tcW w:w="1215" w:type="pct"/>
            <w:shd w:val="clear" w:color="auto" w:fill="FFFFFF" w:themeFill="background1"/>
            <w:vAlign w:val="center"/>
          </w:tcPr>
          <w:p>
            <w:pPr>
              <w:widowControl/>
              <w:jc w:val="righ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427.00</w:t>
            </w:r>
          </w:p>
        </w:tc>
        <w:tc>
          <w:tcPr>
            <w:tcW w:w="1214" w:type="pct"/>
            <w:shd w:val="clear" w:color="auto" w:fill="FFFFFF" w:themeFill="background1"/>
            <w:vAlign w:val="center"/>
          </w:tcPr>
          <w:p>
            <w:pPr>
              <w:widowControl/>
              <w:jc w:val="righ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425.56</w:t>
            </w:r>
          </w:p>
        </w:tc>
        <w:tc>
          <w:tcPr>
            <w:tcW w:w="1212" w:type="pct"/>
            <w:shd w:val="clear" w:color="auto" w:fill="FFFFFF" w:themeFill="background1"/>
            <w:vAlign w:val="center"/>
          </w:tcPr>
          <w:p>
            <w:pPr>
              <w:widowControl/>
              <w:jc w:val="righ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425.56</w:t>
            </w:r>
          </w:p>
        </w:tc>
      </w:tr>
      <w:tr>
        <w:tblPrEx>
          <w:tblBorders>
            <w:top w:val="single" w:color="000000" w:sz="12" w:space="0"/>
            <w:left w:val="none" w:color="auto" w:sz="0" w:space="0"/>
            <w:bottom w:val="single" w:color="000000" w:sz="12" w:space="0"/>
            <w:right w:val="none" w:color="auto" w:sz="0" w:space="0"/>
            <w:insideH w:val="dotted" w:color="000000" w:sz="4" w:space="0"/>
            <w:insideV w:val="none" w:color="auto" w:sz="0" w:space="0"/>
          </w:tblBorders>
          <w:tblCellMar>
            <w:top w:w="0" w:type="dxa"/>
            <w:left w:w="108" w:type="dxa"/>
            <w:bottom w:w="0" w:type="dxa"/>
            <w:right w:w="108" w:type="dxa"/>
          </w:tblCellMar>
        </w:tblPrEx>
        <w:trPr>
          <w:trHeight w:val="284" w:hRule="atLeast"/>
        </w:trPr>
        <w:tc>
          <w:tcPr>
            <w:tcW w:w="1359" w:type="pct"/>
            <w:shd w:val="clear" w:color="auto" w:fill="FFFFFF" w:themeFill="background1"/>
            <w:vAlign w:val="center"/>
          </w:tcPr>
          <w:p>
            <w:pPr>
              <w:widowControl/>
              <w:ind w:firstLine="320" w:firstLineChars="10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行政事业类项目</w:t>
            </w:r>
          </w:p>
        </w:tc>
        <w:tc>
          <w:tcPr>
            <w:tcW w:w="1215" w:type="pct"/>
            <w:shd w:val="clear" w:color="auto" w:fill="FFFFFF" w:themeFill="background1"/>
            <w:vAlign w:val="center"/>
          </w:tcPr>
          <w:p>
            <w:pPr>
              <w:widowControl/>
              <w:jc w:val="righ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427.00</w:t>
            </w:r>
          </w:p>
        </w:tc>
        <w:tc>
          <w:tcPr>
            <w:tcW w:w="1214" w:type="pct"/>
            <w:shd w:val="clear" w:color="auto" w:fill="FFFFFF" w:themeFill="background1"/>
            <w:vAlign w:val="center"/>
          </w:tcPr>
          <w:p>
            <w:pPr>
              <w:widowControl/>
              <w:jc w:val="righ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425.56</w:t>
            </w:r>
          </w:p>
        </w:tc>
        <w:tc>
          <w:tcPr>
            <w:tcW w:w="1212" w:type="pct"/>
            <w:shd w:val="clear" w:color="auto" w:fill="FFFFFF" w:themeFill="background1"/>
            <w:vAlign w:val="center"/>
          </w:tcPr>
          <w:p>
            <w:pPr>
              <w:widowControl/>
              <w:jc w:val="righ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425.56</w:t>
            </w:r>
          </w:p>
        </w:tc>
      </w:tr>
      <w:tr>
        <w:tblPrEx>
          <w:tblBorders>
            <w:top w:val="single" w:color="000000" w:sz="12" w:space="0"/>
            <w:left w:val="none" w:color="auto" w:sz="0" w:space="0"/>
            <w:bottom w:val="single" w:color="000000" w:sz="12" w:space="0"/>
            <w:right w:val="none" w:color="auto" w:sz="0" w:space="0"/>
            <w:insideH w:val="dotted" w:color="000000" w:sz="4" w:space="0"/>
            <w:insideV w:val="none" w:color="auto" w:sz="0" w:space="0"/>
          </w:tblBorders>
          <w:shd w:val="clear" w:color="auto" w:fill="FFFFFF" w:themeFill="background1"/>
          <w:tblCellMar>
            <w:top w:w="0" w:type="dxa"/>
            <w:left w:w="108" w:type="dxa"/>
            <w:bottom w:w="0" w:type="dxa"/>
            <w:right w:w="108" w:type="dxa"/>
          </w:tblCellMar>
        </w:tblPrEx>
        <w:trPr>
          <w:trHeight w:val="284" w:hRule="atLeast"/>
        </w:trPr>
        <w:tc>
          <w:tcPr>
            <w:tcW w:w="1359" w:type="pct"/>
            <w:shd w:val="clear" w:color="auto" w:fill="FFFFFF" w:themeFill="background1"/>
            <w:vAlign w:val="center"/>
          </w:tcPr>
          <w:p>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合 计</w:t>
            </w:r>
          </w:p>
        </w:tc>
        <w:tc>
          <w:tcPr>
            <w:tcW w:w="1215" w:type="pct"/>
            <w:shd w:val="clear" w:color="auto" w:fill="FFFFFF" w:themeFill="background1"/>
            <w:vAlign w:val="center"/>
          </w:tcPr>
          <w:p>
            <w:pPr>
              <w:widowControl/>
              <w:jc w:val="righ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1,317.00</w:t>
            </w:r>
          </w:p>
        </w:tc>
        <w:tc>
          <w:tcPr>
            <w:tcW w:w="1214" w:type="pct"/>
            <w:shd w:val="clear" w:color="auto" w:fill="FFFFFF" w:themeFill="background1"/>
            <w:vAlign w:val="center"/>
          </w:tcPr>
          <w:p>
            <w:pPr>
              <w:widowControl/>
              <w:jc w:val="righ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1,428.41</w:t>
            </w:r>
          </w:p>
        </w:tc>
        <w:tc>
          <w:tcPr>
            <w:tcW w:w="1212" w:type="pct"/>
            <w:shd w:val="clear" w:color="auto" w:fill="FFFFFF" w:themeFill="background1"/>
            <w:vAlign w:val="center"/>
          </w:tcPr>
          <w:p>
            <w:pPr>
              <w:widowControl/>
              <w:jc w:val="righ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1,428.41</w:t>
            </w:r>
          </w:p>
        </w:tc>
      </w:tr>
    </w:tbl>
    <w:p>
      <w:pPr>
        <w:pStyle w:val="3"/>
        <w:spacing w:before="0" w:after="0" w:line="360" w:lineRule="auto"/>
        <w:ind w:firstLine="562"/>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二、一般公共预算支出情况</w:t>
      </w:r>
    </w:p>
    <w:p>
      <w:pPr>
        <w:pStyle w:val="3"/>
        <w:spacing w:before="0" w:after="0" w:line="360" w:lineRule="auto"/>
        <w:ind w:firstLine="562"/>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（一）基本支出</w:t>
      </w:r>
    </w:p>
    <w:p>
      <w:pPr>
        <w:widowControl/>
        <w:numPr>
          <w:ilvl w:val="0"/>
          <w:numId w:val="2"/>
        </w:numPr>
        <w:shd w:val="clear" w:color="auto" w:fill="FFFFFF"/>
        <w:spacing w:line="480" w:lineRule="atLeast"/>
        <w:ind w:left="0" w:firstLine="48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基本支出：2021年年初预算数为890万元，是指为保障单位机构正常运转、完成日常工作任务而发生的各项支出，包括用于基本工资、津贴补贴等人员经费以及办公费、印刷费、水电费、办公设备购置等日常公用经费。</w:t>
      </w:r>
    </w:p>
    <w:p>
      <w:pPr>
        <w:ind w:firstLine="529"/>
        <w:rPr>
          <w:rFonts w:hint="eastAsia" w:ascii="仿宋" w:hAnsi="仿宋" w:eastAsia="仿宋" w:cs="仿宋"/>
          <w:color w:val="000000" w:themeColor="text1"/>
          <w:w w:val="95"/>
          <w:kern w:val="0"/>
          <w:sz w:val="32"/>
          <w:szCs w:val="32"/>
          <w14:textFill>
            <w14:solidFill>
              <w14:schemeClr w14:val="tx1"/>
            </w14:solidFill>
          </w14:textFill>
        </w:rPr>
      </w:pPr>
      <w:r>
        <w:rPr>
          <w:rFonts w:hint="eastAsia" w:ascii="仿宋" w:hAnsi="仿宋" w:eastAsia="仿宋" w:cs="仿宋"/>
          <w:color w:val="000000" w:themeColor="text1"/>
          <w:w w:val="95"/>
          <w:kern w:val="0"/>
          <w:sz w:val="32"/>
          <w:szCs w:val="32"/>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021年实际支出890.00万元，其中工资福利支出660.36万元，一般商品和服务 支出70.77万元，对个人和家庭的补助158.87万元，具体实际支出科目情况见表 1-3。</w:t>
      </w:r>
    </w:p>
    <w:p>
      <w:pPr>
        <w:ind w:firstLine="560"/>
        <w:jc w:val="center"/>
        <w:rPr>
          <w:rFonts w:hint="eastAsia" w:ascii="仿宋" w:hAnsi="仿宋" w:eastAsia="仿宋" w:cs="仿宋"/>
          <w:b/>
          <w:color w:val="000000" w:themeColor="text1"/>
          <w:w w:val="95"/>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表 1-3     </w:t>
      </w:r>
      <w:r>
        <w:rPr>
          <w:rFonts w:hint="eastAsia" w:ascii="仿宋" w:hAnsi="仿宋" w:eastAsia="仿宋" w:cs="仿宋"/>
          <w:b/>
          <w:color w:val="000000" w:themeColor="text1"/>
          <w:w w:val="95"/>
          <w:sz w:val="32"/>
          <w:szCs w:val="32"/>
          <w14:textFill>
            <w14:solidFill>
              <w14:schemeClr w14:val="tx1"/>
            </w14:solidFill>
          </w14:textFill>
        </w:rPr>
        <w:t>2021年度基本支出明细</w:t>
      </w:r>
    </w:p>
    <w:p>
      <w:pPr>
        <w:ind w:firstLine="459"/>
        <w:jc w:val="right"/>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w w:val="95"/>
          <w:sz w:val="32"/>
          <w:szCs w:val="32"/>
          <w14:textFill>
            <w14:solidFill>
              <w14:schemeClr w14:val="tx1"/>
            </w14:solidFill>
          </w14:textFill>
        </w:rPr>
        <w:t>（万元）</w:t>
      </w:r>
    </w:p>
    <w:tbl>
      <w:tblPr>
        <w:tblStyle w:val="9"/>
        <w:tblW w:w="5000" w:type="pct"/>
        <w:tblInd w:w="0" w:type="dxa"/>
        <w:tblLayout w:type="autofit"/>
        <w:tblCellMar>
          <w:top w:w="0" w:type="dxa"/>
          <w:left w:w="108" w:type="dxa"/>
          <w:bottom w:w="0" w:type="dxa"/>
          <w:right w:w="108" w:type="dxa"/>
        </w:tblCellMar>
      </w:tblPr>
      <w:tblGrid>
        <w:gridCol w:w="2697"/>
        <w:gridCol w:w="1870"/>
        <w:gridCol w:w="1456"/>
        <w:gridCol w:w="1043"/>
        <w:gridCol w:w="1456"/>
      </w:tblGrid>
      <w:tr>
        <w:tblPrEx>
          <w:tblCellMar>
            <w:top w:w="0" w:type="dxa"/>
            <w:left w:w="108" w:type="dxa"/>
            <w:bottom w:w="0" w:type="dxa"/>
            <w:right w:w="108" w:type="dxa"/>
          </w:tblCellMar>
        </w:tblPrEx>
        <w:trPr>
          <w:trHeight w:val="233" w:hRule="atLeast"/>
        </w:trPr>
        <w:tc>
          <w:tcPr>
            <w:tcW w:w="1621" w:type="pct"/>
            <w:vMerge w:val="restart"/>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基本支出功能类别</w:t>
            </w:r>
          </w:p>
        </w:tc>
        <w:tc>
          <w:tcPr>
            <w:tcW w:w="2393" w:type="pct"/>
            <w:gridSpan w:val="3"/>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年初预算</w:t>
            </w:r>
          </w:p>
        </w:tc>
        <w:tc>
          <w:tcPr>
            <w:tcW w:w="986" w:type="pct"/>
            <w:vMerge w:val="restart"/>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 年终决算 </w:t>
            </w:r>
          </w:p>
        </w:tc>
      </w:tr>
      <w:tr>
        <w:tblPrEx>
          <w:tblCellMar>
            <w:top w:w="0" w:type="dxa"/>
            <w:left w:w="108" w:type="dxa"/>
            <w:bottom w:w="0" w:type="dxa"/>
            <w:right w:w="108" w:type="dxa"/>
          </w:tblCellMar>
        </w:tblPrEx>
        <w:trPr>
          <w:trHeight w:val="233" w:hRule="atLeast"/>
        </w:trPr>
        <w:tc>
          <w:tcPr>
            <w:tcW w:w="162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themeColor="text1"/>
                <w:kern w:val="0"/>
                <w:sz w:val="32"/>
                <w:szCs w:val="32"/>
                <w14:textFill>
                  <w14:solidFill>
                    <w14:schemeClr w14:val="tx1"/>
                  </w14:solidFill>
                </w14:textFill>
              </w:rPr>
            </w:pPr>
          </w:p>
        </w:tc>
        <w:tc>
          <w:tcPr>
            <w:tcW w:w="825" w:type="pct"/>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 人员经费 </w:t>
            </w:r>
          </w:p>
        </w:tc>
        <w:tc>
          <w:tcPr>
            <w:tcW w:w="919" w:type="pct"/>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 公用经费 </w:t>
            </w:r>
          </w:p>
        </w:tc>
        <w:tc>
          <w:tcPr>
            <w:tcW w:w="649" w:type="pct"/>
            <w:tcBorders>
              <w:top w:val="single" w:color="auto" w:sz="4" w:space="0"/>
              <w:left w:val="single" w:color="auto" w:sz="4" w:space="0"/>
              <w:bottom w:val="single" w:color="auto" w:sz="4" w:space="0"/>
              <w:right w:val="single" w:color="auto" w:sz="4" w:space="0"/>
            </w:tcBorders>
          </w:tcPr>
          <w:p>
            <w:pPr>
              <w:widowControl/>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小计</w:t>
            </w:r>
          </w:p>
        </w:tc>
        <w:tc>
          <w:tcPr>
            <w:tcW w:w="98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themeColor="text1"/>
                <w:kern w:val="0"/>
                <w:sz w:val="32"/>
                <w:szCs w:val="32"/>
                <w14:textFill>
                  <w14:solidFill>
                    <w14:schemeClr w14:val="tx1"/>
                  </w14:solidFill>
                </w14:textFill>
              </w:rPr>
            </w:pPr>
          </w:p>
        </w:tc>
      </w:tr>
      <w:tr>
        <w:tblPrEx>
          <w:tblCellMar>
            <w:top w:w="0" w:type="dxa"/>
            <w:left w:w="108" w:type="dxa"/>
            <w:bottom w:w="0" w:type="dxa"/>
            <w:right w:w="108" w:type="dxa"/>
          </w:tblCellMar>
        </w:tblPrEx>
        <w:trPr>
          <w:trHeight w:val="240" w:hRule="atLeast"/>
        </w:trPr>
        <w:tc>
          <w:tcPr>
            <w:tcW w:w="1621" w:type="pct"/>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工资福利支出</w:t>
            </w:r>
          </w:p>
        </w:tc>
        <w:tc>
          <w:tcPr>
            <w:tcW w:w="82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660.36</w:t>
            </w:r>
          </w:p>
        </w:tc>
        <w:tc>
          <w:tcPr>
            <w:tcW w:w="919" w:type="pct"/>
            <w:tcBorders>
              <w:top w:val="nil"/>
              <w:left w:val="nil"/>
              <w:bottom w:val="single" w:color="auto" w:sz="4" w:space="0"/>
              <w:right w:val="single" w:color="auto" w:sz="4" w:space="0"/>
            </w:tcBorders>
            <w:shd w:val="clear" w:color="auto" w:fill="auto"/>
            <w:noWrap/>
            <w:vAlign w:val="center"/>
          </w:tcPr>
          <w:p>
            <w:pPr>
              <w:jc w:val="righ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p>
        </w:tc>
        <w:tc>
          <w:tcPr>
            <w:tcW w:w="649" w:type="pct"/>
            <w:tcBorders>
              <w:top w:val="single" w:color="auto" w:sz="4" w:space="0"/>
              <w:left w:val="nil"/>
              <w:bottom w:val="single" w:color="auto" w:sz="4" w:space="0"/>
              <w:right w:val="single" w:color="auto" w:sz="4" w:space="0"/>
            </w:tcBorders>
            <w:vAlign w:val="center"/>
          </w:tcPr>
          <w:p>
            <w:pPr>
              <w:jc w:val="righ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660.36</w:t>
            </w:r>
          </w:p>
        </w:tc>
        <w:tc>
          <w:tcPr>
            <w:tcW w:w="986" w:type="pct"/>
            <w:tcBorders>
              <w:top w:val="nil"/>
              <w:left w:val="nil"/>
              <w:bottom w:val="single" w:color="auto" w:sz="4" w:space="0"/>
              <w:right w:val="single" w:color="auto" w:sz="4" w:space="0"/>
            </w:tcBorders>
            <w:shd w:val="clear" w:color="auto" w:fill="auto"/>
            <w:noWrap/>
            <w:vAlign w:val="center"/>
          </w:tcPr>
          <w:p>
            <w:pPr>
              <w:jc w:val="righ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660.36</w:t>
            </w:r>
          </w:p>
        </w:tc>
      </w:tr>
      <w:tr>
        <w:tblPrEx>
          <w:tblCellMar>
            <w:top w:w="0" w:type="dxa"/>
            <w:left w:w="108" w:type="dxa"/>
            <w:bottom w:w="0" w:type="dxa"/>
            <w:right w:w="108" w:type="dxa"/>
          </w:tblCellMar>
        </w:tblPrEx>
        <w:trPr>
          <w:trHeight w:val="240" w:hRule="atLeast"/>
        </w:trPr>
        <w:tc>
          <w:tcPr>
            <w:tcW w:w="1621"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一般商品和服务支出</w:t>
            </w:r>
          </w:p>
        </w:tc>
        <w:tc>
          <w:tcPr>
            <w:tcW w:w="825" w:type="pct"/>
            <w:tcBorders>
              <w:top w:val="nil"/>
              <w:left w:val="nil"/>
              <w:bottom w:val="single" w:color="auto" w:sz="4" w:space="0"/>
              <w:right w:val="single" w:color="auto" w:sz="4" w:space="0"/>
            </w:tcBorders>
            <w:shd w:val="clear" w:color="auto" w:fill="auto"/>
            <w:noWrap/>
            <w:vAlign w:val="center"/>
          </w:tcPr>
          <w:p>
            <w:pPr>
              <w:jc w:val="righ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p>
        </w:tc>
        <w:tc>
          <w:tcPr>
            <w:tcW w:w="919" w:type="pct"/>
            <w:tcBorders>
              <w:top w:val="nil"/>
              <w:left w:val="nil"/>
              <w:bottom w:val="single" w:color="auto" w:sz="4" w:space="0"/>
              <w:right w:val="single" w:color="auto" w:sz="4" w:space="0"/>
            </w:tcBorders>
            <w:shd w:val="clear" w:color="auto" w:fill="auto"/>
            <w:noWrap/>
            <w:vAlign w:val="center"/>
          </w:tcPr>
          <w:p>
            <w:pPr>
              <w:jc w:val="righ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70.77</w:t>
            </w:r>
          </w:p>
        </w:tc>
        <w:tc>
          <w:tcPr>
            <w:tcW w:w="649" w:type="pct"/>
            <w:tcBorders>
              <w:top w:val="single" w:color="auto" w:sz="4" w:space="0"/>
              <w:left w:val="nil"/>
              <w:bottom w:val="single" w:color="auto" w:sz="4" w:space="0"/>
              <w:right w:val="single" w:color="auto" w:sz="4" w:space="0"/>
            </w:tcBorders>
            <w:vAlign w:val="center"/>
          </w:tcPr>
          <w:p>
            <w:pPr>
              <w:jc w:val="righ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70.77</w:t>
            </w:r>
          </w:p>
        </w:tc>
        <w:tc>
          <w:tcPr>
            <w:tcW w:w="986" w:type="pct"/>
            <w:tcBorders>
              <w:top w:val="nil"/>
              <w:left w:val="nil"/>
              <w:bottom w:val="single" w:color="auto" w:sz="4" w:space="0"/>
              <w:right w:val="single" w:color="auto" w:sz="4" w:space="0"/>
            </w:tcBorders>
            <w:shd w:val="clear" w:color="auto" w:fill="auto"/>
            <w:noWrap/>
            <w:vAlign w:val="center"/>
          </w:tcPr>
          <w:p>
            <w:pPr>
              <w:jc w:val="righ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70.77</w:t>
            </w:r>
          </w:p>
        </w:tc>
      </w:tr>
      <w:tr>
        <w:tblPrEx>
          <w:tblCellMar>
            <w:top w:w="0" w:type="dxa"/>
            <w:left w:w="108" w:type="dxa"/>
            <w:bottom w:w="0" w:type="dxa"/>
            <w:right w:w="108" w:type="dxa"/>
          </w:tblCellMar>
        </w:tblPrEx>
        <w:trPr>
          <w:trHeight w:val="240" w:hRule="atLeast"/>
        </w:trPr>
        <w:tc>
          <w:tcPr>
            <w:tcW w:w="1621" w:type="pct"/>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对个人和家庭的补助</w:t>
            </w:r>
          </w:p>
        </w:tc>
        <w:tc>
          <w:tcPr>
            <w:tcW w:w="825" w:type="pct"/>
            <w:tcBorders>
              <w:top w:val="nil"/>
              <w:left w:val="nil"/>
              <w:bottom w:val="single" w:color="auto" w:sz="4" w:space="0"/>
              <w:right w:val="single" w:color="auto" w:sz="4" w:space="0"/>
            </w:tcBorders>
            <w:shd w:val="clear" w:color="auto" w:fill="auto"/>
            <w:noWrap/>
            <w:vAlign w:val="bottom"/>
          </w:tcPr>
          <w:p>
            <w:pPr>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158.87 </w:t>
            </w:r>
          </w:p>
        </w:tc>
        <w:tc>
          <w:tcPr>
            <w:tcW w:w="919" w:type="pct"/>
            <w:tcBorders>
              <w:top w:val="nil"/>
              <w:left w:val="nil"/>
              <w:bottom w:val="single" w:color="auto" w:sz="4" w:space="0"/>
              <w:right w:val="single" w:color="auto" w:sz="4" w:space="0"/>
            </w:tcBorders>
            <w:shd w:val="clear" w:color="auto" w:fill="auto"/>
            <w:noWrap/>
            <w:vAlign w:val="bottom"/>
          </w:tcPr>
          <w:p>
            <w:pPr>
              <w:rPr>
                <w:rFonts w:hint="eastAsia" w:ascii="仿宋" w:hAnsi="仿宋" w:eastAsia="仿宋" w:cs="仿宋"/>
                <w:color w:val="000000" w:themeColor="text1"/>
                <w:sz w:val="32"/>
                <w:szCs w:val="32"/>
                <w14:textFill>
                  <w14:solidFill>
                    <w14:schemeClr w14:val="tx1"/>
                  </w14:solidFill>
                </w14:textFill>
              </w:rPr>
            </w:pPr>
          </w:p>
        </w:tc>
        <w:tc>
          <w:tcPr>
            <w:tcW w:w="649" w:type="pct"/>
            <w:tcBorders>
              <w:top w:val="single" w:color="auto" w:sz="4" w:space="0"/>
              <w:left w:val="nil"/>
              <w:bottom w:val="single" w:color="auto" w:sz="4" w:space="0"/>
              <w:right w:val="single" w:color="auto" w:sz="4" w:space="0"/>
            </w:tcBorders>
            <w:vAlign w:val="center"/>
          </w:tcPr>
          <w:p>
            <w:pPr>
              <w:jc w:val="righ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158.87</w:t>
            </w:r>
          </w:p>
        </w:tc>
        <w:tc>
          <w:tcPr>
            <w:tcW w:w="986" w:type="pct"/>
            <w:tcBorders>
              <w:top w:val="nil"/>
              <w:left w:val="nil"/>
              <w:bottom w:val="single" w:color="auto" w:sz="4" w:space="0"/>
              <w:right w:val="single" w:color="auto" w:sz="4" w:space="0"/>
            </w:tcBorders>
            <w:shd w:val="clear" w:color="auto" w:fill="auto"/>
            <w:noWrap/>
            <w:vAlign w:val="center"/>
          </w:tcPr>
          <w:p>
            <w:pPr>
              <w:jc w:val="righ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158.87</w:t>
            </w:r>
          </w:p>
        </w:tc>
      </w:tr>
      <w:tr>
        <w:tblPrEx>
          <w:tblCellMar>
            <w:top w:w="0" w:type="dxa"/>
            <w:left w:w="108" w:type="dxa"/>
            <w:bottom w:w="0" w:type="dxa"/>
            <w:right w:w="108" w:type="dxa"/>
          </w:tblCellMar>
        </w:tblPrEx>
        <w:trPr>
          <w:trHeight w:val="240" w:hRule="atLeast"/>
        </w:trPr>
        <w:tc>
          <w:tcPr>
            <w:tcW w:w="1621" w:type="pct"/>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合计</w:t>
            </w:r>
          </w:p>
        </w:tc>
        <w:tc>
          <w:tcPr>
            <w:tcW w:w="825" w:type="pct"/>
            <w:tcBorders>
              <w:top w:val="nil"/>
              <w:left w:val="nil"/>
              <w:bottom w:val="single" w:color="auto" w:sz="4" w:space="0"/>
              <w:right w:val="single" w:color="auto" w:sz="4" w:space="0"/>
            </w:tcBorders>
            <w:shd w:val="clear" w:color="auto" w:fill="auto"/>
            <w:noWrap/>
            <w:vAlign w:val="bottom"/>
          </w:tcPr>
          <w:p>
            <w:pPr>
              <w:jc w:val="righ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819.23</w:t>
            </w:r>
          </w:p>
        </w:tc>
        <w:tc>
          <w:tcPr>
            <w:tcW w:w="919" w:type="pct"/>
            <w:tcBorders>
              <w:top w:val="nil"/>
              <w:left w:val="nil"/>
              <w:bottom w:val="single" w:color="auto" w:sz="4" w:space="0"/>
              <w:right w:val="single" w:color="auto" w:sz="4" w:space="0"/>
            </w:tcBorders>
            <w:shd w:val="clear" w:color="auto" w:fill="auto"/>
            <w:noWrap/>
            <w:vAlign w:val="bottom"/>
          </w:tcPr>
          <w:p>
            <w:pPr>
              <w:jc w:val="righ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70.77</w:t>
            </w:r>
          </w:p>
        </w:tc>
        <w:tc>
          <w:tcPr>
            <w:tcW w:w="649" w:type="pct"/>
            <w:tcBorders>
              <w:top w:val="single" w:color="auto" w:sz="4" w:space="0"/>
              <w:left w:val="nil"/>
              <w:bottom w:val="single" w:color="auto" w:sz="4" w:space="0"/>
              <w:right w:val="single" w:color="auto" w:sz="4" w:space="0"/>
            </w:tcBorders>
            <w:vAlign w:val="center"/>
          </w:tcPr>
          <w:p>
            <w:pPr>
              <w:jc w:val="righ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890.00</w:t>
            </w:r>
          </w:p>
        </w:tc>
        <w:tc>
          <w:tcPr>
            <w:tcW w:w="986" w:type="pct"/>
            <w:tcBorders>
              <w:top w:val="nil"/>
              <w:left w:val="nil"/>
              <w:bottom w:val="single" w:color="auto" w:sz="4" w:space="0"/>
              <w:right w:val="single" w:color="auto" w:sz="4" w:space="0"/>
            </w:tcBorders>
            <w:shd w:val="clear" w:color="auto" w:fill="auto"/>
            <w:noWrap/>
            <w:vAlign w:val="center"/>
          </w:tcPr>
          <w:p>
            <w:pPr>
              <w:jc w:val="righ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890.00</w:t>
            </w:r>
          </w:p>
        </w:tc>
      </w:tr>
    </w:tbl>
    <w:p>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2、部门“三公”经费支出情况。</w:t>
      </w:r>
    </w:p>
    <w:p>
      <w:pPr>
        <w:pStyle w:val="5"/>
        <w:spacing w:line="360" w:lineRule="auto"/>
        <w:ind w:firstLine="640" w:firstLineChars="200"/>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2021年度台办“三公”经费支出 13.33 万元，其中：因公出国（境）费0万元，公务用车购置及维护费4.46万元，公务接待费8.87万元,总控制率29.62%，详见表 1-4。</w:t>
      </w:r>
    </w:p>
    <w:p>
      <w:pPr>
        <w:ind w:left="3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pacing w:val="-37"/>
          <w:sz w:val="32"/>
          <w:szCs w:val="32"/>
          <w14:textFill>
            <w14:solidFill>
              <w14:schemeClr w14:val="tx1"/>
            </w14:solidFill>
          </w14:textFill>
        </w:rPr>
        <w:t xml:space="preserve">表 </w:t>
      </w:r>
      <w:r>
        <w:rPr>
          <w:rFonts w:hint="eastAsia" w:ascii="仿宋" w:hAnsi="仿宋" w:eastAsia="仿宋" w:cs="仿宋"/>
          <w:color w:val="000000" w:themeColor="text1"/>
          <w:spacing w:val="-1"/>
          <w:sz w:val="32"/>
          <w:szCs w:val="32"/>
          <w14:textFill>
            <w14:solidFill>
              <w14:schemeClr w14:val="tx1"/>
            </w14:solidFill>
          </w14:textFill>
        </w:rPr>
        <w:t>1-4</w:t>
      </w:r>
      <w:r>
        <w:rPr>
          <w:rFonts w:hint="eastAsia" w:ascii="仿宋" w:hAnsi="仿宋" w:eastAsia="仿宋" w:cs="仿宋"/>
          <w:color w:val="000000" w:themeColor="text1"/>
          <w:spacing w:val="-21"/>
          <w:sz w:val="32"/>
          <w:szCs w:val="32"/>
          <w14:textFill>
            <w14:solidFill>
              <w14:schemeClr w14:val="tx1"/>
            </w14:solidFill>
          </w14:textFill>
        </w:rPr>
        <w:t xml:space="preserve">          台办</w:t>
      </w:r>
      <w:r>
        <w:rPr>
          <w:rFonts w:hint="eastAsia" w:ascii="仿宋" w:hAnsi="仿宋" w:eastAsia="仿宋" w:cs="仿宋"/>
          <w:color w:val="000000" w:themeColor="text1"/>
          <w:spacing w:val="-1"/>
          <w:sz w:val="32"/>
          <w:szCs w:val="32"/>
          <w14:textFill>
            <w14:solidFill>
              <w14:schemeClr w14:val="tx1"/>
            </w14:solidFill>
          </w14:textFill>
        </w:rPr>
        <w:t>2021</w:t>
      </w:r>
      <w:r>
        <w:rPr>
          <w:rFonts w:hint="eastAsia" w:ascii="仿宋" w:hAnsi="仿宋" w:eastAsia="仿宋" w:cs="仿宋"/>
          <w:color w:val="000000" w:themeColor="text1"/>
          <w:spacing w:val="-9"/>
          <w:sz w:val="32"/>
          <w:szCs w:val="32"/>
          <w14:textFill>
            <w14:solidFill>
              <w14:schemeClr w14:val="tx1"/>
            </w14:solidFill>
          </w14:textFill>
        </w:rPr>
        <w:t>年度“三公”经费支出明细表</w:t>
      </w:r>
      <w:r>
        <w:rPr>
          <w:rFonts w:hint="eastAsia" w:ascii="仿宋" w:hAnsi="仿宋" w:eastAsia="仿宋" w:cs="仿宋"/>
          <w:color w:val="000000" w:themeColor="text1"/>
          <w:sz w:val="32"/>
          <w:szCs w:val="32"/>
          <w14:textFill>
            <w14:solidFill>
              <w14:schemeClr w14:val="tx1"/>
            </w14:solidFill>
          </w14:textFill>
        </w:rPr>
        <w:t>（单位：万元）</w:t>
      </w:r>
    </w:p>
    <w:tbl>
      <w:tblPr>
        <w:tblStyle w:val="9"/>
        <w:tblW w:w="5000" w:type="pct"/>
        <w:tblInd w:w="0" w:type="dxa"/>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FFFFFF" w:themeFill="background1"/>
        <w:tblLayout w:type="autofit"/>
        <w:tblCellMar>
          <w:top w:w="0" w:type="dxa"/>
          <w:left w:w="108" w:type="dxa"/>
          <w:bottom w:w="0" w:type="dxa"/>
          <w:right w:w="108" w:type="dxa"/>
        </w:tblCellMar>
      </w:tblPr>
      <w:tblGrid>
        <w:gridCol w:w="2584"/>
        <w:gridCol w:w="1616"/>
        <w:gridCol w:w="1742"/>
        <w:gridCol w:w="1403"/>
        <w:gridCol w:w="1177"/>
      </w:tblGrid>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FFFFFF" w:themeFill="background1"/>
          <w:tblCellMar>
            <w:top w:w="0" w:type="dxa"/>
            <w:left w:w="108" w:type="dxa"/>
            <w:bottom w:w="0" w:type="dxa"/>
            <w:right w:w="108" w:type="dxa"/>
          </w:tblCellMar>
        </w:tblPrEx>
        <w:trPr>
          <w:trHeight w:val="284" w:hRule="atLeast"/>
        </w:trPr>
        <w:tc>
          <w:tcPr>
            <w:tcW w:w="1519" w:type="pct"/>
            <w:shd w:val="clear" w:color="auto" w:fill="FFFFFF" w:themeFill="background1"/>
            <w:vAlign w:val="center"/>
          </w:tcPr>
          <w:p>
            <w:pPr>
              <w:widowControl/>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 目</w:t>
            </w:r>
          </w:p>
        </w:tc>
        <w:tc>
          <w:tcPr>
            <w:tcW w:w="951" w:type="pct"/>
            <w:shd w:val="clear" w:color="auto" w:fill="FFFFFF" w:themeFill="background1"/>
            <w:vAlign w:val="center"/>
          </w:tcPr>
          <w:p>
            <w:pPr>
              <w:widowControl/>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2020 年决算数</w:t>
            </w:r>
          </w:p>
        </w:tc>
        <w:tc>
          <w:tcPr>
            <w:tcW w:w="1025" w:type="pct"/>
            <w:shd w:val="clear" w:color="auto" w:fill="FFFFFF" w:themeFill="background1"/>
            <w:vAlign w:val="center"/>
          </w:tcPr>
          <w:p>
            <w:pPr>
              <w:widowControl/>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2021 年预算数</w:t>
            </w:r>
          </w:p>
        </w:tc>
        <w:tc>
          <w:tcPr>
            <w:tcW w:w="826" w:type="pct"/>
            <w:shd w:val="clear" w:color="auto" w:fill="FFFFFF" w:themeFill="background1"/>
            <w:vAlign w:val="center"/>
          </w:tcPr>
          <w:p>
            <w:pPr>
              <w:widowControl/>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2021 决算数</w:t>
            </w:r>
          </w:p>
        </w:tc>
        <w:tc>
          <w:tcPr>
            <w:tcW w:w="679" w:type="pct"/>
            <w:shd w:val="clear" w:color="auto" w:fill="FFFFFF" w:themeFill="background1"/>
            <w:vAlign w:val="center"/>
          </w:tcPr>
          <w:p>
            <w:pPr>
              <w:widowControl/>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控制率</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FFFFFF" w:themeFill="background1"/>
          <w:tblCellMar>
            <w:top w:w="0" w:type="dxa"/>
            <w:left w:w="108" w:type="dxa"/>
            <w:bottom w:w="0" w:type="dxa"/>
            <w:right w:w="108" w:type="dxa"/>
          </w:tblCellMar>
        </w:tblPrEx>
        <w:trPr>
          <w:trHeight w:val="284" w:hRule="atLeast"/>
        </w:trPr>
        <w:tc>
          <w:tcPr>
            <w:tcW w:w="1519" w:type="pct"/>
            <w:shd w:val="clear" w:color="auto" w:fill="FFFFFF" w:themeFill="background1"/>
          </w:tcPr>
          <w:p>
            <w:pPr>
              <w:widowControl/>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1、公务用车购置和维护经费</w:t>
            </w:r>
          </w:p>
        </w:tc>
        <w:tc>
          <w:tcPr>
            <w:tcW w:w="951" w:type="pct"/>
            <w:shd w:val="clear" w:color="auto" w:fill="FFFFFF" w:themeFill="background1"/>
            <w:vAlign w:val="center"/>
          </w:tcPr>
          <w:p>
            <w:pPr>
              <w:widowControl/>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19.89</w:t>
            </w:r>
          </w:p>
        </w:tc>
        <w:tc>
          <w:tcPr>
            <w:tcW w:w="1025" w:type="pct"/>
            <w:shd w:val="clear" w:color="auto" w:fill="FFFFFF" w:themeFill="background1"/>
            <w:vAlign w:val="center"/>
          </w:tcPr>
          <w:p>
            <w:pPr>
              <w:widowControl/>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5.00 </w:t>
            </w:r>
          </w:p>
        </w:tc>
        <w:tc>
          <w:tcPr>
            <w:tcW w:w="826" w:type="pct"/>
            <w:shd w:val="clear" w:color="auto" w:fill="FFFFFF" w:themeFill="background1"/>
            <w:vAlign w:val="center"/>
          </w:tcPr>
          <w:p>
            <w:pPr>
              <w:widowControl/>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4.46 </w:t>
            </w:r>
          </w:p>
        </w:tc>
        <w:tc>
          <w:tcPr>
            <w:tcW w:w="679" w:type="pct"/>
            <w:shd w:val="clear" w:color="auto" w:fill="FFFFFF" w:themeFill="background1"/>
            <w:noWrap/>
            <w:vAlign w:val="bottom"/>
          </w:tcPr>
          <w:p>
            <w:pPr>
              <w:widowControl/>
              <w:jc w:val="righ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89.20%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FFFFFF" w:themeFill="background1"/>
          <w:tblCellMar>
            <w:top w:w="0" w:type="dxa"/>
            <w:left w:w="108" w:type="dxa"/>
            <w:bottom w:w="0" w:type="dxa"/>
            <w:right w:w="108" w:type="dxa"/>
          </w:tblCellMar>
        </w:tblPrEx>
        <w:trPr>
          <w:trHeight w:val="284" w:hRule="atLeast"/>
        </w:trPr>
        <w:tc>
          <w:tcPr>
            <w:tcW w:w="1519" w:type="pct"/>
            <w:shd w:val="clear" w:color="auto" w:fill="FFFFFF" w:themeFill="background1"/>
          </w:tcPr>
          <w:p>
            <w:pPr>
              <w:widowControl/>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其中：公车购置</w:t>
            </w:r>
          </w:p>
        </w:tc>
        <w:tc>
          <w:tcPr>
            <w:tcW w:w="951" w:type="pct"/>
            <w:shd w:val="clear" w:color="auto" w:fill="FFFFFF" w:themeFill="background1"/>
            <w:vAlign w:val="center"/>
          </w:tcPr>
          <w:p>
            <w:pPr>
              <w:widowControl/>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17.98</w:t>
            </w:r>
          </w:p>
        </w:tc>
        <w:tc>
          <w:tcPr>
            <w:tcW w:w="1025" w:type="pct"/>
            <w:shd w:val="clear" w:color="auto" w:fill="FFFFFF" w:themeFill="background1"/>
            <w:vAlign w:val="center"/>
          </w:tcPr>
          <w:p>
            <w:pPr>
              <w:widowControl/>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   </w:t>
            </w:r>
          </w:p>
        </w:tc>
        <w:tc>
          <w:tcPr>
            <w:tcW w:w="826" w:type="pct"/>
            <w:shd w:val="clear" w:color="auto" w:fill="FFFFFF" w:themeFill="background1"/>
            <w:vAlign w:val="center"/>
          </w:tcPr>
          <w:p>
            <w:pPr>
              <w:widowControl/>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   </w:t>
            </w:r>
          </w:p>
        </w:tc>
        <w:tc>
          <w:tcPr>
            <w:tcW w:w="679" w:type="pct"/>
            <w:shd w:val="clear" w:color="auto" w:fill="FFFFFF" w:themeFill="background1"/>
            <w:noWrap/>
            <w:vAlign w:val="bottom"/>
          </w:tcPr>
          <w:p>
            <w:pPr>
              <w:widowControl/>
              <w:jc w:val="center"/>
              <w:rPr>
                <w:rFonts w:hint="eastAsia" w:ascii="仿宋" w:hAnsi="仿宋" w:eastAsia="仿宋" w:cs="仿宋"/>
                <w:color w:val="000000" w:themeColor="text1"/>
                <w:sz w:val="32"/>
                <w:szCs w:val="32"/>
                <w14:textFill>
                  <w14:solidFill>
                    <w14:schemeClr w14:val="tx1"/>
                  </w14:solidFill>
                </w14:textFill>
              </w:rPr>
            </w:pP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FFFFFF" w:themeFill="background1"/>
          <w:tblCellMar>
            <w:top w:w="0" w:type="dxa"/>
            <w:left w:w="108" w:type="dxa"/>
            <w:bottom w:w="0" w:type="dxa"/>
            <w:right w:w="108" w:type="dxa"/>
          </w:tblCellMar>
        </w:tblPrEx>
        <w:trPr>
          <w:trHeight w:val="284" w:hRule="atLeast"/>
        </w:trPr>
        <w:tc>
          <w:tcPr>
            <w:tcW w:w="1519" w:type="pct"/>
            <w:shd w:val="clear" w:color="auto" w:fill="FFFFFF" w:themeFill="background1"/>
          </w:tcPr>
          <w:p>
            <w:pPr>
              <w:widowControl/>
              <w:ind w:firstLine="1600" w:firstLineChars="5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公车运行维护</w:t>
            </w:r>
          </w:p>
        </w:tc>
        <w:tc>
          <w:tcPr>
            <w:tcW w:w="951" w:type="pct"/>
            <w:shd w:val="clear" w:color="auto" w:fill="FFFFFF" w:themeFill="background1"/>
            <w:vAlign w:val="center"/>
          </w:tcPr>
          <w:p>
            <w:pPr>
              <w:widowControl/>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1.91</w:t>
            </w:r>
          </w:p>
        </w:tc>
        <w:tc>
          <w:tcPr>
            <w:tcW w:w="1025" w:type="pct"/>
            <w:shd w:val="clear" w:color="auto" w:fill="FFFFFF" w:themeFill="background1"/>
            <w:vAlign w:val="center"/>
          </w:tcPr>
          <w:p>
            <w:pPr>
              <w:widowControl/>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5.00 </w:t>
            </w:r>
          </w:p>
        </w:tc>
        <w:tc>
          <w:tcPr>
            <w:tcW w:w="826" w:type="pct"/>
            <w:shd w:val="clear" w:color="auto" w:fill="FFFFFF" w:themeFill="background1"/>
            <w:vAlign w:val="center"/>
          </w:tcPr>
          <w:p>
            <w:pPr>
              <w:widowControl/>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4.46 </w:t>
            </w:r>
          </w:p>
        </w:tc>
        <w:tc>
          <w:tcPr>
            <w:tcW w:w="679" w:type="pct"/>
            <w:shd w:val="clear" w:color="auto" w:fill="FFFFFF" w:themeFill="background1"/>
            <w:noWrap/>
            <w:vAlign w:val="bottom"/>
          </w:tcPr>
          <w:p>
            <w:pPr>
              <w:widowControl/>
              <w:jc w:val="righ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89.20%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FFFFFF" w:themeFill="background1"/>
          <w:tblCellMar>
            <w:top w:w="0" w:type="dxa"/>
            <w:left w:w="108" w:type="dxa"/>
            <w:bottom w:w="0" w:type="dxa"/>
            <w:right w:w="108" w:type="dxa"/>
          </w:tblCellMar>
        </w:tblPrEx>
        <w:trPr>
          <w:trHeight w:val="284" w:hRule="atLeast"/>
        </w:trPr>
        <w:tc>
          <w:tcPr>
            <w:tcW w:w="1519" w:type="pct"/>
            <w:shd w:val="clear" w:color="auto" w:fill="FFFFFF" w:themeFill="background1"/>
          </w:tcPr>
          <w:p>
            <w:pPr>
              <w:widowControl/>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2、出国经费</w:t>
            </w:r>
          </w:p>
        </w:tc>
        <w:tc>
          <w:tcPr>
            <w:tcW w:w="951" w:type="pct"/>
            <w:shd w:val="clear" w:color="auto" w:fill="FFFFFF" w:themeFill="background1"/>
            <w:vAlign w:val="center"/>
          </w:tcPr>
          <w:p>
            <w:pPr>
              <w:widowControl/>
              <w:jc w:val="center"/>
              <w:rPr>
                <w:rFonts w:hint="eastAsia" w:ascii="仿宋" w:hAnsi="仿宋" w:eastAsia="仿宋" w:cs="仿宋"/>
                <w:color w:val="000000" w:themeColor="text1"/>
                <w:sz w:val="32"/>
                <w:szCs w:val="32"/>
                <w14:textFill>
                  <w14:solidFill>
                    <w14:schemeClr w14:val="tx1"/>
                  </w14:solidFill>
                </w14:textFill>
              </w:rPr>
            </w:pPr>
          </w:p>
        </w:tc>
        <w:tc>
          <w:tcPr>
            <w:tcW w:w="1025" w:type="pct"/>
            <w:shd w:val="clear" w:color="auto" w:fill="FFFFFF" w:themeFill="background1"/>
            <w:vAlign w:val="center"/>
          </w:tcPr>
          <w:p>
            <w:pPr>
              <w:widowControl/>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20.00 </w:t>
            </w:r>
          </w:p>
        </w:tc>
        <w:tc>
          <w:tcPr>
            <w:tcW w:w="826" w:type="pct"/>
            <w:shd w:val="clear" w:color="auto" w:fill="FFFFFF" w:themeFill="background1"/>
            <w:vAlign w:val="center"/>
          </w:tcPr>
          <w:p>
            <w:pPr>
              <w:widowControl/>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   </w:t>
            </w:r>
          </w:p>
        </w:tc>
        <w:tc>
          <w:tcPr>
            <w:tcW w:w="679" w:type="pct"/>
            <w:shd w:val="clear" w:color="auto" w:fill="FFFFFF" w:themeFill="background1"/>
            <w:noWrap/>
            <w:vAlign w:val="bottom"/>
          </w:tcPr>
          <w:p>
            <w:pPr>
              <w:widowControl/>
              <w:jc w:val="right"/>
              <w:rPr>
                <w:rFonts w:hint="eastAsia" w:ascii="仿宋" w:hAnsi="仿宋" w:eastAsia="仿宋" w:cs="仿宋"/>
                <w:color w:val="000000" w:themeColor="text1"/>
                <w:sz w:val="32"/>
                <w:szCs w:val="32"/>
                <w14:textFill>
                  <w14:solidFill>
                    <w14:schemeClr w14:val="tx1"/>
                  </w14:solidFill>
                </w14:textFill>
              </w:rPr>
            </w:pP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FFFFFF" w:themeFill="background1"/>
          <w:tblCellMar>
            <w:top w:w="0" w:type="dxa"/>
            <w:left w:w="108" w:type="dxa"/>
            <w:bottom w:w="0" w:type="dxa"/>
            <w:right w:w="108" w:type="dxa"/>
          </w:tblCellMar>
        </w:tblPrEx>
        <w:trPr>
          <w:trHeight w:val="284" w:hRule="atLeast"/>
        </w:trPr>
        <w:tc>
          <w:tcPr>
            <w:tcW w:w="1519" w:type="pct"/>
            <w:shd w:val="clear" w:color="auto" w:fill="FFFFFF" w:themeFill="background1"/>
          </w:tcPr>
          <w:p>
            <w:pPr>
              <w:widowControl/>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3、公务接待</w:t>
            </w:r>
          </w:p>
        </w:tc>
        <w:tc>
          <w:tcPr>
            <w:tcW w:w="951" w:type="pct"/>
            <w:shd w:val="clear" w:color="auto" w:fill="FFFFFF" w:themeFill="background1"/>
            <w:vAlign w:val="center"/>
          </w:tcPr>
          <w:p>
            <w:pPr>
              <w:widowControl/>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8.14</w:t>
            </w:r>
          </w:p>
        </w:tc>
        <w:tc>
          <w:tcPr>
            <w:tcW w:w="1025" w:type="pct"/>
            <w:shd w:val="clear" w:color="auto" w:fill="FFFFFF" w:themeFill="background1"/>
            <w:vAlign w:val="center"/>
          </w:tcPr>
          <w:p>
            <w:pPr>
              <w:widowControl/>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20.00 </w:t>
            </w:r>
          </w:p>
        </w:tc>
        <w:tc>
          <w:tcPr>
            <w:tcW w:w="826" w:type="pct"/>
            <w:shd w:val="clear" w:color="auto" w:fill="FFFFFF" w:themeFill="background1"/>
            <w:vAlign w:val="center"/>
          </w:tcPr>
          <w:p>
            <w:pPr>
              <w:widowControl/>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8.87 </w:t>
            </w:r>
          </w:p>
        </w:tc>
        <w:tc>
          <w:tcPr>
            <w:tcW w:w="679" w:type="pct"/>
            <w:shd w:val="clear" w:color="auto" w:fill="FFFFFF" w:themeFill="background1"/>
            <w:noWrap/>
            <w:vAlign w:val="bottom"/>
          </w:tcPr>
          <w:p>
            <w:pPr>
              <w:widowControl/>
              <w:jc w:val="righ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44.35%</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284" w:hRule="atLeast"/>
        </w:trPr>
        <w:tc>
          <w:tcPr>
            <w:tcW w:w="1519" w:type="pct"/>
            <w:shd w:val="clear" w:color="auto" w:fill="FFFFFF" w:themeFill="background1"/>
            <w:vAlign w:val="center"/>
          </w:tcPr>
          <w:p>
            <w:pPr>
              <w:widowControl/>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合计</w:t>
            </w:r>
          </w:p>
        </w:tc>
        <w:tc>
          <w:tcPr>
            <w:tcW w:w="951" w:type="pct"/>
            <w:shd w:val="clear" w:color="auto" w:fill="FFFFFF" w:themeFill="background1"/>
            <w:vAlign w:val="center"/>
          </w:tcPr>
          <w:p>
            <w:pPr>
              <w:widowControl/>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28.03</w:t>
            </w:r>
          </w:p>
        </w:tc>
        <w:tc>
          <w:tcPr>
            <w:tcW w:w="1025" w:type="pct"/>
            <w:shd w:val="clear" w:color="auto" w:fill="FFFFFF" w:themeFill="background1"/>
            <w:vAlign w:val="center"/>
          </w:tcPr>
          <w:p>
            <w:pPr>
              <w:widowControl/>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45</w:t>
            </w:r>
          </w:p>
        </w:tc>
        <w:tc>
          <w:tcPr>
            <w:tcW w:w="826" w:type="pct"/>
            <w:shd w:val="clear" w:color="auto" w:fill="FFFFFF" w:themeFill="background1"/>
            <w:vAlign w:val="center"/>
          </w:tcPr>
          <w:p>
            <w:pPr>
              <w:widowControl/>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13.33</w:t>
            </w:r>
          </w:p>
        </w:tc>
        <w:tc>
          <w:tcPr>
            <w:tcW w:w="679" w:type="pct"/>
            <w:shd w:val="clear" w:color="auto" w:fill="FFFFFF" w:themeFill="background1"/>
            <w:noWrap/>
            <w:vAlign w:val="bottom"/>
          </w:tcPr>
          <w:p>
            <w:pPr>
              <w:widowControl/>
              <w:jc w:val="righ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29.62%</w:t>
            </w:r>
          </w:p>
        </w:tc>
      </w:tr>
    </w:tbl>
    <w:p>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3、政府采购情况。</w:t>
      </w:r>
    </w:p>
    <w:p>
      <w:pPr>
        <w:pStyle w:val="5"/>
        <w:spacing w:line="360" w:lineRule="auto"/>
        <w:ind w:firstLine="640" w:firstLineChars="200"/>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根据台办2021年度部门预决算信息，台办2021年政府采购计划金额为 24.00万元，实际采购金额为13.39万元，采购执行率为 55.79%。</w:t>
      </w:r>
    </w:p>
    <w:p>
      <w:pPr>
        <w:pStyle w:val="3"/>
        <w:spacing w:before="0" w:after="0" w:line="360" w:lineRule="auto"/>
        <w:ind w:firstLine="562"/>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（二）项目支出</w:t>
      </w:r>
    </w:p>
    <w:p>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支出：2021年年初预算数为117万元，是指单位为完成特定行政工作任务或事业发展目标而发生的支出，包括对台工作经费117万元，主要用于对台宣传、对台联络、对台交流交往、投诉协调、对台经济等方面的工作。</w:t>
      </w:r>
    </w:p>
    <w:p>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2020年决算的项目支出为425.56万元，其中：商品和服务支出266.62万元、资本性支出28.94万元、对企业补助130.00万元。决算的项目支出比预算批复节约1.44万元，因涉及具体事务，实际变动不具有可预见性。</w:t>
      </w:r>
    </w:p>
    <w:p>
      <w:pPr>
        <w:spacing w:line="360" w:lineRule="auto"/>
        <w:ind w:firstLine="640" w:firstLineChars="200"/>
        <w:rPr>
          <w:rFonts w:hint="eastAsia" w:ascii="仿宋" w:hAnsi="仿宋" w:eastAsia="仿宋" w:cs="仿宋"/>
          <w:color w:val="000000" w:themeColor="text1"/>
          <w:kern w:val="0"/>
          <w:sz w:val="32"/>
          <w:szCs w:val="32"/>
          <w14:textFill>
            <w14:solidFill>
              <w14:schemeClr w14:val="tx1"/>
            </w14:solidFill>
          </w14:textFill>
        </w:rPr>
      </w:pPr>
    </w:p>
    <w:p>
      <w:pPr>
        <w:pStyle w:val="2"/>
        <w:spacing w:before="0" w:after="0" w:line="360" w:lineRule="auto"/>
        <w:ind w:firstLine="643" w:firstLineChars="200"/>
        <w:rPr>
          <w:rFonts w:hint="eastAsia" w:ascii="仿宋" w:hAnsi="仿宋" w:eastAsia="仿宋" w:cs="仿宋"/>
          <w:color w:val="000000" w:themeColor="text1"/>
          <w:kern w:val="2"/>
          <w:sz w:val="32"/>
          <w:szCs w:val="32"/>
          <w14:textFill>
            <w14:solidFill>
              <w14:schemeClr w14:val="tx1"/>
            </w14:solidFill>
          </w14:textFill>
        </w:rPr>
      </w:pPr>
      <w:bookmarkStart w:id="1" w:name="_Toc35974572"/>
      <w:r>
        <w:rPr>
          <w:rFonts w:hint="eastAsia" w:ascii="仿宋" w:hAnsi="仿宋" w:eastAsia="仿宋" w:cs="仿宋"/>
          <w:color w:val="000000" w:themeColor="text1"/>
          <w:kern w:val="2"/>
          <w:sz w:val="32"/>
          <w:szCs w:val="32"/>
          <w14:textFill>
            <w14:solidFill>
              <w14:schemeClr w14:val="tx1"/>
            </w14:solidFill>
          </w14:textFill>
        </w:rPr>
        <w:t>三、资产管理情况</w:t>
      </w:r>
      <w:bookmarkEnd w:id="1"/>
    </w:p>
    <w:p>
      <w:pPr>
        <w:ind w:firstLine="56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市台办资产总数共计321件，总金额156.39万元。</w:t>
      </w:r>
      <w:r>
        <w:rPr>
          <w:rFonts w:hint="eastAsia" w:ascii="仿宋" w:hAnsi="仿宋" w:eastAsia="仿宋" w:cs="仿宋"/>
          <w:bCs/>
          <w:color w:val="000000" w:themeColor="text1"/>
          <w:kern w:val="0"/>
          <w:sz w:val="32"/>
          <w:szCs w:val="32"/>
          <w14:textFill>
            <w14:solidFill>
              <w14:schemeClr w14:val="tx1"/>
            </w14:solidFill>
          </w14:textFill>
        </w:rPr>
        <w:t>其</w:t>
      </w:r>
      <w:r>
        <w:rPr>
          <w:rFonts w:hint="eastAsia" w:ascii="仿宋" w:hAnsi="仿宋" w:eastAsia="仿宋" w:cs="仿宋"/>
          <w:color w:val="000000" w:themeColor="text1"/>
          <w:sz w:val="32"/>
          <w:szCs w:val="32"/>
          <w14:textFill>
            <w14:solidFill>
              <w14:schemeClr w14:val="tx1"/>
            </w14:solidFill>
          </w14:textFill>
        </w:rPr>
        <w:t>中专用设备3件，金额4.40万元；通用设备217件，金额134.00万元；家具用具101件，金额17.99万元；车辆2台，金额37.36万元。本单位资产没有抵、质押不动产的权属及权证情况，资产无对外投资、出租出借等收盗情况。</w:t>
      </w:r>
    </w:p>
    <w:p>
      <w:pPr>
        <w:ind w:firstLine="56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秘书处在搞好固定资产帐务管理的基础上协助各处室搞好固定资产实物的管理。各处室同时参与对办固定资产的管理，各司其职，互相牵制。清查固定资产时，组织有关人员到现场核实，保证账物相符、账账相符。</w:t>
      </w:r>
    </w:p>
    <w:p>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按照《关于行政事业资产管理信息系统折旧（摊销）功能使用有关事项通知》（长财资产【2018】57号）进行账务处理，按照市财政局有关财务规章的规定及《市台办办公用品采购使用管理规定》等文件对资产的加强管理与监督。</w:t>
      </w:r>
    </w:p>
    <w:p>
      <w:pPr>
        <w:pStyle w:val="2"/>
        <w:spacing w:before="0" w:after="0" w:line="360" w:lineRule="auto"/>
        <w:ind w:firstLine="643" w:firstLineChars="200"/>
        <w:rPr>
          <w:rFonts w:hint="eastAsia" w:ascii="仿宋" w:hAnsi="仿宋" w:eastAsia="仿宋" w:cs="仿宋"/>
          <w:color w:val="000000" w:themeColor="text1"/>
          <w:kern w:val="0"/>
          <w:sz w:val="32"/>
          <w:szCs w:val="32"/>
          <w14:textFill>
            <w14:solidFill>
              <w14:schemeClr w14:val="tx1"/>
            </w14:solidFill>
          </w14:textFill>
        </w:rPr>
      </w:pPr>
      <w:bookmarkStart w:id="2" w:name="_Toc35974573"/>
      <w:r>
        <w:rPr>
          <w:rFonts w:hint="eastAsia" w:ascii="仿宋" w:hAnsi="仿宋" w:eastAsia="仿宋" w:cs="仿宋"/>
          <w:color w:val="000000" w:themeColor="text1"/>
          <w:kern w:val="0"/>
          <w:sz w:val="32"/>
          <w:szCs w:val="32"/>
          <w14:textFill>
            <w14:solidFill>
              <w14:schemeClr w14:val="tx1"/>
            </w14:solidFill>
          </w14:textFill>
        </w:rPr>
        <w:t>四、部门整体支出绩效情况</w:t>
      </w:r>
      <w:bookmarkEnd w:id="2"/>
    </w:p>
    <w:p>
      <w:pPr>
        <w:pStyle w:val="5"/>
        <w:ind w:firstLine="56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（一）评价结论</w:t>
      </w:r>
    </w:p>
    <w:p>
      <w:pPr>
        <w:ind w:firstLine="56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2021年，在市委、市政府的坚强领导下，我办始终坚持以习近平总书记关于对台工作的重要论述为指导，认真贯彻落实中央对台工作决策部署和市委市政府工作要求，以“服务中心大局、服务台胞台企、服务交流交往”为抓手，全力推动长台经济文化融合发展，高质量完成了各项工作任务。根据部门整体支出绩效管理总体表现及部门整体绩效及主要问题的分析，台办2021年项目具有明确的目标，资金到位及时，项目实施过程中严格按照有关项目管理和经费管理规定执行，具有较好的社会效益，经评价小组综合分析在2021年度部门整体支出绩效评价的总得分为96.89分。</w:t>
      </w:r>
    </w:p>
    <w:p>
      <w:pPr>
        <w:pStyle w:val="5"/>
        <w:ind w:firstLine="56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（二）绩效分析</w:t>
      </w:r>
    </w:p>
    <w:p>
      <w:pPr>
        <w:ind w:firstLine="56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本次评价指标体系综合考虑了部门整体支出的资金使用情况与行政职能开展的动态流程及关键节点。从经济性，效率性、有效性价、可持续性方面，对本部门的绩效情况进行综合分析。</w:t>
      </w:r>
    </w:p>
    <w:p>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1、经济效益评价</w:t>
      </w:r>
    </w:p>
    <w:p>
      <w:pPr>
        <w:ind w:firstLine="56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1）部门管理比较规范。</w:t>
      </w:r>
    </w:p>
    <w:p>
      <w:pPr>
        <w:pStyle w:val="5"/>
        <w:ind w:firstLine="475"/>
        <w:jc w:val="both"/>
        <w:rPr>
          <w:rFonts w:hint="eastAsia" w:ascii="仿宋" w:hAnsi="仿宋" w:eastAsia="仿宋" w:cs="仿宋"/>
          <w:color w:val="000000" w:themeColor="text1"/>
          <w:w w:val="95"/>
          <w:sz w:val="32"/>
          <w:szCs w:val="32"/>
          <w14:textFill>
            <w14:solidFill>
              <w14:schemeClr w14:val="tx1"/>
            </w14:solidFill>
          </w14:textFill>
        </w:rPr>
      </w:pPr>
      <w:r>
        <w:rPr>
          <w:rFonts w:hint="eastAsia" w:ascii="仿宋" w:hAnsi="仿宋" w:eastAsia="仿宋" w:cs="仿宋"/>
          <w:color w:val="000000" w:themeColor="text1"/>
          <w:spacing w:val="-19"/>
          <w:w w:val="99"/>
          <w:sz w:val="32"/>
          <w:szCs w:val="32"/>
          <w14:textFill>
            <w14:solidFill>
              <w14:schemeClr w14:val="tx1"/>
            </w14:solidFill>
          </w14:textFill>
        </w:rPr>
        <w:t>部门运行成本实际控制有效，公用经费控制率92.14%，控制在100%以内</w:t>
      </w:r>
      <w:r>
        <w:rPr>
          <w:rFonts w:hint="eastAsia" w:ascii="仿宋" w:hAnsi="仿宋" w:eastAsia="仿宋" w:cs="仿宋"/>
          <w:color w:val="000000" w:themeColor="text1"/>
          <w:w w:val="99"/>
          <w:sz w:val="32"/>
          <w:szCs w:val="32"/>
          <w14:textFill>
            <w14:solidFill>
              <w14:schemeClr w14:val="tx1"/>
            </w14:solidFill>
          </w14:textFill>
        </w:rPr>
        <w:t>。</w:t>
      </w:r>
      <w:r>
        <w:rPr>
          <w:rFonts w:hint="eastAsia" w:ascii="仿宋" w:hAnsi="仿宋" w:eastAsia="仿宋" w:cs="仿宋"/>
          <w:color w:val="000000" w:themeColor="text1"/>
          <w:spacing w:val="9"/>
          <w:w w:val="95"/>
          <w:sz w:val="32"/>
          <w:szCs w:val="32"/>
          <w14:textFill>
            <w14:solidFill>
              <w14:schemeClr w14:val="tx1"/>
            </w14:solidFill>
          </w14:textFill>
        </w:rPr>
        <w:t xml:space="preserve">根据 </w:t>
      </w:r>
      <w:r>
        <w:rPr>
          <w:rFonts w:hint="eastAsia" w:ascii="仿宋" w:hAnsi="仿宋" w:eastAsia="仿宋" w:cs="仿宋"/>
          <w:color w:val="000000" w:themeColor="text1"/>
          <w:w w:val="95"/>
          <w:sz w:val="32"/>
          <w:szCs w:val="32"/>
          <w14:textFill>
            <w14:solidFill>
              <w14:schemeClr w14:val="tx1"/>
            </w14:solidFill>
          </w14:textFill>
        </w:rPr>
        <w:t>2021</w:t>
      </w:r>
      <w:r>
        <w:rPr>
          <w:rFonts w:hint="eastAsia" w:ascii="仿宋" w:hAnsi="仿宋" w:eastAsia="仿宋" w:cs="仿宋"/>
          <w:color w:val="000000" w:themeColor="text1"/>
          <w:spacing w:val="-13"/>
          <w:w w:val="95"/>
          <w:sz w:val="32"/>
          <w:szCs w:val="32"/>
          <w14:textFill>
            <w14:solidFill>
              <w14:schemeClr w14:val="tx1"/>
            </w14:solidFill>
          </w14:textFill>
        </w:rPr>
        <w:t xml:space="preserve"> 年度部门决算报表，该部门“三公”经费年初预算安</w:t>
      </w:r>
      <w:r>
        <w:rPr>
          <w:rFonts w:hint="eastAsia" w:ascii="仿宋" w:hAnsi="仿宋" w:eastAsia="仿宋" w:cs="仿宋"/>
          <w:color w:val="000000" w:themeColor="text1"/>
          <w:spacing w:val="-17"/>
          <w:w w:val="95"/>
          <w:sz w:val="32"/>
          <w:szCs w:val="32"/>
          <w14:textFill>
            <w14:solidFill>
              <w14:schemeClr w14:val="tx1"/>
            </w14:solidFill>
          </w14:textFill>
        </w:rPr>
        <w:t>排</w:t>
      </w:r>
      <w:r>
        <w:rPr>
          <w:rFonts w:hint="eastAsia" w:ascii="仿宋" w:hAnsi="仿宋" w:eastAsia="仿宋" w:cs="仿宋"/>
          <w:color w:val="000000" w:themeColor="text1"/>
          <w:w w:val="95"/>
          <w:sz w:val="32"/>
          <w:szCs w:val="32"/>
          <w14:textFill>
            <w14:solidFill>
              <w14:schemeClr w14:val="tx1"/>
            </w14:solidFill>
          </w14:textFill>
        </w:rPr>
        <w:t>45.00</w:t>
      </w:r>
      <w:r>
        <w:rPr>
          <w:rFonts w:hint="eastAsia" w:ascii="仿宋" w:hAnsi="仿宋" w:eastAsia="仿宋" w:cs="仿宋"/>
          <w:color w:val="000000" w:themeColor="text1"/>
          <w:spacing w:val="-11"/>
          <w:w w:val="95"/>
          <w:sz w:val="32"/>
          <w:szCs w:val="32"/>
          <w14:textFill>
            <w14:solidFill>
              <w14:schemeClr w14:val="tx1"/>
            </w14:solidFill>
          </w14:textFill>
        </w:rPr>
        <w:t xml:space="preserve">万元，实际 </w:t>
      </w:r>
      <w:r>
        <w:rPr>
          <w:rFonts w:hint="eastAsia" w:ascii="仿宋" w:hAnsi="仿宋" w:eastAsia="仿宋" w:cs="仿宋"/>
          <w:color w:val="000000" w:themeColor="text1"/>
          <w:w w:val="95"/>
          <w:sz w:val="32"/>
          <w:szCs w:val="32"/>
          <w14:textFill>
            <w14:solidFill>
              <w14:schemeClr w14:val="tx1"/>
            </w14:solidFill>
          </w14:textFill>
        </w:rPr>
        <w:t>13.33</w:t>
      </w:r>
      <w:r>
        <w:rPr>
          <w:rFonts w:hint="eastAsia" w:ascii="仿宋" w:hAnsi="仿宋" w:eastAsia="仿宋" w:cs="仿宋"/>
          <w:color w:val="000000" w:themeColor="text1"/>
          <w:spacing w:val="-13"/>
          <w:w w:val="95"/>
          <w:sz w:val="32"/>
          <w:szCs w:val="32"/>
          <w14:textFill>
            <w14:solidFill>
              <w14:schemeClr w14:val="tx1"/>
            </w14:solidFill>
          </w14:textFill>
        </w:rPr>
        <w:t xml:space="preserve">万元，比 </w:t>
      </w:r>
      <w:r>
        <w:rPr>
          <w:rFonts w:hint="eastAsia" w:ascii="仿宋" w:hAnsi="仿宋" w:eastAsia="仿宋" w:cs="仿宋"/>
          <w:color w:val="000000" w:themeColor="text1"/>
          <w:w w:val="95"/>
          <w:sz w:val="32"/>
          <w:szCs w:val="32"/>
          <w14:textFill>
            <w14:solidFill>
              <w14:schemeClr w14:val="tx1"/>
            </w14:solidFill>
          </w14:textFill>
        </w:rPr>
        <w:t>2020</w:t>
      </w:r>
      <w:r>
        <w:rPr>
          <w:rFonts w:hint="eastAsia" w:ascii="仿宋" w:hAnsi="仿宋" w:eastAsia="仿宋" w:cs="仿宋"/>
          <w:color w:val="000000" w:themeColor="text1"/>
          <w:spacing w:val="8"/>
          <w:w w:val="95"/>
          <w:sz w:val="32"/>
          <w:szCs w:val="32"/>
          <w14:textFill>
            <w14:solidFill>
              <w14:schemeClr w14:val="tx1"/>
            </w14:solidFill>
          </w14:textFill>
        </w:rPr>
        <w:t xml:space="preserve"> 年减少</w:t>
      </w:r>
      <w:r>
        <w:rPr>
          <w:rFonts w:hint="eastAsia" w:ascii="仿宋" w:hAnsi="仿宋" w:eastAsia="仿宋" w:cs="仿宋"/>
          <w:color w:val="000000" w:themeColor="text1"/>
          <w:w w:val="95"/>
          <w:sz w:val="32"/>
          <w:szCs w:val="32"/>
          <w14:textFill>
            <w14:solidFill>
              <w14:schemeClr w14:val="tx1"/>
            </w14:solidFill>
          </w14:textFill>
        </w:rPr>
        <w:t>14.70</w:t>
      </w:r>
      <w:r>
        <w:rPr>
          <w:rFonts w:hint="eastAsia" w:ascii="仿宋" w:hAnsi="仿宋" w:eastAsia="仿宋" w:cs="仿宋"/>
          <w:color w:val="000000" w:themeColor="text1"/>
          <w:spacing w:val="-20"/>
          <w:w w:val="95"/>
          <w:sz w:val="32"/>
          <w:szCs w:val="32"/>
          <w14:textFill>
            <w14:solidFill>
              <w14:schemeClr w14:val="tx1"/>
            </w14:solidFill>
          </w14:textFill>
        </w:rPr>
        <w:t>万</w:t>
      </w:r>
      <w:r>
        <w:rPr>
          <w:rFonts w:hint="eastAsia" w:ascii="仿宋" w:hAnsi="仿宋" w:eastAsia="仿宋" w:cs="仿宋"/>
          <w:color w:val="000000" w:themeColor="text1"/>
          <w:spacing w:val="-17"/>
          <w:w w:val="99"/>
          <w:sz w:val="32"/>
          <w:szCs w:val="32"/>
          <w14:textFill>
            <w14:solidFill>
              <w14:schemeClr w14:val="tx1"/>
            </w14:solidFill>
          </w14:textFill>
        </w:rPr>
        <w:t>元，“三公”经费控制率</w:t>
      </w:r>
      <w:r>
        <w:rPr>
          <w:rFonts w:hint="eastAsia" w:ascii="仿宋" w:hAnsi="仿宋" w:eastAsia="仿宋" w:cs="仿宋"/>
          <w:color w:val="000000" w:themeColor="text1"/>
          <w:spacing w:val="1"/>
          <w:w w:val="99"/>
          <w:sz w:val="32"/>
          <w:szCs w:val="32"/>
          <w14:textFill>
            <w14:solidFill>
              <w14:schemeClr w14:val="tx1"/>
            </w14:solidFill>
          </w14:textFill>
        </w:rPr>
        <w:t>29.62</w:t>
      </w:r>
      <w:r>
        <w:rPr>
          <w:rFonts w:hint="eastAsia" w:ascii="仿宋" w:hAnsi="仿宋" w:eastAsia="仿宋" w:cs="仿宋"/>
          <w:color w:val="000000" w:themeColor="text1"/>
          <w:spacing w:val="-2"/>
          <w:w w:val="99"/>
          <w:sz w:val="32"/>
          <w:szCs w:val="32"/>
          <w14:textFill>
            <w14:solidFill>
              <w14:schemeClr w14:val="tx1"/>
            </w14:solidFill>
          </w14:textFill>
        </w:rPr>
        <w:t>%；</w:t>
      </w:r>
      <w:r>
        <w:rPr>
          <w:rFonts w:hint="eastAsia" w:ascii="仿宋" w:hAnsi="仿宋" w:eastAsia="仿宋" w:cs="仿宋"/>
          <w:color w:val="000000" w:themeColor="text1"/>
          <w:w w:val="99"/>
          <w:sz w:val="32"/>
          <w:szCs w:val="32"/>
          <w14:textFill>
            <w14:solidFill>
              <w14:schemeClr w14:val="tx1"/>
            </w14:solidFill>
          </w14:textFill>
        </w:rPr>
        <w:t>日常公用经费</w:t>
      </w:r>
      <w:r>
        <w:rPr>
          <w:rFonts w:hint="eastAsia" w:ascii="仿宋" w:hAnsi="仿宋" w:eastAsia="仿宋" w:cs="仿宋"/>
          <w:color w:val="000000" w:themeColor="text1"/>
          <w:spacing w:val="5"/>
          <w:w w:val="95"/>
          <w:sz w:val="32"/>
          <w:szCs w:val="32"/>
          <w14:textFill>
            <w14:solidFill>
              <w14:schemeClr w14:val="tx1"/>
            </w14:solidFill>
          </w14:textFill>
        </w:rPr>
        <w:t xml:space="preserve">决算数为 </w:t>
      </w:r>
      <w:r>
        <w:rPr>
          <w:rFonts w:hint="eastAsia" w:ascii="仿宋" w:hAnsi="仿宋" w:eastAsia="仿宋" w:cs="仿宋"/>
          <w:color w:val="000000" w:themeColor="text1"/>
          <w:w w:val="95"/>
          <w:sz w:val="32"/>
          <w:szCs w:val="32"/>
          <w14:textFill>
            <w14:solidFill>
              <w14:schemeClr w14:val="tx1"/>
            </w14:solidFill>
          </w14:textFill>
        </w:rPr>
        <w:t>65.21</w:t>
      </w:r>
      <w:r>
        <w:rPr>
          <w:rFonts w:hint="eastAsia" w:ascii="仿宋" w:hAnsi="仿宋" w:eastAsia="仿宋" w:cs="仿宋"/>
          <w:color w:val="000000" w:themeColor="text1"/>
          <w:spacing w:val="1"/>
          <w:w w:val="95"/>
          <w:sz w:val="32"/>
          <w:szCs w:val="32"/>
          <w14:textFill>
            <w14:solidFill>
              <w14:schemeClr w14:val="tx1"/>
            </w14:solidFill>
          </w14:textFill>
        </w:rPr>
        <w:t xml:space="preserve"> 万元，日常公用经费调整预算数为</w:t>
      </w:r>
      <w:r>
        <w:rPr>
          <w:rFonts w:hint="eastAsia" w:ascii="仿宋" w:hAnsi="仿宋" w:eastAsia="仿宋" w:cs="仿宋"/>
          <w:color w:val="000000" w:themeColor="text1"/>
          <w:w w:val="95"/>
          <w:sz w:val="32"/>
          <w:szCs w:val="32"/>
          <w14:textFill>
            <w14:solidFill>
              <w14:schemeClr w14:val="tx1"/>
            </w14:solidFill>
          </w14:textFill>
        </w:rPr>
        <w:t>70.77</w:t>
      </w:r>
      <w:r>
        <w:rPr>
          <w:rFonts w:hint="eastAsia" w:ascii="仿宋" w:hAnsi="仿宋" w:eastAsia="仿宋" w:cs="仿宋"/>
          <w:color w:val="000000" w:themeColor="text1"/>
          <w:spacing w:val="11"/>
          <w:w w:val="95"/>
          <w:sz w:val="32"/>
          <w:szCs w:val="32"/>
          <w14:textFill>
            <w14:solidFill>
              <w14:schemeClr w14:val="tx1"/>
            </w14:solidFill>
          </w14:textFill>
        </w:rPr>
        <w:t>万</w:t>
      </w:r>
      <w:r>
        <w:rPr>
          <w:rFonts w:hint="eastAsia" w:ascii="仿宋" w:hAnsi="仿宋" w:eastAsia="仿宋" w:cs="仿宋"/>
          <w:color w:val="000000" w:themeColor="text1"/>
          <w:spacing w:val="-7"/>
          <w:w w:val="95"/>
          <w:sz w:val="32"/>
          <w:szCs w:val="32"/>
          <w14:textFill>
            <w14:solidFill>
              <w14:schemeClr w14:val="tx1"/>
            </w14:solidFill>
          </w14:textFill>
        </w:rPr>
        <w:t>元，日常经费控制率</w:t>
      </w:r>
      <w:r>
        <w:rPr>
          <w:rFonts w:hint="eastAsia" w:ascii="仿宋" w:hAnsi="仿宋" w:eastAsia="仿宋" w:cs="仿宋"/>
          <w:color w:val="000000" w:themeColor="text1"/>
          <w:w w:val="95"/>
          <w:sz w:val="32"/>
          <w:szCs w:val="32"/>
          <w14:textFill>
            <w14:solidFill>
              <w14:schemeClr w14:val="tx1"/>
            </w14:solidFill>
          </w14:textFill>
        </w:rPr>
        <w:t>92.14%。</w:t>
      </w:r>
    </w:p>
    <w:p>
      <w:pPr>
        <w:ind w:firstLine="560"/>
        <w:rPr>
          <w:rFonts w:hint="eastAsia" w:ascii="仿宋" w:hAnsi="仿宋" w:eastAsia="仿宋" w:cs="仿宋"/>
          <w:color w:val="000000" w:themeColor="text1"/>
          <w:spacing w:val="-19"/>
          <w:w w:val="99"/>
          <w:kern w:val="0"/>
          <w:sz w:val="32"/>
          <w:szCs w:val="32"/>
          <w14:textFill>
            <w14:solidFill>
              <w14:schemeClr w14:val="tx1"/>
            </w14:solidFill>
          </w14:textFill>
        </w:rPr>
      </w:pPr>
      <w:r>
        <w:rPr>
          <w:rFonts w:hint="eastAsia" w:ascii="仿宋" w:hAnsi="仿宋" w:eastAsia="仿宋" w:cs="仿宋"/>
          <w:color w:val="000000" w:themeColor="text1"/>
          <w:spacing w:val="-19"/>
          <w:w w:val="99"/>
          <w:kern w:val="0"/>
          <w:sz w:val="32"/>
          <w:szCs w:val="32"/>
          <w14:textFill>
            <w14:solidFill>
              <w14:schemeClr w14:val="tx1"/>
            </w14:solidFill>
          </w14:textFill>
        </w:rPr>
        <w:t>台办内部管理制度基本健全，成文制度包括：台办工作制度汇编、内部控制汇编、2021年新增政府采购内部控制制度。政务公开工作积极、有序、稳步推进。2021年在市政府网站公开预算信息、决算信息。</w:t>
      </w:r>
    </w:p>
    <w:p>
      <w:pPr>
        <w:ind w:firstLine="560"/>
        <w:rPr>
          <w:rFonts w:hint="eastAsia" w:ascii="仿宋" w:hAnsi="仿宋" w:eastAsia="仿宋" w:cs="仿宋"/>
          <w:color w:val="000000" w:themeColor="text1"/>
          <w:spacing w:val="-19"/>
          <w:w w:val="99"/>
          <w:kern w:val="0"/>
          <w:sz w:val="32"/>
          <w:szCs w:val="32"/>
          <w14:textFill>
            <w14:solidFill>
              <w14:schemeClr w14:val="tx1"/>
            </w14:solidFill>
          </w14:textFill>
        </w:rPr>
      </w:pPr>
      <w:bookmarkStart w:id="3" w:name="_Hlk96883797"/>
      <w:r>
        <w:rPr>
          <w:rFonts w:hint="eastAsia" w:ascii="仿宋" w:hAnsi="仿宋" w:eastAsia="仿宋" w:cs="仿宋"/>
          <w:color w:val="000000" w:themeColor="text1"/>
          <w:spacing w:val="-19"/>
          <w:w w:val="99"/>
          <w:kern w:val="0"/>
          <w:sz w:val="32"/>
          <w:szCs w:val="32"/>
          <w14:textFill>
            <w14:solidFill>
              <w14:schemeClr w14:val="tx1"/>
            </w14:solidFill>
          </w14:textFill>
        </w:rPr>
        <w:t>台办落实专人进行固定资产管理，资产（尤其是固定资产）的预算、采购、验收、付款、使用及清查等各环节管理到位，不存在未使用的固定资产有较为健全的财务管理制度并得到贯彻，行政经费开支合理合规， 控制在预算范围内。</w:t>
      </w:r>
    </w:p>
    <w:p>
      <w:pPr>
        <w:ind w:firstLine="56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（2）人员编制合规，加强人才队伍建设。</w:t>
      </w:r>
    </w:p>
    <w:p>
      <w:pPr>
        <w:ind w:firstLine="560"/>
        <w:rPr>
          <w:rFonts w:hint="eastAsia" w:ascii="仿宋" w:hAnsi="仿宋" w:eastAsia="仿宋" w:cs="仿宋"/>
          <w:color w:val="000000" w:themeColor="text1"/>
          <w:spacing w:val="-19"/>
          <w:w w:val="99"/>
          <w:kern w:val="0"/>
          <w:sz w:val="32"/>
          <w:szCs w:val="32"/>
          <w14:textFill>
            <w14:solidFill>
              <w14:schemeClr w14:val="tx1"/>
            </w14:solidFill>
          </w14:textFill>
        </w:rPr>
      </w:pPr>
      <w:bookmarkStart w:id="4" w:name="_Hlk96883831"/>
      <w:r>
        <w:rPr>
          <w:rFonts w:hint="eastAsia" w:ascii="仿宋" w:hAnsi="仿宋" w:eastAsia="仿宋" w:cs="仿宋"/>
          <w:color w:val="000000" w:themeColor="text1"/>
          <w:spacing w:val="-19"/>
          <w:w w:val="99"/>
          <w:kern w:val="0"/>
          <w:sz w:val="32"/>
          <w:szCs w:val="32"/>
          <w14:textFill>
            <w14:solidFill>
              <w14:schemeClr w14:val="tx1"/>
            </w14:solidFill>
          </w14:textFill>
        </w:rPr>
        <w:t>贯彻落实选人用人各项制度规定，严格落实选人用人相关规定，转任了1名干部，对7名干部进行了职级晋升。。2021年财政供养人员控制率为92.86%。</w:t>
      </w:r>
    </w:p>
    <w:bookmarkEnd w:id="3"/>
    <w:bookmarkEnd w:id="4"/>
    <w:p>
      <w:pPr>
        <w:widowControl/>
        <w:shd w:val="clear" w:color="auto" w:fill="FFFFFF"/>
        <w:spacing w:line="360" w:lineRule="auto"/>
        <w:ind w:firstLine="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（二）效率性评价和有效性评价</w:t>
      </w:r>
    </w:p>
    <w:p>
      <w:pPr>
        <w:overflowPunct w:val="0"/>
        <w:spacing w:line="590" w:lineRule="exact"/>
        <w:ind w:firstLine="640" w:firstLineChars="200"/>
        <w:rPr>
          <w:rFonts w:hint="eastAsia" w:ascii="仿宋" w:hAnsi="仿宋" w:eastAsia="仿宋" w:cs="仿宋"/>
          <w:color w:val="000000" w:themeColor="text1"/>
          <w:sz w:val="32"/>
          <w:szCs w:val="32"/>
          <w14:textFill>
            <w14:solidFill>
              <w14:schemeClr w14:val="tx1"/>
            </w14:solidFill>
          </w14:textFill>
        </w:rPr>
      </w:pPr>
      <w:bookmarkStart w:id="5" w:name="_Toc35974578"/>
      <w:r>
        <w:rPr>
          <w:rFonts w:hint="eastAsia" w:ascii="仿宋" w:hAnsi="仿宋" w:eastAsia="仿宋" w:cs="仿宋"/>
          <w:color w:val="000000" w:themeColor="text1"/>
          <w:sz w:val="32"/>
          <w:szCs w:val="32"/>
          <w14:textFill>
            <w14:solidFill>
              <w14:schemeClr w14:val="tx1"/>
            </w14:solidFill>
          </w14:textFill>
        </w:rPr>
        <w:t>1、注重产业融合，长台经济“手牵手”</w:t>
      </w:r>
    </w:p>
    <w:p>
      <w:pPr>
        <w:overflowPunct w:val="0"/>
        <w:spacing w:line="59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搭平台，把资源做活。在疫情影响和两岸关系复杂严峻的情况下，积极开展对台经贸交流，成功主办第2届海峡两岸（长沙）青年企业家融合发展论坛。高质效完成第十五届湘台经贸文化交流合作会长沙市工作任务，市长郑建新在岳麓山论坛上围绕装备制造业作主旨演讲,彭华松常委在长株潭三市产业对接会上作市情推介，市委副书记阚保勇出席湘台会暨论坛开幕式。成功举办“长台两地半导体设备专家线上线下交流会”，吸引台湾高科技人才、技术、项目服务长沙高新技术产业发展。顺利完成长沙市台湾同胞投资企业协会换届工作。</w:t>
      </w:r>
    </w:p>
    <w:p>
      <w:pPr>
        <w:overflowPunct w:val="0"/>
        <w:spacing w:line="59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引项目，把产业做优。从长沙经济社会发展和对台工作实际出发，把对台工作与“三高四新”战略有机结合，积极协助做好我市22条产业链配套企业和项目的对台招商引资工作。今年来，接待来长考察台商30批145人次实地考察，新注册台企41家，投资总额13.08亿人民币。多次跟进兰花种植基地、钛芯科技、康师傅包装、莲花台生态康养等在谈项目4个，投资总额约72亿元人民币。调整思路，2次赴福建沿海地区和珠三角地区考察招商，对接园区、企业18个，抢接台企转移项目。组建在长台商“乡村振兴顾问团”多次赴宁乡东湖塘镇麻山村考察调研，就种养殖业、观光休闲、民宿旅游、餐饮文化等产业进行对接合作，服务全市乡村振兴和十四五规划建设。</w:t>
      </w:r>
    </w:p>
    <w:p>
      <w:pPr>
        <w:pStyle w:val="8"/>
        <w:overflowPunct w:val="0"/>
        <w:spacing w:beforeAutospacing="0" w:afterAutospacing="0" w:line="360" w:lineRule="auto"/>
        <w:ind w:firstLine="646"/>
        <w:jc w:val="both"/>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3）重服务，把政策做实。统筹惠台政策宣导，贯彻落实国台办“农林22条”《关于支持台湾同胞台资企业在大陆农业林业领域发展的若干措施》。扎实开展我为群众办实事活动，全办5个小组全员到各区县（市）走访调研，与86名台企代表、台籍专家座谈，进行“点对点”精准施策，协调解决台企限电限气、减免土地使用税、商标维权、店面续租、设置路标路牌等问题17件，为台胞台生解决入学、就学、升学等教育问题11件，为台企办理货车市内禁区通行证12个，为台生精心匹配提供就业岗位162个等。落实同等待遇，把实现应享尽享作为重中之重，组织台胞接种新冠疫苗800多针次。</w:t>
      </w:r>
    </w:p>
    <w:p>
      <w:pPr>
        <w:overflowPunct w:val="0"/>
        <w:spacing w:line="59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2、注重情感融合，长台民众“亲上亲”</w:t>
      </w:r>
    </w:p>
    <w:p>
      <w:pPr>
        <w:overflowPunct w:val="0"/>
        <w:spacing w:line="59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以健全机制为支撑，画出“同心圆”。“长沙市芙蓉区两岸青年文化产业孵化基地”获批“国家级海峡两岸青年就业创业基地”，成为台湾青年和中小企业来长就业创业的首选服务平台。与市中院共同设立了“长沙市涉台审判法官工作室”，同时在天心区、岳麓区、长沙县法院设立涉台审判法官工作室，全面提升涉台法律服务工作实效。全国首个“长沙市海峡两岸高科技人才交流基地”揭牌成立，吸引数位台湾高科技人才在该基地工作。中部地区首个“长沙台湾青年之家”揭牌成立，推进台湾青年在长实习、就业、创业。</w:t>
      </w:r>
    </w:p>
    <w:p>
      <w:pPr>
        <w:overflowPunct w:val="0"/>
        <w:spacing w:line="59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以维护权益为保障，夯牢“基础桩”。全面贯彻总体国家安全观，扎实开展涉台信访积案“百日攻坚”行动，全力保障建党100周年、两会等重大活动顺利进行。联合湖南弘一律所，开展法律知识讲座1次，为台企“送法上门”服务50余次，为台胞提供免费咨询7起，出具合同评审意见9份、法律意见书4份，帮扶台资企业健康发展。健全多元矛盾纠纷化解机制，衔接调解、仲裁、诉讼等途径，通过仲裁解决案件2起。受理台胞投诉求助、来信来访案件15件，处置涉台突发事件3起，结案率和满意率均达95%以上，有效维护了台胞台属合法权益。妥善办结了中央、省委台办交办的重点案件。</w:t>
      </w:r>
    </w:p>
    <w:p>
      <w:pPr>
        <w:overflowPunct w:val="0"/>
        <w:spacing w:line="59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（3）以加强联络为纽带，架起“民心桥”。丰富对台联络工作资源。关注台海形势，分析岛内政局态势，做好台情研究，编辑《台情摘要》38期。接待新党(中国台湾地区政党)</w:t>
      </w:r>
      <w:bookmarkStart w:id="8" w:name="_GoBack"/>
      <w:bookmarkEnd w:id="8"/>
      <w:r>
        <w:rPr>
          <w:rFonts w:hint="eastAsia" w:ascii="仿宋" w:hAnsi="仿宋" w:eastAsia="仿宋" w:cs="仿宋"/>
          <w:color w:val="000000" w:themeColor="text1"/>
          <w:sz w:val="32"/>
          <w:szCs w:val="32"/>
          <w14:textFill>
            <w14:solidFill>
              <w14:schemeClr w14:val="tx1"/>
            </w14:solidFill>
          </w14:textFill>
        </w:rPr>
        <w:t>前主席郁慕明在长参访加强对台北长沙同乡会的联系和指导，开展与相关人员的餐叙交流活动3次。深入各区县（市）实地走访，整理了2条反映长沙特色的精品联络路线。</w:t>
      </w:r>
    </w:p>
    <w:p>
      <w:pPr>
        <w:overflowPunct w:val="0"/>
        <w:spacing w:line="59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3、注重文化传承，长台交流“心连心”</w:t>
      </w:r>
    </w:p>
    <w:p>
      <w:pPr>
        <w:overflowPunct w:val="0"/>
        <w:spacing w:line="59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讲文化，民间互动“以文强心”。创新交流形式，在岛内8所高校举办分享会，惠及师生600余人。举办以长台文化交流为主旋律的活动4场，“纪念辛亥革命110周年—海峡两岸议辛亥”线上线下交流活动、“翰墨连两岸˙挥毫颂中华”纪念第二次长沙会战胜利80周年线上书画交流活动、“金秋论稻，一脉相承”长台两地稻米文化线上交流活动、侯家塘街道廖家湾社区与台湾基隆市暖同里社区线上交流活动在长台两地同步成功举办，参加活动的两岸民众达800余人。组织在长台生参加法庭观摩活动、参观隆平水稻博物馆、黄兴故居纪念馆、影珠山抗战遗址文化公园等形式的交流活动4次，邀请“在粤台湾青年交流团”一行35人来长参访，开展文化和青年领域的交流活动。</w:t>
      </w:r>
    </w:p>
    <w:p>
      <w:pPr>
        <w:overflowPunct w:val="0"/>
        <w:spacing w:line="59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讲长沙，对台宣传“以文铸魂”。创新方式，组织策划“网红长沙”入岛宣传项目，共剪辑13部微视频拟陆续在台湾电台及新媒体等平台播出。发掘台胞、台商、台青在长创业、工作、生活的精彩故事3个，入编国台办重点宣传项目《湘台融合故事汇》，推荐2个台商创业故事在中央电视台4套《海峡两岸》播出。接待《澳门日报》等20多家涉台澳门媒体来长，参观岳麓书院等处，借船出海，借助澳门媒体进行对台宣传。指导市属媒体按照中央口径进行涉台宣传报道，《璀璨星城》网页上稿3790篇，省委台办官网、湘台炫等采用稿件180篇，对台宣传网页中，信息发布量、点击数、页面浏览量、台湾网民浏览量等排名均全国领先，扩大长沙对台工作影响。</w:t>
      </w:r>
    </w:p>
    <w:p>
      <w:pPr>
        <w:overflowPunct w:val="0"/>
        <w:spacing w:line="59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讲导向，涉台教育“以文增信”。扎实开展涉台教育进学校（党校）、进社区、进机关、进农村、进企业的“五进”活动。到市区（县）党校、社区、学校，开展了15场台海形势报告、涉台知识讲座。各区（县）常委会开展了台海形势专题学习。各学校涉台教育基地扎实开展了“开学第一课”、诗歌朗诵等形式多样的涉台教育活动，约有1万名中小学生接受系统性的涉台教育。4个市级涉台教育基地荣获首批湖南省涉台教育基地。组织了1次覆盖全系统的涉台教育基地业务培训，130多人参训，雨花区委台办等5家代表进行经验交流发言。</w:t>
      </w:r>
    </w:p>
    <w:p>
      <w:pPr>
        <w:overflowPunct w:val="0"/>
        <w:spacing w:line="59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4、注重基础夯实，组织引领“实打实”</w:t>
      </w:r>
    </w:p>
    <w:p>
      <w:pPr>
        <w:overflowPunct w:val="0"/>
        <w:spacing w:line="59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狠抓统筹协调聚合力。坚持党对对台工作的集中统一领导。调整建立完善的对台工作领导小组，自觉服务对台工作大局。市委理论学习中心组专题学习对台工作专题辅导报告。市委常委会2次研究对台工作，听取专题汇报。桂英书记、建新市长、华松常委、拥兵副市长等市领导高度重视，为湘台会长沙市工作调度护航。保勇副书记、小平部长多次调研、走访台资企业，为基地揭牌，在中秋、端午、春节等传统节日慰问台胞台商。</w:t>
      </w:r>
    </w:p>
    <w:p>
      <w:pPr>
        <w:overflowPunct w:val="0"/>
        <w:spacing w:line="590" w:lineRule="exact"/>
        <w:ind w:firstLine="640" w:firstLineChars="200"/>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狠抓思想引领出实招。以“党史学习教育”为统揽，组织干部职工重点学习了习近平总书记“七一”重要讲话和党的十九届六中全会精神，及省、市党代会精神，开展理论学习中心组扩大学习，党员干部撰写学习体会50余篇。深入宣传、解读中央、省、市各项对台政策，切实做意识形态工作的领导者、推动者和执行者，全年没有发生任何意识形态问题。圆满完成巡察组提出的29个问题整改任务。（三）狠抓组织建设办实事。今年4月机关支部被市委组织部认定为“长沙市示范化‘五化’党支部”，6月被市直机关工委评为“先进基层党组织”。深入开展市级文明标兵单位创建工作,将其作为助推对台工作创新发展的重要抓手。严格落实“三会一课”制度。派出1名干部驻点宁乡东湖塘镇麻山村参与乡村振兴建设。在职党员赴银盆岭街道铜盆湖社区等开展主题活动5次，走访慰问活动3次。深入支援社区协助抗疫，发动在长台资企业向社区捐赠物资3次。落实全面从严治党主体责任，重点抓好廉政教育和风险防控，及时开展“纪律就在身边，教训就在眼前”系列警示教育活动2次。</w:t>
      </w:r>
    </w:p>
    <w:p>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（三）持续性评价</w:t>
      </w:r>
    </w:p>
    <w:p>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通过过各种活动的举办，加强两岸经济、文化、教育、科技等方面交流，为两岸搭建互信平台，使更多的台湾同胞拥护和支持两岸关系和平发展，进一步扩大两岸一家亲的民族认同，促进台湾同胞文化认同和国家认同，稳定两岸关系发展，促进两岸的和平统一。</w:t>
      </w:r>
    </w:p>
    <w:p>
      <w:pPr>
        <w:pStyle w:val="2"/>
        <w:spacing w:before="0" w:after="0" w:line="360" w:lineRule="auto"/>
        <w:ind w:firstLine="643"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五、存在的主要问题</w:t>
      </w:r>
      <w:bookmarkEnd w:id="5"/>
    </w:p>
    <w:p>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bookmarkStart w:id="6" w:name="_Toc35974580"/>
      <w:r>
        <w:rPr>
          <w:rFonts w:hint="eastAsia" w:ascii="仿宋" w:hAnsi="仿宋" w:eastAsia="仿宋" w:cs="仿宋"/>
          <w:color w:val="000000" w:themeColor="text1"/>
          <w:sz w:val="32"/>
          <w:szCs w:val="32"/>
          <w14:textFill>
            <w14:solidFill>
              <w14:schemeClr w14:val="tx1"/>
            </w14:solidFill>
          </w14:textFill>
        </w:rPr>
        <w:t>1、预算编制及执行存在偏差</w:t>
      </w:r>
      <w:bookmarkEnd w:id="6"/>
      <w:r>
        <w:rPr>
          <w:rFonts w:hint="eastAsia" w:ascii="仿宋" w:hAnsi="仿宋" w:eastAsia="仿宋" w:cs="仿宋"/>
          <w:color w:val="000000" w:themeColor="text1"/>
          <w:sz w:val="32"/>
          <w:szCs w:val="32"/>
          <w14:textFill>
            <w14:solidFill>
              <w14:schemeClr w14:val="tx1"/>
            </w14:solidFill>
          </w14:textFill>
        </w:rPr>
        <w:t>，政府采购控制率较低。</w:t>
      </w:r>
    </w:p>
    <w:p>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资产管理还需进一步改进。管理员对固定资产管理工作的有关政策和业务流程的了解有待加强。二是由于单位小、人数少，在对固定资产日常管理方面的意识还有待加强。加强对固定资产管理人员、财务人员的培训和管理。增强资产管理人员的责任意识，使资产管理责任和财务管理人员的责任真正落到实处。加强制度建设，健全基础工作，做到定期盘查，对出现的问题及时处理。</w:t>
      </w:r>
    </w:p>
    <w:p>
      <w:pPr>
        <w:pStyle w:val="2"/>
        <w:spacing w:before="0" w:after="0" w:line="360" w:lineRule="auto"/>
        <w:ind w:firstLine="643" w:firstLineChars="200"/>
        <w:rPr>
          <w:rFonts w:hint="eastAsia" w:ascii="仿宋" w:hAnsi="仿宋" w:eastAsia="仿宋" w:cs="仿宋"/>
          <w:color w:val="000000" w:themeColor="text1"/>
          <w:kern w:val="0"/>
          <w:sz w:val="32"/>
          <w:szCs w:val="32"/>
          <w14:textFill>
            <w14:solidFill>
              <w14:schemeClr w14:val="tx1"/>
            </w14:solidFill>
          </w14:textFill>
        </w:rPr>
      </w:pPr>
      <w:bookmarkStart w:id="7" w:name="_Toc35974581"/>
      <w:r>
        <w:rPr>
          <w:rFonts w:hint="eastAsia" w:ascii="仿宋" w:hAnsi="仿宋" w:eastAsia="仿宋" w:cs="仿宋"/>
          <w:color w:val="000000" w:themeColor="text1"/>
          <w:kern w:val="0"/>
          <w:sz w:val="32"/>
          <w:szCs w:val="32"/>
          <w14:textFill>
            <w14:solidFill>
              <w14:schemeClr w14:val="tx1"/>
            </w14:solidFill>
          </w14:textFill>
        </w:rPr>
        <w:t>六、改进措施和有关建议</w:t>
      </w:r>
      <w:bookmarkEnd w:id="7"/>
    </w:p>
    <w:p>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1、提高预算编制精细化，在日常预算执行中加强监督执行。严格年度政府采购预算控制，改变用途按预算调整</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加强制度建设。推进资产管理制度化、规范化进程，建立健全资产配置、使用、处置等配套制度，使资产管理工作严格规范、有法可依、有章可循。结合实际，对资产管理的职责权限、审批程序等作出具体规定，确立单位资产管理工作规程。研究制度本单位各类资产的购置审批制度、资产采购制度、使用管理制度、资产处置审批制度、资产管理岗位奖惩制度等，规范和加强单位内部资产管理工作。</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抓好关键环节。一是严把资产入口关。按照部门预算的要求，进一步推进资产管理与预算管理的有机结合。坚持资产配置与单位履行职能相匹配，制定与预算管理相适应的资产配置标准、配置程序和配置办法，严格资产配置审批。加大对存量资产的调控力度，单位由于人员编制缩减、职能变更等原因长期占用的闲置、低效运转的资产，要调配到亟需的相关处室，盘活存量资产，优化资源配置。二是严把资产使用关。以保障资产安全完整、以提高资产使用效率为重点，落实资产管理责任制，明确资产购置、验收、保管、使用、维护等内部流程和岗位职责，定期盘点资产，做到帐帐相符、帐卡相符、帐实相符，切实改变重购置、轻管理的现状。三是严把资产出口关。资产处置要按规定程序报批，未经报批不得自行处置。坚持按照公开、公平、公正原则进行处置，提高资产处置的透明度。</w:t>
      </w:r>
    </w:p>
    <w:p>
      <w:pPr>
        <w:pStyle w:val="2"/>
        <w:spacing w:before="0" w:after="0" w:line="360" w:lineRule="auto"/>
        <w:ind w:firstLine="643"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七、绩效自评结果拟应用和公开情况其他需要说明的情况</w:t>
      </w:r>
    </w:p>
    <w:p>
      <w:pPr>
        <w:pStyle w:val="5"/>
        <w:ind w:firstLine="640" w:firstLineChars="200"/>
        <w:jc w:val="both"/>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拟应用：绩效自评结果拟应用于考核单位领导和部门的重要依据，</w:t>
      </w:r>
    </w:p>
    <w:p>
      <w:pPr>
        <w:pStyle w:val="5"/>
        <w:ind w:firstLine="560"/>
        <w:jc w:val="both"/>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公开情况：由主管部门组织，并将其结果报市财政局备案，作为附件在预算绩效管理信息系统上传。</w:t>
      </w:r>
    </w:p>
    <w:p>
      <w:pPr>
        <w:widowControl/>
        <w:snapToGrid w:val="0"/>
        <w:spacing w:line="360" w:lineRule="auto"/>
        <w:ind w:firstLine="640" w:firstLineChars="200"/>
        <w:jc w:val="left"/>
        <w:rPr>
          <w:rFonts w:hint="eastAsia" w:ascii="仿宋" w:hAnsi="仿宋" w:eastAsia="仿宋" w:cs="仿宋"/>
          <w:color w:val="000000" w:themeColor="text1"/>
          <w:kern w:val="0"/>
          <w:sz w:val="32"/>
          <w:szCs w:val="32"/>
          <w14:textFill>
            <w14:solidFill>
              <w14:schemeClr w14:val="tx1"/>
            </w14:solidFill>
          </w14:textFill>
        </w:rPr>
      </w:pPr>
    </w:p>
    <w:sectPr>
      <w:footerReference r:id="rId5" w:type="first"/>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pBdr>
        <w:top w:val="none" w:color="auto" w:sz="0" w:space="0"/>
        <w:left w:val="none" w:color="auto" w:sz="0" w:space="0"/>
        <w:bottom w:val="none" w:color="auto" w:sz="0" w:space="0"/>
        <w:right w:val="none" w:color="auto" w:sz="0" w:space="0"/>
      </w:pBdr>
    </w:pPr>
    <w:r>
      <w:rPr>
        <w:rStyle w:val="12"/>
      </w:rPr>
      <w:fldChar w:fldCharType="begin"/>
    </w:r>
    <w:r>
      <w:rPr>
        <w:rStyle w:val="12"/>
      </w:rPr>
      <w:instrText xml:space="preserve">Page</w:instrText>
    </w:r>
    <w:r>
      <w:rPr>
        <w:rStyle w:val="12"/>
      </w:rPr>
      <w:fldChar w:fldCharType="separate"/>
    </w:r>
    <w:r>
      <w:rPr>
        <w:rStyle w:val="12"/>
      </w:rPr>
      <w:t>1</w:t>
    </w:r>
    <w:r>
      <w:rPr>
        <w:rStyle w:val="12"/>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pBdr>
        <w:top w:val="none" w:color="auto" w:sz="0" w:space="0"/>
        <w:left w:val="none" w:color="auto" w:sz="0" w:space="0"/>
        <w:bottom w:val="none" w:color="auto" w:sz="0" w:space="0"/>
        <w:right w:val="none" w:color="auto" w:sz="0" w:space="0"/>
      </w:pBdr>
    </w:pPr>
    <w:r>
      <w:rPr>
        <w:rStyle w:val="12"/>
      </w:rPr>
      <w:fldChar w:fldCharType="begin"/>
    </w:r>
    <w:r>
      <w:rPr>
        <w:rStyle w:val="12"/>
      </w:rPr>
      <w:instrText xml:space="preserve">Page</w:instrText>
    </w:r>
    <w:r>
      <w:rPr>
        <w:rStyle w:val="12"/>
      </w:rPr>
      <w:fldChar w:fldCharType="separate"/>
    </w:r>
    <w:r>
      <w:rPr>
        <w:rStyle w:val="12"/>
      </w:rPr>
      <w:t>1</w:t>
    </w:r>
    <w:r>
      <w:rPr>
        <w:rStyle w:val="12"/>
      </w:rP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pBdr>
        <w:top w:val="none" w:color="auto" w:sz="0" w:space="0"/>
        <w:left w:val="none" w:color="auto" w:sz="0" w:space="0"/>
        <w:bottom w:val="none" w:color="auto" w:sz="0" w:space="0"/>
        <w:right w:val="none" w:color="auto" w:sz="0" w:space="0"/>
      </w:pBdr>
    </w:pPr>
    <w:r>
      <w:rPr>
        <w:rStyle w:val="12"/>
      </w:rPr>
      <w:fldChar w:fldCharType="begin"/>
    </w:r>
    <w:r>
      <w:rPr>
        <w:rStyle w:val="12"/>
      </w:rPr>
      <w:instrText xml:space="preserve">Page</w:instrText>
    </w:r>
    <w:r>
      <w:rPr>
        <w:rStyle w:val="12"/>
      </w:rPr>
      <w:fldChar w:fldCharType="separate"/>
    </w:r>
    <w:r>
      <w:rPr>
        <w:rStyle w:val="12"/>
      </w:rPr>
      <w:t>1</w:t>
    </w:r>
    <w:r>
      <w:rPr>
        <w:rStyle w:val="12"/>
      </w:rPr>
      <w:fldChar w:fldCharType="end"/>
    </w:r>
  </w:p>
  <w:p>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095EF5"/>
    <w:multiLevelType w:val="singleLevel"/>
    <w:tmpl w:val="1B095EF5"/>
    <w:lvl w:ilvl="0" w:tentative="0">
      <w:start w:val="9"/>
      <w:numFmt w:val="chineseCounting"/>
      <w:suff w:val="nothing"/>
      <w:lvlText w:val="%1、"/>
      <w:lvlJc w:val="left"/>
      <w:rPr>
        <w:rFonts w:hint="eastAsia"/>
      </w:rPr>
    </w:lvl>
  </w:abstractNum>
  <w:abstractNum w:abstractNumId="1">
    <w:nsid w:val="79586D1C"/>
    <w:multiLevelType w:val="multilevel"/>
    <w:tmpl w:val="79586D1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NDc5OWNlMzUwNWYxYTVmYWM3ZmM5MWFhNTU3ZWY3N2UifQ=="/>
  </w:docVars>
  <w:rsids>
    <w:rsidRoot w:val="00000000"/>
    <w:rsid w:val="00F75AA7"/>
    <w:rsid w:val="01EB4B94"/>
    <w:rsid w:val="055B364E"/>
    <w:rsid w:val="05EC2829"/>
    <w:rsid w:val="0C093C43"/>
    <w:rsid w:val="17FC511C"/>
    <w:rsid w:val="1CA1755B"/>
    <w:rsid w:val="1CA62DD6"/>
    <w:rsid w:val="294F3951"/>
    <w:rsid w:val="2E825438"/>
    <w:rsid w:val="335531D8"/>
    <w:rsid w:val="33CA6C50"/>
    <w:rsid w:val="383A7043"/>
    <w:rsid w:val="3A8748FC"/>
    <w:rsid w:val="3D475058"/>
    <w:rsid w:val="427E7657"/>
    <w:rsid w:val="46270C93"/>
    <w:rsid w:val="46CB4EBE"/>
    <w:rsid w:val="4D80479B"/>
    <w:rsid w:val="50C62AFB"/>
    <w:rsid w:val="51E664C0"/>
    <w:rsid w:val="53294933"/>
    <w:rsid w:val="56B76B92"/>
    <w:rsid w:val="5C7E649B"/>
    <w:rsid w:val="5EF24C09"/>
    <w:rsid w:val="5EFF0C4F"/>
    <w:rsid w:val="65451561"/>
    <w:rsid w:val="69D22987"/>
    <w:rsid w:val="69EE221E"/>
    <w:rsid w:val="6B5E7BB1"/>
    <w:rsid w:val="6C5354EE"/>
    <w:rsid w:val="6F9717E7"/>
    <w:rsid w:val="71B92EB2"/>
    <w:rsid w:val="72703E94"/>
    <w:rsid w:val="77401939"/>
    <w:rsid w:val="78C80A18"/>
    <w:rsid w:val="79DA0749"/>
    <w:rsid w:val="7CBA76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autoSpaceDE w:val="0"/>
      <w:autoSpaceDN w:val="0"/>
      <w:jc w:val="left"/>
    </w:pPr>
    <w:rPr>
      <w:rFonts w:ascii="宋体" w:hAnsi="宋体" w:eastAsia="宋体" w:cs="宋体"/>
      <w:kern w:val="0"/>
      <w:sz w:val="32"/>
      <w:szCs w:val="32"/>
    </w:rPr>
  </w:style>
  <w:style w:type="paragraph" w:styleId="6">
    <w:name w:val="footer"/>
    <w:basedOn w:val="1"/>
    <w:qFormat/>
    <w:uiPriority w:val="0"/>
    <w:pPr>
      <w:tabs>
        <w:tab w:val="center" w:pos="4153"/>
        <w:tab w:val="right" w:pos="8307"/>
      </w:tabs>
      <w:snapToGrid w:val="0"/>
      <w:jc w:val="left"/>
    </w:pPr>
    <w:rPr>
      <w:sz w:val="18"/>
    </w:rPr>
  </w:style>
  <w:style w:type="paragraph" w:styleId="7">
    <w:name w:val="header"/>
    <w:basedOn w:val="1"/>
    <w:qFormat/>
    <w:uiPriority w:val="0"/>
    <w:pPr>
      <w:pBdr>
        <w:bottom w:val="single" w:color="auto" w:sz="6" w:space="1"/>
      </w:pBdr>
      <w:tabs>
        <w:tab w:val="center" w:pos="4153"/>
        <w:tab w:val="right" w:pos="8307"/>
      </w:tabs>
      <w:snapToGrid w:val="0"/>
      <w:jc w:val="center"/>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rPr>
  </w:style>
  <w:style w:type="character" w:styleId="11">
    <w:name w:val="Strong"/>
    <w:basedOn w:val="10"/>
    <w:qFormat/>
    <w:uiPriority w:val="0"/>
    <w:rPr>
      <w:b/>
    </w:rPr>
  </w:style>
  <w:style w:type="character" w:styleId="12">
    <w:name w:val="page number"/>
    <w:basedOn w:val="10"/>
    <w:qFormat/>
    <w:uiPriority w:val="0"/>
  </w:style>
  <w:style w:type="paragraph" w:customStyle="1" w:styleId="13">
    <w:name w:val="Table Paragraph"/>
    <w:basedOn w:val="1"/>
    <w:qFormat/>
    <w:uiPriority w:val="1"/>
    <w:pPr>
      <w:autoSpaceDE w:val="0"/>
      <w:autoSpaceDN w:val="0"/>
      <w:jc w:val="left"/>
    </w:pPr>
    <w:rPr>
      <w:rFonts w:ascii="宋体" w:hAnsi="宋体" w:eastAsia="宋体" w:cs="宋体"/>
      <w:kern w:val="0"/>
      <w:sz w:val="22"/>
    </w:rPr>
  </w:style>
  <w:style w:type="table" w:customStyle="1" w:styleId="14">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9</Pages>
  <Words>3874</Words>
  <Characters>4384</Characters>
  <Lines>0</Lines>
  <Paragraphs>106</Paragraphs>
  <TotalTime>6</TotalTime>
  <ScaleCrop>false</ScaleCrop>
  <LinksUpToDate>false</LinksUpToDate>
  <CharactersWithSpaces>4397</CharactersWithSpaces>
  <Application>WPS Office_12.1.0.15358_F1E327BC-269C-435d-A152-05C5408002CA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2022-06-21T07:50:00Z</dcterms:created>
  <dc:creator>Administrator</dc:creator>
  <cp:lastModifiedBy>周艳</cp:lastModifiedBy>
  <cp:lastPrinted>2022-06-21T09:38:00Z</cp:lastPrinted>
  <dcterms:modified xsi:type="dcterms:W3CDTF">2024-02-29T06:10:07Z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D7834095CCE349478B4D3FBEFED0482F</vt:lpwstr>
  </property>
</Properties>
</file>