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  <w:bookmarkStart w:id="0" w:name="_GoBack"/>
      <w:r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  <w:t>第五部分</w:t>
      </w:r>
      <w:r>
        <w:rPr>
          <w:rFonts w:hint="default" w:ascii="Times New Roman" w:hAnsi="Times New Roman" w:eastAsia="方正大标宋简体" w:cs="Times New Roman"/>
          <w:color w:val="auto"/>
          <w:sz w:val="60"/>
          <w:szCs w:val="60"/>
          <w:lang w:eastAsia="zh-CN"/>
        </w:rPr>
        <w:t>　</w:t>
      </w:r>
      <w:r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  <w:t>附</w:t>
      </w:r>
      <w:r>
        <w:rPr>
          <w:rFonts w:hint="default" w:ascii="Times New Roman" w:hAnsi="Times New Roman" w:eastAsia="方正大标宋简体" w:cs="Times New Roman"/>
          <w:color w:val="auto"/>
          <w:sz w:val="60"/>
          <w:szCs w:val="60"/>
          <w:lang w:eastAsia="zh-CN"/>
        </w:rPr>
        <w:t>　</w:t>
      </w:r>
      <w:r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  <w:t>件</w:t>
      </w:r>
    </w:p>
    <w:bookmarkEnd w:id="0"/>
    <w:p>
      <w:pPr>
        <w:widowControl/>
        <w:jc w:val="left"/>
        <w:rPr>
          <w:rFonts w:hint="default" w:ascii="Times New Roman" w:hAnsi="Times New Roman" w:eastAsia="黑体" w:cs="Times New Roman"/>
          <w:color w:val="auto"/>
          <w:kern w:val="0"/>
          <w:sz w:val="70"/>
          <w:szCs w:val="7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70"/>
          <w:szCs w:val="70"/>
        </w:rPr>
        <w:br w:type="page"/>
      </w:r>
    </w:p>
    <w:p>
      <w:pPr>
        <w:pStyle w:val="8"/>
        <w:jc w:val="center"/>
        <w:rPr>
          <w:rFonts w:hint="default" w:ascii="Times New Roman" w:hAnsi="Times New Roman" w:eastAsia="方正大标宋简体" w:cs="Times New Roman"/>
          <w:color w:val="auto"/>
          <w:sz w:val="60"/>
          <w:szCs w:val="6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2019年度部门整体支出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为认真做好2020年度部门整体支出绩效自评工作，提高财政资金使用效益和管理水平，根据《关于开展2020年市直单位绩效自评工作的通知》长财绩[2020]1号文件精神，结合实际，现将我单位整体支出绩效自评结果报告如下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一、部门概况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（一）部门基本情况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长沙市退役军人事务局是2019年1月新成立的市政府工作部门，为正处级。按照职责分工及工作需要机关内设9个处室，包括办公室（政策法规处、思想政治权益维护处）、规划财务处、军队转业干部移交安置处、退役士兵移交安置处、就业创业处、军休服务管理处、双拥工作处、优抚和褒扬纪念处、机关党组织（人事处）。机关行政编制33名。截止2019年12月在岗人员为27人（其中：正县1人，副县5人，正科7人，副科9人，科员4人，工勤1人）,另有临聘人员2名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（二）部门整体支出情况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因本单位为2019年新成立，年初无预算安排,资金按照职能转隶主要从市民政局和市人社局划转，部分工作项目经费由市财政局年中追加。全年一般公共预算财政拨款收入7060.60万元，全年收支平衡，无结余。支出主要用于机构建设、退役安置、军队转业干部补助、拥军优抚等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二、部门整体支出管理及使用情况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（一）基本支出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2019年，本部门基本支出完成2247.65万元，占全年总支出的31.83%。</w:t>
      </w:r>
      <w:r>
        <w:rPr>
          <w:rFonts w:hint="eastAsia" w:ascii="仿宋" w:hAnsi="仿宋" w:eastAsia="仿宋"/>
          <w:sz w:val="32"/>
          <w:szCs w:val="22"/>
          <w:lang w:val="zh-CN"/>
        </w:rPr>
        <w:t>人员经费</w:t>
      </w:r>
      <w:r>
        <w:rPr>
          <w:rFonts w:hint="eastAsia" w:ascii="仿宋" w:hAnsi="仿宋" w:eastAsia="仿宋"/>
          <w:sz w:val="32"/>
          <w:szCs w:val="22"/>
        </w:rPr>
        <w:t>完成2171.78万元，人员经费中本单位职工经费304.13万元，军转干部医疗铺底资金1866.92万元；公用</w:t>
      </w:r>
      <w:r>
        <w:rPr>
          <w:rFonts w:hint="eastAsia" w:ascii="仿宋" w:hAnsi="仿宋" w:eastAsia="仿宋"/>
          <w:sz w:val="32"/>
          <w:szCs w:val="22"/>
          <w:lang w:val="zh-CN"/>
        </w:rPr>
        <w:t>经费</w:t>
      </w:r>
      <w:r>
        <w:rPr>
          <w:rFonts w:hint="eastAsia" w:ascii="仿宋" w:hAnsi="仿宋" w:eastAsia="仿宋"/>
          <w:sz w:val="32"/>
          <w:szCs w:val="22"/>
        </w:rPr>
        <w:t>完成72.67万元。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  <w:lang w:val="zh-CN"/>
        </w:rPr>
      </w:pPr>
      <w:r>
        <w:rPr>
          <w:rFonts w:hint="eastAsia" w:ascii="仿宋" w:hAnsi="仿宋" w:eastAsia="仿宋"/>
          <w:sz w:val="32"/>
          <w:szCs w:val="22"/>
        </w:rPr>
        <w:t>（1）“三公”经费支出情况：2019年，“三公”经费完成11.42万元，</w:t>
      </w:r>
      <w:r>
        <w:rPr>
          <w:rFonts w:hint="eastAsia" w:ascii="仿宋" w:hAnsi="仿宋" w:eastAsia="仿宋"/>
          <w:sz w:val="32"/>
          <w:szCs w:val="22"/>
          <w:lang w:val="zh-CN"/>
        </w:rPr>
        <w:t>其中：因公出国（境）费</w:t>
      </w:r>
      <w:r>
        <w:rPr>
          <w:rFonts w:hint="eastAsia" w:ascii="仿宋" w:hAnsi="仿宋" w:eastAsia="仿宋"/>
          <w:sz w:val="32"/>
          <w:szCs w:val="22"/>
        </w:rPr>
        <w:t>3.15万元；</w:t>
      </w:r>
      <w:r>
        <w:rPr>
          <w:rFonts w:hint="eastAsia" w:ascii="仿宋" w:hAnsi="仿宋" w:eastAsia="仿宋"/>
          <w:sz w:val="32"/>
          <w:szCs w:val="22"/>
          <w:lang w:val="zh-CN"/>
        </w:rPr>
        <w:t>公务接待费</w:t>
      </w:r>
      <w:r>
        <w:rPr>
          <w:rFonts w:hint="eastAsia" w:ascii="仿宋" w:hAnsi="仿宋" w:eastAsia="仿宋"/>
          <w:sz w:val="32"/>
          <w:szCs w:val="22"/>
        </w:rPr>
        <w:t>0.62万元；</w:t>
      </w:r>
      <w:r>
        <w:rPr>
          <w:rFonts w:hint="eastAsia" w:ascii="仿宋" w:hAnsi="仿宋" w:eastAsia="仿宋"/>
          <w:sz w:val="32"/>
          <w:szCs w:val="22"/>
          <w:lang w:val="zh-CN"/>
        </w:rPr>
        <w:t>公务用车购置及运行维护费</w:t>
      </w:r>
      <w:r>
        <w:rPr>
          <w:rFonts w:hint="eastAsia" w:ascii="仿宋" w:hAnsi="仿宋" w:eastAsia="仿宋"/>
          <w:sz w:val="32"/>
          <w:szCs w:val="22"/>
        </w:rPr>
        <w:t>完成7.65万元。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（2）会议费支出情况：2019年会议费完成6.54万元。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（3）培训费支出情况：2019年培训费完成5.18万元。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（4）其他对本单位影响较大的支出情况：2019年军转干部医疗铺底资金1866.92万元，占全年基本支出的83%。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（二）项目支出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2019年项目支出4812.95万元，占全年总支出的68.17%。其中其他优抚支出319.36万元，占全年项目支出的6.5%，主要用于企业困难战士医疗救助和临时救助238.57万；军队转业干部安置支出3579.62万元，占全年项目支出的74.37%，主要用于2019年企业军转干部解困资金1359.18万元和自主择业军转干部医疗保险费2003.47万元；其他退役安置支出204.65万元，占全年项目支出的4.25%；其他财政对社会保险基金的补助支出304.98万元，占全年项目支出的6.33%，全部用于2019年随军家属待安置期间生活补助经费；拥军优属支出233.20万元，占全年项目支出的4.85%，主要用于春节、八一慰问部队及军政座谈会经费173.85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三</w:t>
      </w:r>
      <w:r>
        <w:rPr>
          <w:rFonts w:hint="eastAsia" w:ascii="宋体" w:hAnsi="宋体" w:cs="宋体"/>
          <w:sz w:val="32"/>
          <w:szCs w:val="22"/>
        </w:rPr>
        <w:t>、</w:t>
      </w:r>
      <w:r>
        <w:rPr>
          <w:rFonts w:hint="eastAsia" w:ascii="仿宋" w:hAnsi="仿宋" w:eastAsia="仿宋"/>
          <w:sz w:val="32"/>
          <w:szCs w:val="22"/>
        </w:rPr>
        <w:t>部门项目组织实施情况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为防范财务管理风险，规范局机关及局属各单位经济运行活动，在局领导的高度重视下，单位以各级财经政策和党纪党规为依据，参考市级其他部门做法，出台了长沙市退役军人事务局《机关费用支出管理暂行办法》《政府采购暂行办法》《局属事业单位建设项目管理暂行办法》《资产管理暂行办法》。同时为规范系统重要项目建设铺排和大额资金分配使用管理，为人事处制定局“三重一大”决策制度提供建设性意见。机关《内控手册》将于近期完成编制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专项资金指标到达我单位，规财处及时通知相关业务处室，业务处指定专人负责专项资金管理及使用工作，并根据财务制度的规定，制定分配方案，报局（党组会）审批、再由财务处报市财政局将资金分配、下拨至各区县（市）。 专项资金分配合理，项目日常组织管理严谨，项目绩效目标基本完成，资金达到预期目标，资金使用合规，无截留、挪用等现象，资金使用产生良好的社会效益。保障各项服务顺利开展的同时，维护了军人的合法权益，增强了军人的荣誉感、获得感和幸福感，充分彰显了党和政府对他们的关心和关爱，服务对象满意度高,有力促进了国防建设和社会和谐稳定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四</w:t>
      </w:r>
      <w:r>
        <w:rPr>
          <w:rFonts w:hint="eastAsia" w:ascii="宋体" w:hAnsi="宋体" w:cs="宋体"/>
          <w:sz w:val="32"/>
          <w:szCs w:val="22"/>
        </w:rPr>
        <w:t>、</w:t>
      </w:r>
      <w:r>
        <w:rPr>
          <w:rFonts w:hint="eastAsia" w:ascii="仿宋" w:hAnsi="仿宋" w:eastAsia="仿宋"/>
          <w:sz w:val="32"/>
          <w:szCs w:val="22"/>
        </w:rPr>
        <w:t>资产管理情况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本年单位资产合计121.41万元，其中，流动资产0.37万元，占总资产的0.3%；固定资产净值121.04万元，占总资产的99.7%。固定资产原值128.07万元，固定资产累计折旧7.03万元。2019年5月，本单位从市民政局调入一批固定资产，其中通用设备7件，家具6件。共计资产原值48560.34元，折旧3611.23元，资产净值44949.11元。其他资产均为单位成立和新搬地址时购入。所有资产均在用，无处置和收益情况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单位成立之初即出台了《公务车辆管理制度》、《长沙市退役军人事务局政府采购暂行办法》、《长沙市退役军人事务局资产管理暂行办法》，办法对资产的管理进行了明确的分工，所有采购程序均按规定执行，做到了账实相符，账账相符。2020年3月单位又出台了《长沙市退役军人事务局国有资产处置暂行规定》，进一步规范机关及局属单位的资产管理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五</w:t>
      </w:r>
      <w:r>
        <w:rPr>
          <w:rFonts w:hint="eastAsia" w:ascii="宋体" w:hAnsi="宋体" w:cs="宋体"/>
          <w:sz w:val="32"/>
          <w:szCs w:val="22"/>
        </w:rPr>
        <w:t>、</w:t>
      </w:r>
      <w:r>
        <w:rPr>
          <w:rFonts w:hint="eastAsia" w:ascii="仿宋" w:hAnsi="仿宋" w:eastAsia="仿宋"/>
          <w:sz w:val="32"/>
          <w:szCs w:val="22"/>
        </w:rPr>
        <w:t>部门整体支出绩效情况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2019年，单位履职尽责，强化管理，较好的完成了年度工作目标。单位重视内部管理制度建设及监督，遵守财务规章制度，对经费审批有明确的规定，正确组织资金的调度和使用。各项经费支出严格按流程把关。1.经济性：切实做好厉行节约工作，努力降低行政成本。严格“三公</w:t>
      </w:r>
      <w:r>
        <w:rPr>
          <w:rFonts w:ascii="仿宋" w:hAnsi="仿宋" w:eastAsia="仿宋"/>
          <w:sz w:val="32"/>
          <w:szCs w:val="22"/>
        </w:rPr>
        <w:t>”</w:t>
      </w:r>
      <w:r>
        <w:rPr>
          <w:rFonts w:hint="eastAsia" w:ascii="仿宋" w:hAnsi="仿宋" w:eastAsia="仿宋"/>
          <w:sz w:val="32"/>
          <w:szCs w:val="22"/>
        </w:rPr>
        <w:t>经费和会议费、培训费审核审批程序。2.效率性：专项资金报批程序严格，拨付及时，使用效率较高，服务对象满意。3.有效性：有力维护了军人的合法权益，生活待遇得到有效落实，退役军人的获得感进一步增强，产生了很好的社会效益。4.可持续性：市、区县市全面成立退役军人事务局（处）。市、县、乡、村四级成立退役军人服务“两中心两站”1751个，覆盖面达100%。从中央资金到区县财政配套资金确保了项目稳定可持续发展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六</w:t>
      </w:r>
      <w:r>
        <w:rPr>
          <w:rFonts w:hint="eastAsia" w:ascii="宋体" w:hAnsi="宋体" w:cs="宋体"/>
          <w:sz w:val="32"/>
          <w:szCs w:val="22"/>
        </w:rPr>
        <w:t>、</w:t>
      </w:r>
      <w:r>
        <w:rPr>
          <w:rFonts w:hint="eastAsia" w:ascii="仿宋" w:hAnsi="仿宋" w:eastAsia="仿宋"/>
          <w:sz w:val="32"/>
          <w:szCs w:val="22"/>
        </w:rPr>
        <w:t>存在的主要问题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新部门成立，因资金量大，项目多。相关的项目管理制度有待进一步规范和细化。对区县项目资金的日常检查监督还有待加强。对所属二级单位的资产还未进行过系统的盘查。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七</w:t>
      </w:r>
      <w:r>
        <w:rPr>
          <w:rFonts w:hint="eastAsia" w:ascii="宋体" w:hAnsi="宋体" w:cs="宋体"/>
          <w:sz w:val="32"/>
          <w:szCs w:val="22"/>
        </w:rPr>
        <w:t>、</w:t>
      </w:r>
      <w:r>
        <w:rPr>
          <w:rFonts w:hint="eastAsia" w:ascii="仿宋" w:hAnsi="仿宋" w:eastAsia="仿宋"/>
          <w:sz w:val="32"/>
          <w:szCs w:val="22"/>
        </w:rPr>
        <w:t>改进措施和有关建议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1.抓紧建立专项资金管理制度，对下拨区县的专项资金的使用情况进行定期检查。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2.对局属单位的资产进行一次全面盘点。将每个入账资产进行喷码标识，明确到每个使用人，增强使用人对资产的管理，进一步完善资产管理制度。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 xml:space="preserve"> 3.对相关人员加强培训，规范部门预算收支核算，切实提高部门预算收支管理水平。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2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588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1"/>
    <w:family w:val="swiss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NxeOVFQIAABUEAAAOAAAAZHJz&#10;L2Uyb0RvYy54bWytU82O0zAQviPxDpbvNGkRq6pquiq7KkKq2JUK4uw6ThPJf7LdJuUB4A04ceHO&#10;c/U5+OwkXQScEBdn4pn5Zuabz8vbTklyEs43Rhd0OskpEZqbstGHgn54v3kxp8QHpksmjRYFPQtP&#10;b1fPny1buxAzUxtZCkcAov2itQWtQ7CLLPO8For5ibFCw1kZp1jArztkpWMt0JXMZnl+k7XGldYZ&#10;LrzH7X3vpKuEX1WCh4eq8iIQWVD0FtLp0rmPZ7ZassXBMVs3fGiD/UMXijUaRa9Q9ywwcnTNH1Cq&#10;4c54U4UJNyozVdVwkWbANNP8t2l2NbMizQJyvL3S5P8fLH93enSkKbE70KOZwo4uX79cvv24fP9M&#10;cAeCWusXiNtZRIbutekQPN57XMa5u8qp+MVEBH5gna/0ii4QHpPms/k8h4vDN/4AP3tKt86HN8Io&#10;Eo2COuwv0cpOWx/60DEkVtNm00iZdig1aQt68/JVnhKuHoBLjRpxiL7ZaIVu3w2T7U15xmDO9Nrw&#10;lm8aFN8yHx6ZgxjQMAQeHnBU0qCIGSxKauM+/e0+xmNH8FLSQlwF1VA/JfKtxu4AGEbDjcZ+NPRR&#10;3RmodYqHY3kykeCCHM3KGfURql/HGnAxzVGpoGE070IvcLwaLtbrFHS0rjnUfQKUZ1nY6p3lsUwk&#10;0tv1MYDMxHEkqGdl4A3aS1sa3kkU96//KerpNa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NxeOV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22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bXR6Eg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qaUaKawo8vXL5dvPy7fPxPo&#10;AFBr/QJ+OwvP0L02HZxHvYcyzt1VTsUbExHYAfX5Cq/oAuExaD6bz3OYOGzjA/mzp3DrfHgjjCJR&#10;KKjD/hKs7LT1oXcdXWI1bTaNlGmHUpO2oDcvX+Up4GpBcqlRIw7RNxul0O27YbK9Kc8YzJmeG97y&#10;TYPiW+bDI3MgAxoGwcMDjkoaFDGDRElt3Ke/6aM/dgQrJS3IVVAN9lMi32rsLvJwFNwo7EdBH9Wd&#10;AVuxDvSSRAS4IEexckZ9BOvXsQZMTHNUKmgYxbvQExy/hov1OjkdrWsOdR8A5lkWtnpneSwTgfR2&#10;fQwAM2EcAepRGXAD99KWhn8Syf3rO3k9/eb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DP&#10;bXR6EgIAABU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22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481B"/>
    <w:rsid w:val="7FB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方正小标宋简体" w:eastAsia="方正大标宋简体"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2021-03-11T15:18:00Z</dcterms:created>
  <dc:creator>kylin</dc:creator>
  <cp:lastModifiedBy>kylin</cp:lastModifiedBy>
  <dcterms:modified xsi:type="dcterms:W3CDTF">2021-03-11T15:18:34Z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2052-10.8.0.6809</vt:lpwstr>
  </property>
</Properties>
</file>