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20" w:lineRule="exact"/>
        <w:jc w:val="center"/>
        <w:rPr>
          <w:rFonts w:ascii="方正小标宋简体" w:hAnsi="仿宋" w:eastAsia="方正小标宋简体" w:cs="仿宋"/>
          <w:bCs/>
          <w:sz w:val="44"/>
          <w:szCs w:val="44"/>
        </w:rPr>
      </w:pPr>
    </w:p>
    <w:p>
      <w:pPr>
        <w:spacing w:line="620" w:lineRule="exact"/>
        <w:jc w:val="center"/>
        <w:rPr>
          <w:rFonts w:ascii="方正小标宋简体" w:hAnsi="仿宋" w:eastAsia="方正小标宋简体" w:cs="仿宋"/>
          <w:bCs/>
          <w:sz w:val="44"/>
          <w:szCs w:val="44"/>
        </w:rPr>
      </w:pPr>
    </w:p>
    <w:p>
      <w:pPr>
        <w:spacing w:line="620" w:lineRule="exact"/>
        <w:jc w:val="center"/>
        <w:rPr>
          <w:rFonts w:ascii="方正小标宋简体" w:hAnsi="仿宋" w:eastAsia="方正小标宋简体" w:cs="仿宋"/>
          <w:bCs/>
          <w:sz w:val="44"/>
          <w:szCs w:val="44"/>
        </w:rPr>
      </w:pPr>
    </w:p>
    <w:p>
      <w:pPr>
        <w:spacing w:line="620" w:lineRule="exact"/>
        <w:jc w:val="center"/>
        <w:rPr>
          <w:rFonts w:ascii="方正小标宋简体" w:hAnsi="仿宋" w:eastAsia="方正小标宋简体" w:cs="仿宋"/>
          <w:bCs/>
          <w:sz w:val="44"/>
          <w:szCs w:val="44"/>
        </w:rPr>
      </w:pPr>
    </w:p>
    <w:p>
      <w:pPr>
        <w:spacing w:line="620" w:lineRule="exact"/>
        <w:jc w:val="center"/>
        <w:rPr>
          <w:rFonts w:ascii="方正小标宋简体" w:hAnsi="仿宋" w:eastAsia="方正小标宋简体" w:cs="仿宋"/>
          <w:bCs/>
          <w:sz w:val="44"/>
          <w:szCs w:val="44"/>
        </w:rPr>
      </w:pPr>
      <w:r>
        <w:rPr>
          <w:rFonts w:hint="eastAsia" w:ascii="方正小标宋简体" w:hAnsi="仿宋" w:eastAsia="方正小标宋简体" w:cs="仿宋"/>
          <w:bCs/>
          <w:sz w:val="44"/>
          <w:szCs w:val="44"/>
        </w:rPr>
        <w:t>2021年度长沙市退役军人服务中心整体支出</w:t>
      </w:r>
    </w:p>
    <w:p>
      <w:pPr>
        <w:spacing w:line="620" w:lineRule="exact"/>
        <w:jc w:val="center"/>
        <w:rPr>
          <w:rFonts w:ascii="方正小标宋简体" w:hAnsi="仿宋" w:eastAsia="方正小标宋简体" w:cs="仿宋"/>
          <w:bCs/>
          <w:sz w:val="44"/>
          <w:szCs w:val="44"/>
        </w:rPr>
      </w:pPr>
      <w:r>
        <w:rPr>
          <w:rFonts w:hint="eastAsia" w:ascii="方正小标宋简体" w:hAnsi="仿宋" w:eastAsia="方正小标宋简体" w:cs="仿宋"/>
          <w:bCs/>
          <w:sz w:val="44"/>
          <w:szCs w:val="44"/>
        </w:rPr>
        <w:t>绩效自评报告</w:t>
      </w:r>
    </w:p>
    <w:p>
      <w:pPr>
        <w:pStyle w:val="11"/>
        <w:spacing w:line="620" w:lineRule="exact"/>
        <w:ind w:firstLine="880"/>
        <w:rPr>
          <w:rFonts w:ascii="方正小标宋简体" w:hAnsi="仿宋" w:eastAsia="方正小标宋简体" w:cs="仿宋"/>
          <w:bCs/>
          <w:sz w:val="44"/>
          <w:szCs w:val="44"/>
        </w:rPr>
      </w:pPr>
    </w:p>
    <w:p>
      <w:pPr>
        <w:pStyle w:val="11"/>
        <w:spacing w:line="620" w:lineRule="exact"/>
        <w:ind w:firstLine="880"/>
        <w:rPr>
          <w:rFonts w:ascii="方正小标宋简体" w:hAnsi="仿宋" w:eastAsia="方正小标宋简体" w:cs="仿宋"/>
          <w:bCs/>
          <w:sz w:val="44"/>
          <w:szCs w:val="44"/>
        </w:rPr>
      </w:pPr>
    </w:p>
    <w:p>
      <w:pPr>
        <w:pStyle w:val="11"/>
        <w:spacing w:line="620" w:lineRule="exact"/>
        <w:ind w:firstLine="880"/>
        <w:rPr>
          <w:rFonts w:ascii="方正小标宋简体" w:hAnsi="仿宋" w:eastAsia="方正小标宋简体" w:cs="仿宋"/>
          <w:bCs/>
          <w:sz w:val="44"/>
          <w:szCs w:val="44"/>
        </w:rPr>
      </w:pPr>
    </w:p>
    <w:p>
      <w:pPr>
        <w:pStyle w:val="11"/>
        <w:spacing w:line="620" w:lineRule="exact"/>
        <w:ind w:firstLine="880"/>
        <w:rPr>
          <w:rFonts w:ascii="方正小标宋简体" w:hAnsi="仿宋" w:eastAsia="方正小标宋简体" w:cs="仿宋"/>
          <w:bCs/>
          <w:sz w:val="44"/>
          <w:szCs w:val="44"/>
        </w:rPr>
      </w:pPr>
    </w:p>
    <w:p>
      <w:pPr>
        <w:pStyle w:val="11"/>
        <w:spacing w:line="620" w:lineRule="exact"/>
        <w:ind w:firstLine="880"/>
        <w:rPr>
          <w:rFonts w:ascii="方正小标宋简体" w:hAnsi="仿宋" w:eastAsia="方正小标宋简体" w:cs="仿宋"/>
          <w:bCs/>
          <w:sz w:val="44"/>
          <w:szCs w:val="44"/>
        </w:rPr>
      </w:pPr>
    </w:p>
    <w:p>
      <w:pPr>
        <w:pStyle w:val="11"/>
        <w:spacing w:line="620" w:lineRule="exact"/>
        <w:ind w:firstLine="880"/>
        <w:rPr>
          <w:rFonts w:ascii="方正小标宋简体" w:hAnsi="仿宋" w:eastAsia="方正小标宋简体" w:cs="仿宋"/>
          <w:bCs/>
          <w:sz w:val="44"/>
          <w:szCs w:val="44"/>
        </w:rPr>
      </w:pPr>
    </w:p>
    <w:p>
      <w:pPr>
        <w:pStyle w:val="11"/>
        <w:spacing w:line="620" w:lineRule="exact"/>
        <w:ind w:firstLine="880"/>
        <w:rPr>
          <w:rFonts w:ascii="方正小标宋简体" w:hAnsi="仿宋" w:eastAsia="方正小标宋简体" w:cs="仿宋"/>
          <w:bCs/>
          <w:sz w:val="44"/>
          <w:szCs w:val="44"/>
        </w:rPr>
      </w:pPr>
    </w:p>
    <w:p>
      <w:pPr>
        <w:pStyle w:val="11"/>
        <w:spacing w:line="620" w:lineRule="exact"/>
        <w:ind w:firstLine="880"/>
        <w:rPr>
          <w:rFonts w:ascii="方正小标宋简体" w:hAnsi="仿宋" w:eastAsia="方正小标宋简体" w:cs="仿宋"/>
          <w:bCs/>
          <w:sz w:val="44"/>
          <w:szCs w:val="44"/>
        </w:rPr>
      </w:pPr>
    </w:p>
    <w:p>
      <w:pPr>
        <w:pStyle w:val="11"/>
        <w:spacing w:line="620" w:lineRule="exact"/>
        <w:ind w:firstLine="880"/>
        <w:jc w:val="center"/>
        <w:rPr>
          <w:rFonts w:ascii="方正小标宋简体" w:hAnsi="仿宋" w:eastAsia="方正小标宋简体" w:cs="仿宋"/>
          <w:bCs/>
          <w:sz w:val="44"/>
          <w:szCs w:val="44"/>
        </w:rPr>
      </w:pPr>
    </w:p>
    <w:p>
      <w:pPr>
        <w:pStyle w:val="11"/>
        <w:spacing w:line="620" w:lineRule="exact"/>
        <w:ind w:firstLine="880"/>
        <w:jc w:val="center"/>
        <w:rPr>
          <w:rFonts w:ascii="方正小标宋简体" w:hAnsi="仿宋" w:eastAsia="方正小标宋简体" w:cs="仿宋"/>
          <w:bCs/>
          <w:sz w:val="44"/>
          <w:szCs w:val="44"/>
        </w:rPr>
      </w:pPr>
    </w:p>
    <w:p>
      <w:pPr>
        <w:pStyle w:val="11"/>
        <w:spacing w:line="620" w:lineRule="exact"/>
        <w:ind w:firstLine="2249" w:firstLineChars="700"/>
        <w:jc w:val="both"/>
        <w:rPr>
          <w:rFonts w:hint="eastAsia" w:asciiTheme="majorEastAsia" w:hAnsiTheme="majorEastAsia" w:eastAsiaTheme="majorEastAsia" w:cstheme="majorEastAsia"/>
          <w:b/>
          <w:kern w:val="2"/>
          <w:sz w:val="32"/>
          <w:szCs w:val="32"/>
        </w:rPr>
      </w:pPr>
      <w:r>
        <w:rPr>
          <w:rFonts w:hint="eastAsia" w:asciiTheme="majorEastAsia" w:hAnsiTheme="majorEastAsia" w:eastAsiaTheme="majorEastAsia" w:cstheme="majorEastAsia"/>
          <w:b/>
          <w:kern w:val="2"/>
          <w:sz w:val="32"/>
          <w:szCs w:val="32"/>
        </w:rPr>
        <w:t>长沙市退役军人服务中心</w:t>
      </w:r>
    </w:p>
    <w:p>
      <w:pPr>
        <w:pStyle w:val="11"/>
        <w:spacing w:line="620" w:lineRule="exact"/>
        <w:ind w:firstLine="643"/>
        <w:jc w:val="center"/>
        <w:rPr>
          <w:rFonts w:hint="eastAsia" w:asciiTheme="majorEastAsia" w:hAnsiTheme="majorEastAsia" w:eastAsiaTheme="majorEastAsia" w:cstheme="majorEastAsia"/>
          <w:b/>
          <w:kern w:val="2"/>
          <w:sz w:val="32"/>
          <w:szCs w:val="32"/>
        </w:rPr>
      </w:pPr>
    </w:p>
    <w:p>
      <w:pPr>
        <w:pStyle w:val="11"/>
        <w:spacing w:line="620" w:lineRule="exact"/>
        <w:ind w:firstLine="643"/>
        <w:rPr>
          <w:rFonts w:asciiTheme="majorEastAsia" w:hAnsiTheme="majorEastAsia" w:eastAsiaTheme="majorEastAsia" w:cstheme="majorEastAsia"/>
          <w:b/>
          <w:sz w:val="32"/>
          <w:szCs w:val="32"/>
        </w:rPr>
      </w:pPr>
    </w:p>
    <w:p>
      <w:pPr>
        <w:pStyle w:val="11"/>
        <w:spacing w:line="620" w:lineRule="exact"/>
        <w:ind w:firstLine="643"/>
        <w:rPr>
          <w:rFonts w:asciiTheme="majorEastAsia" w:hAnsiTheme="majorEastAsia" w:eastAsiaTheme="majorEastAsia" w:cstheme="majorEastAsia"/>
          <w:b/>
          <w:sz w:val="32"/>
          <w:szCs w:val="32"/>
        </w:rPr>
      </w:pPr>
    </w:p>
    <w:p>
      <w:pPr>
        <w:pStyle w:val="11"/>
        <w:spacing w:line="620" w:lineRule="exact"/>
        <w:ind w:firstLine="643"/>
        <w:rPr>
          <w:rFonts w:asciiTheme="majorEastAsia" w:hAnsiTheme="majorEastAsia" w:eastAsiaTheme="majorEastAsia" w:cstheme="majorEastAsia"/>
          <w:b/>
          <w:sz w:val="32"/>
          <w:szCs w:val="32"/>
        </w:rPr>
      </w:pPr>
    </w:p>
    <w:p>
      <w:pPr>
        <w:pStyle w:val="11"/>
        <w:spacing w:line="620" w:lineRule="exact"/>
        <w:ind w:firstLine="643"/>
        <w:rPr>
          <w:rFonts w:asciiTheme="majorEastAsia" w:hAnsiTheme="majorEastAsia" w:eastAsiaTheme="majorEastAsia" w:cstheme="majorEastAsia"/>
          <w:b/>
          <w:sz w:val="32"/>
          <w:szCs w:val="32"/>
        </w:rPr>
      </w:pPr>
    </w:p>
    <w:p>
      <w:pPr>
        <w:pStyle w:val="11"/>
        <w:spacing w:line="620" w:lineRule="exact"/>
        <w:ind w:firstLine="643"/>
        <w:rPr>
          <w:rFonts w:asciiTheme="majorEastAsia" w:hAnsiTheme="majorEastAsia" w:eastAsiaTheme="majorEastAsia" w:cstheme="majorEastAsia"/>
          <w:b/>
          <w:sz w:val="32"/>
          <w:szCs w:val="32"/>
        </w:rPr>
      </w:pPr>
    </w:p>
    <w:p>
      <w:pPr>
        <w:spacing w:line="640" w:lineRule="exact"/>
        <w:ind w:firstLine="640" w:firstLineChars="200"/>
        <w:rPr>
          <w:rFonts w:ascii="黑体" w:hAnsi="黑体" w:eastAsia="黑体"/>
          <w:b w:val="0"/>
          <w:bCs w:val="0"/>
          <w:sz w:val="32"/>
          <w:szCs w:val="32"/>
        </w:rPr>
      </w:pPr>
      <w:r>
        <w:rPr>
          <w:rFonts w:hint="eastAsia" w:ascii="黑体" w:hAnsi="黑体" w:eastAsia="黑体"/>
          <w:b w:val="0"/>
          <w:bCs w:val="0"/>
          <w:sz w:val="32"/>
          <w:szCs w:val="32"/>
        </w:rPr>
        <w:t>一、部门概况</w:t>
      </w:r>
    </w:p>
    <w:p>
      <w:pPr>
        <w:spacing w:line="640" w:lineRule="exact"/>
        <w:ind w:left="420" w:leftChars="200" w:firstLine="0" w:firstLineChars="0"/>
        <w:rPr>
          <w:rFonts w:hint="eastAsia" w:ascii="楷体" w:hAnsi="楷体" w:eastAsia="楷体" w:cs="楷体"/>
          <w:b/>
          <w:bCs/>
          <w:sz w:val="32"/>
          <w:szCs w:val="32"/>
        </w:rPr>
      </w:pPr>
      <w:r>
        <w:rPr>
          <w:rFonts w:hint="eastAsia" w:ascii="楷体" w:hAnsi="楷体" w:eastAsia="楷体" w:cs="楷体"/>
          <w:b/>
          <w:bCs/>
          <w:sz w:val="32"/>
          <w:szCs w:val="32"/>
        </w:rPr>
        <w:t>（一）部门基本情况</w:t>
      </w:r>
    </w:p>
    <w:p>
      <w:pPr>
        <w:snapToGrid w:val="0"/>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1.主要职能</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指导县级退役军人服务中心业务；（2）协助做好退役军人组织关系、行政关系、供给关系转接工作。配合组织部门和基层党组织做好退役军人党员教育管理服务工作；（3）协助做好退役军人和其他优抚对象来访接待、来信办理、网上信访、电话信访工作，上级领导、部门交办的信访事项，以及政策解答、权益咨询、心理疏导、法律服务和涉退役军人舆情的收集、引导等工作；（4）收集统计全市退役军人就业创业信息、分析就业创业形势，提供退役军人就业创业政策咨询、解答、宣传工作；协助做好就业创业指导、帮扶、职业介绍、信息发布等服务，承办退役军人招聘会、推介会等；协助做好全市退役军人职业教育和技能培训；（5）收集全市生活存在特殊困难的退役军人和其他优抚对象基本情况，配合行政部门做好帮扶援助等工作；（6）协助做好自主择业军转干部、企业军转干部、企业复原老战士、军属、烈属、伤病残军人、带病返乡退役军人服务等事业性工作；（7）协助开展全市退役军人和其他优抚对象信息数据采集、资料管理、汇总分析和报送等工作；及时向行政部门反馈情况信息、提供决策参考；（8）完成市退役军人事务局交办的其他事业性工作。</w:t>
      </w:r>
    </w:p>
    <w:p>
      <w:pPr>
        <w:snapToGrid w:val="0"/>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2.机构情况</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2020年2月14日，市委编办下文，明确长沙市退役军人服务中心（以下简称为“中心”）为长沙市退役军人事务局（以下简称“局机关”）所属副处级公益一类事业单位，内设5个正科级</w:t>
      </w:r>
      <w:r>
        <w:rPr>
          <w:rFonts w:hint="eastAsia" w:ascii="仿宋_GB2312" w:hAnsi="仿宋" w:eastAsia="仿宋_GB2312" w:cs="仿宋"/>
          <w:sz w:val="32"/>
          <w:szCs w:val="32"/>
          <w:lang w:eastAsia="zh-CN"/>
        </w:rPr>
        <w:t>部门</w:t>
      </w:r>
      <w:bookmarkStart w:id="1" w:name="_GoBack"/>
      <w:bookmarkEnd w:id="1"/>
      <w:r>
        <w:rPr>
          <w:rFonts w:hint="eastAsia" w:ascii="仿宋_GB2312" w:hAnsi="仿宋" w:eastAsia="仿宋_GB2312" w:cs="仿宋"/>
          <w:sz w:val="32"/>
          <w:szCs w:val="32"/>
        </w:rPr>
        <w:t>：综合管理部、信访接待部、职业培训部、待遇保障部、信息档案部。</w:t>
      </w:r>
    </w:p>
    <w:p>
      <w:pPr>
        <w:snapToGrid w:val="0"/>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3.人员情况</w:t>
      </w:r>
    </w:p>
    <w:p>
      <w:pPr>
        <w:spacing w:line="64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核定全额拨款事业编制23名。截止2021年12月31日在岗人员19人，退休人员11人。较上年在岗人员减少2人，退休人员增加1人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2021年度</w:t>
      </w:r>
      <w:r>
        <w:rPr>
          <w:rFonts w:hint="eastAsia" w:ascii="仿宋_GB2312" w:hAnsi="仿宋" w:eastAsia="仿宋_GB2312" w:cs="仿宋"/>
          <w:sz w:val="32"/>
          <w:szCs w:val="32"/>
        </w:rPr>
        <w:t>1人调出1人退休</w:t>
      </w:r>
      <w:r>
        <w:rPr>
          <w:rFonts w:hint="eastAsia" w:ascii="仿宋_GB2312" w:hAnsi="仿宋" w:eastAsia="仿宋_GB2312" w:cs="仿宋"/>
          <w:sz w:val="32"/>
          <w:szCs w:val="32"/>
          <w:lang w:eastAsia="zh-CN"/>
        </w:rPr>
        <w:t>）。</w:t>
      </w:r>
    </w:p>
    <w:p>
      <w:pPr>
        <w:spacing w:line="64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（二）部门整体支出规模、使用方向和主要内容、涉及范围</w:t>
      </w:r>
    </w:p>
    <w:p>
      <w:pPr>
        <w:snapToGrid w:val="0"/>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1.预算批复</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中心2021年预算批复为711.62万元，其中:基本支出600.50万元，项目支出111.12万元，无公共项目。我中心是2021年纳入预算的单位，2020年初无预算，2020年12月底因为2020年度各项奖励提前发放，中心出现经费缺口</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为保证中心正常运转，财政追加安排了70.68万元用于发放中心2020年度文明城市奖。故本年预算是较上年增加640.94万元，主要因为中心2020年没有纳入财政预算管理所致。</w:t>
      </w:r>
    </w:p>
    <w:p>
      <w:pPr>
        <w:snapToGrid w:val="0"/>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2.到位情况</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2021年一般公共预算财政拨款711.62万元，全部到位。预算到位率100%。</w:t>
      </w:r>
    </w:p>
    <w:p>
      <w:pPr>
        <w:snapToGrid w:val="0"/>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资金使用情况</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2021年支出总额为661.58万元，其中：基本支出为554.70万元，占总支出83.84%；项目支出106.87万元，占总支出16.15%。</w:t>
      </w:r>
    </w:p>
    <w:p>
      <w:pPr>
        <w:snapToGrid w:val="0"/>
        <w:spacing w:line="64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4．支出与预算对比分析</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2021年部门预算总金额711.62万元，实际支出661.58万元，差额为50.04万元，其中：（1）基本支出554.70万元，较年初预算减少45.80万元，主要是因为2021年预算编制时人员按21人计算，2021年四名同志调入长沙市军供站，经市财政局批准，该四名同志的人员经费和公用经费划转至长沙市军供站</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（2）项目支出106.87万元，较年初预算节约4.24万元，主要是厉行节约，减少不必要的开支，退役军人服务专项工作经费减少所致。详见下表：（单位：万元）</w:t>
      </w:r>
    </w:p>
    <w:tbl>
      <w:tblPr>
        <w:tblStyle w:val="13"/>
        <w:tblpPr w:leftFromText="180" w:rightFromText="180" w:vertAnchor="text" w:horzAnchor="page" w:tblpX="1585" w:tblpY="59"/>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1726"/>
        <w:gridCol w:w="1467"/>
        <w:gridCol w:w="1862"/>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5" w:type="dxa"/>
            <w:noWrap/>
          </w:tcPr>
          <w:p>
            <w:pPr>
              <w:pStyle w:val="10"/>
              <w:widowControl/>
              <w:spacing w:line="120" w:lineRule="auto"/>
              <w:ind w:firstLine="480" w:firstLineChars="200"/>
              <w:rPr>
                <w:shd w:val="clear" w:color="auto" w:fill="FFFFFF"/>
              </w:rPr>
            </w:pPr>
            <w:r>
              <w:rPr>
                <w:rFonts w:hint="eastAsia"/>
                <w:shd w:val="clear" w:color="auto" w:fill="FFFFFF"/>
              </w:rPr>
              <w:t>项目</w:t>
            </w:r>
          </w:p>
        </w:tc>
        <w:tc>
          <w:tcPr>
            <w:tcW w:w="1726" w:type="dxa"/>
            <w:noWrap/>
          </w:tcPr>
          <w:p>
            <w:pPr>
              <w:pStyle w:val="10"/>
              <w:widowControl/>
              <w:spacing w:line="120" w:lineRule="auto"/>
              <w:jc w:val="center"/>
              <w:rPr>
                <w:shd w:val="clear" w:color="auto" w:fill="FFFFFF"/>
              </w:rPr>
            </w:pPr>
            <w:r>
              <w:rPr>
                <w:rFonts w:hint="eastAsia"/>
                <w:shd w:val="clear" w:color="auto" w:fill="FFFFFF"/>
              </w:rPr>
              <w:t>年初预算数</w:t>
            </w:r>
          </w:p>
          <w:p>
            <w:pPr>
              <w:pStyle w:val="10"/>
              <w:widowControl/>
              <w:spacing w:line="120" w:lineRule="auto"/>
              <w:jc w:val="center"/>
              <w:rPr>
                <w:shd w:val="clear" w:color="auto" w:fill="FFFFFF"/>
              </w:rPr>
            </w:pPr>
            <w:r>
              <w:rPr>
                <w:rFonts w:hint="eastAsia"/>
                <w:shd w:val="clear" w:color="auto" w:fill="FFFFFF"/>
              </w:rPr>
              <w:t>(1)</w:t>
            </w:r>
          </w:p>
        </w:tc>
        <w:tc>
          <w:tcPr>
            <w:tcW w:w="1467" w:type="dxa"/>
            <w:noWrap/>
          </w:tcPr>
          <w:p>
            <w:pPr>
              <w:pStyle w:val="10"/>
              <w:widowControl/>
              <w:spacing w:line="120" w:lineRule="auto"/>
              <w:jc w:val="center"/>
              <w:rPr>
                <w:shd w:val="clear" w:color="auto" w:fill="FFFFFF"/>
              </w:rPr>
            </w:pPr>
            <w:r>
              <w:rPr>
                <w:rFonts w:hint="eastAsia"/>
                <w:shd w:val="clear" w:color="auto" w:fill="FFFFFF"/>
              </w:rPr>
              <w:t>决算数</w:t>
            </w:r>
          </w:p>
          <w:p>
            <w:pPr>
              <w:pStyle w:val="10"/>
              <w:widowControl/>
              <w:spacing w:line="120" w:lineRule="auto"/>
              <w:jc w:val="center"/>
              <w:rPr>
                <w:shd w:val="clear" w:color="auto" w:fill="FFFFFF"/>
              </w:rPr>
            </w:pPr>
            <w:r>
              <w:rPr>
                <w:rFonts w:hint="eastAsia"/>
                <w:shd w:val="clear" w:color="auto" w:fill="FFFFFF"/>
              </w:rPr>
              <w:t>(2)</w:t>
            </w:r>
          </w:p>
        </w:tc>
        <w:tc>
          <w:tcPr>
            <w:tcW w:w="1862" w:type="dxa"/>
            <w:noWrap/>
          </w:tcPr>
          <w:p>
            <w:pPr>
              <w:pStyle w:val="10"/>
              <w:widowControl/>
              <w:spacing w:line="120" w:lineRule="auto"/>
              <w:jc w:val="center"/>
              <w:rPr>
                <w:shd w:val="clear" w:color="auto" w:fill="FFFFFF"/>
              </w:rPr>
            </w:pPr>
            <w:r>
              <w:rPr>
                <w:rFonts w:hint="eastAsia"/>
                <w:shd w:val="clear" w:color="auto" w:fill="FFFFFF"/>
              </w:rPr>
              <w:t>差额</w:t>
            </w:r>
          </w:p>
          <w:p>
            <w:pPr>
              <w:pStyle w:val="10"/>
              <w:widowControl/>
              <w:spacing w:line="120" w:lineRule="auto"/>
              <w:jc w:val="center"/>
              <w:rPr>
                <w:shd w:val="clear" w:color="auto" w:fill="FFFFFF"/>
              </w:rPr>
            </w:pPr>
            <w:r>
              <w:rPr>
                <w:rFonts w:hint="eastAsia"/>
                <w:shd w:val="clear" w:color="auto" w:fill="FFFFFF"/>
              </w:rPr>
              <w:t>（3）=(1）-（2））</w:t>
            </w:r>
          </w:p>
        </w:tc>
        <w:tc>
          <w:tcPr>
            <w:tcW w:w="1530" w:type="dxa"/>
            <w:noWrap/>
          </w:tcPr>
          <w:p>
            <w:pPr>
              <w:pStyle w:val="10"/>
              <w:widowControl/>
              <w:spacing w:line="120" w:lineRule="auto"/>
              <w:ind w:firstLine="240" w:firstLineChars="100"/>
              <w:rPr>
                <w:shd w:val="clear" w:color="auto" w:fill="FFFFFF"/>
              </w:rPr>
            </w:pPr>
            <w:r>
              <w:rPr>
                <w:rFonts w:hint="eastAsia"/>
                <w:shd w:val="clear" w:color="auto" w:fill="FFFFFF"/>
              </w:rPr>
              <w:t>减少率</w:t>
            </w:r>
          </w:p>
          <w:p>
            <w:pPr>
              <w:pStyle w:val="10"/>
              <w:widowControl/>
              <w:spacing w:line="120" w:lineRule="auto"/>
              <w:rPr>
                <w:shd w:val="clear" w:color="auto" w:fill="FFFFFF"/>
              </w:rPr>
            </w:pPr>
            <w:r>
              <w:rPr>
                <w:rFonts w:hint="eastAsia"/>
                <w:shd w:val="clear" w:color="auto" w:fill="FFFFFF"/>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5" w:type="dxa"/>
            <w:noWrap/>
          </w:tcPr>
          <w:p>
            <w:pPr>
              <w:pStyle w:val="10"/>
              <w:widowControl/>
              <w:spacing w:line="120" w:lineRule="auto"/>
              <w:jc w:val="both"/>
              <w:rPr>
                <w:shd w:val="clear" w:color="auto" w:fill="FFFFFF"/>
              </w:rPr>
            </w:pPr>
            <w:r>
              <w:rPr>
                <w:rFonts w:hint="eastAsia"/>
                <w:shd w:val="clear" w:color="auto" w:fill="FFFFFF"/>
              </w:rPr>
              <w:t>一、基本支出</w:t>
            </w:r>
          </w:p>
        </w:tc>
        <w:tc>
          <w:tcPr>
            <w:tcW w:w="1726" w:type="dxa"/>
            <w:noWrap/>
          </w:tcPr>
          <w:p>
            <w:pPr>
              <w:pStyle w:val="10"/>
              <w:widowControl/>
              <w:spacing w:line="120" w:lineRule="auto"/>
              <w:ind w:firstLine="480" w:firstLineChars="200"/>
              <w:jc w:val="center"/>
              <w:rPr>
                <w:shd w:val="clear" w:color="auto" w:fill="FFFFFF"/>
              </w:rPr>
            </w:pPr>
            <w:r>
              <w:rPr>
                <w:rFonts w:hint="eastAsia"/>
                <w:shd w:val="clear" w:color="auto" w:fill="FFFFFF"/>
              </w:rPr>
              <w:t>600.5</w:t>
            </w:r>
          </w:p>
        </w:tc>
        <w:tc>
          <w:tcPr>
            <w:tcW w:w="1467" w:type="dxa"/>
            <w:noWrap/>
          </w:tcPr>
          <w:p>
            <w:pPr>
              <w:pStyle w:val="10"/>
              <w:widowControl/>
              <w:spacing w:line="120" w:lineRule="auto"/>
              <w:ind w:firstLine="480" w:firstLineChars="200"/>
              <w:jc w:val="center"/>
              <w:rPr>
                <w:shd w:val="clear" w:color="auto" w:fill="FFFFFF"/>
              </w:rPr>
            </w:pPr>
            <w:r>
              <w:rPr>
                <w:rFonts w:hint="eastAsia"/>
                <w:shd w:val="clear" w:color="auto" w:fill="FFFFFF"/>
              </w:rPr>
              <w:t>554.70</w:t>
            </w:r>
          </w:p>
        </w:tc>
        <w:tc>
          <w:tcPr>
            <w:tcW w:w="1862" w:type="dxa"/>
            <w:noWrap/>
          </w:tcPr>
          <w:p>
            <w:pPr>
              <w:pStyle w:val="10"/>
              <w:widowControl/>
              <w:spacing w:line="120" w:lineRule="auto"/>
              <w:ind w:firstLine="480" w:firstLineChars="200"/>
              <w:jc w:val="center"/>
              <w:rPr>
                <w:shd w:val="clear" w:color="auto" w:fill="FFFFFF"/>
              </w:rPr>
            </w:pPr>
            <w:r>
              <w:rPr>
                <w:rFonts w:hint="eastAsia"/>
                <w:shd w:val="clear" w:color="auto" w:fill="FFFFFF"/>
              </w:rPr>
              <w:t>45.80</w:t>
            </w:r>
          </w:p>
        </w:tc>
        <w:tc>
          <w:tcPr>
            <w:tcW w:w="1530" w:type="dxa"/>
            <w:noWrap/>
          </w:tcPr>
          <w:p>
            <w:pPr>
              <w:pStyle w:val="10"/>
              <w:widowControl/>
              <w:spacing w:line="120" w:lineRule="auto"/>
              <w:ind w:firstLine="480" w:firstLineChars="200"/>
              <w:jc w:val="center"/>
              <w:rPr>
                <w:shd w:val="clear" w:color="auto" w:fill="FFFFFF"/>
              </w:rPr>
            </w:pPr>
            <w:r>
              <w:rPr>
                <w:rFonts w:hint="eastAsia"/>
                <w:shd w:val="clear" w:color="auto" w:fill="FFFFFF"/>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5" w:type="dxa"/>
            <w:noWrap/>
          </w:tcPr>
          <w:p>
            <w:pPr>
              <w:pStyle w:val="10"/>
              <w:widowControl/>
              <w:spacing w:line="120" w:lineRule="auto"/>
              <w:ind w:firstLine="480" w:firstLineChars="200"/>
              <w:rPr>
                <w:shd w:val="clear" w:color="auto" w:fill="FFFFFF"/>
              </w:rPr>
            </w:pPr>
            <w:r>
              <w:rPr>
                <w:rFonts w:hint="eastAsia"/>
                <w:shd w:val="clear" w:color="auto" w:fill="FFFFFF"/>
              </w:rPr>
              <w:t>其中:人员经费</w:t>
            </w:r>
          </w:p>
        </w:tc>
        <w:tc>
          <w:tcPr>
            <w:tcW w:w="1726" w:type="dxa"/>
            <w:noWrap/>
          </w:tcPr>
          <w:p>
            <w:pPr>
              <w:pStyle w:val="10"/>
              <w:widowControl/>
              <w:spacing w:line="120" w:lineRule="auto"/>
              <w:ind w:firstLine="480" w:firstLineChars="200"/>
              <w:jc w:val="center"/>
              <w:rPr>
                <w:shd w:val="clear" w:color="auto" w:fill="FFFFFF"/>
              </w:rPr>
            </w:pPr>
            <w:r>
              <w:rPr>
                <w:rFonts w:hint="eastAsia"/>
                <w:shd w:val="clear" w:color="auto" w:fill="FFFFFF"/>
              </w:rPr>
              <w:t>544.49</w:t>
            </w:r>
          </w:p>
        </w:tc>
        <w:tc>
          <w:tcPr>
            <w:tcW w:w="1467" w:type="dxa"/>
            <w:noWrap/>
          </w:tcPr>
          <w:p>
            <w:pPr>
              <w:pStyle w:val="10"/>
              <w:widowControl/>
              <w:spacing w:line="120" w:lineRule="auto"/>
              <w:ind w:firstLine="480" w:firstLineChars="200"/>
              <w:jc w:val="center"/>
              <w:rPr>
                <w:shd w:val="clear" w:color="auto" w:fill="FFFFFF"/>
              </w:rPr>
            </w:pPr>
            <w:r>
              <w:rPr>
                <w:rFonts w:hint="eastAsia"/>
                <w:shd w:val="clear" w:color="auto" w:fill="FFFFFF"/>
              </w:rPr>
              <w:t>509.30</w:t>
            </w:r>
          </w:p>
        </w:tc>
        <w:tc>
          <w:tcPr>
            <w:tcW w:w="1862" w:type="dxa"/>
            <w:noWrap/>
          </w:tcPr>
          <w:p>
            <w:pPr>
              <w:pStyle w:val="10"/>
              <w:widowControl/>
              <w:spacing w:line="120" w:lineRule="auto"/>
              <w:ind w:firstLine="480" w:firstLineChars="200"/>
              <w:jc w:val="center"/>
              <w:rPr>
                <w:shd w:val="clear" w:color="auto" w:fill="FFFFFF"/>
              </w:rPr>
            </w:pPr>
            <w:r>
              <w:rPr>
                <w:rFonts w:hint="eastAsia"/>
                <w:shd w:val="clear" w:color="auto" w:fill="FFFFFF"/>
              </w:rPr>
              <w:t>35.19</w:t>
            </w:r>
          </w:p>
        </w:tc>
        <w:tc>
          <w:tcPr>
            <w:tcW w:w="1530" w:type="dxa"/>
            <w:noWrap/>
          </w:tcPr>
          <w:p>
            <w:pPr>
              <w:pStyle w:val="10"/>
              <w:widowControl/>
              <w:spacing w:line="120" w:lineRule="auto"/>
              <w:ind w:firstLine="480" w:firstLineChars="200"/>
              <w:jc w:val="center"/>
              <w:rPr>
                <w:shd w:val="clear" w:color="auto" w:fill="FFFFFF"/>
              </w:rPr>
            </w:pPr>
            <w:r>
              <w:rPr>
                <w:rFonts w:hint="eastAsia"/>
                <w:shd w:val="clear" w:color="auto" w:fill="FFFFFF"/>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5" w:type="dxa"/>
            <w:noWrap/>
          </w:tcPr>
          <w:p>
            <w:pPr>
              <w:pStyle w:val="10"/>
              <w:widowControl/>
              <w:spacing w:line="120" w:lineRule="auto"/>
              <w:ind w:firstLine="960" w:firstLineChars="400"/>
              <w:rPr>
                <w:shd w:val="clear" w:color="auto" w:fill="FFFFFF"/>
              </w:rPr>
            </w:pPr>
            <w:r>
              <w:rPr>
                <w:rFonts w:hint="eastAsia"/>
                <w:shd w:val="clear" w:color="auto" w:fill="FFFFFF"/>
              </w:rPr>
              <w:t>公用经费</w:t>
            </w:r>
          </w:p>
        </w:tc>
        <w:tc>
          <w:tcPr>
            <w:tcW w:w="1726" w:type="dxa"/>
            <w:noWrap/>
          </w:tcPr>
          <w:p>
            <w:pPr>
              <w:pStyle w:val="10"/>
              <w:widowControl/>
              <w:spacing w:line="120" w:lineRule="auto"/>
              <w:ind w:firstLine="480" w:firstLineChars="200"/>
              <w:jc w:val="center"/>
              <w:rPr>
                <w:shd w:val="clear" w:color="auto" w:fill="FFFFFF"/>
              </w:rPr>
            </w:pPr>
            <w:r>
              <w:rPr>
                <w:rFonts w:hint="eastAsia"/>
                <w:shd w:val="clear" w:color="auto" w:fill="FFFFFF"/>
              </w:rPr>
              <w:t>56.01</w:t>
            </w:r>
          </w:p>
        </w:tc>
        <w:tc>
          <w:tcPr>
            <w:tcW w:w="1467" w:type="dxa"/>
            <w:noWrap/>
          </w:tcPr>
          <w:p>
            <w:pPr>
              <w:pStyle w:val="10"/>
              <w:widowControl/>
              <w:spacing w:line="120" w:lineRule="auto"/>
              <w:ind w:firstLine="480" w:firstLineChars="200"/>
              <w:jc w:val="center"/>
              <w:rPr>
                <w:shd w:val="clear" w:color="auto" w:fill="FFFFFF"/>
              </w:rPr>
            </w:pPr>
            <w:r>
              <w:rPr>
                <w:rFonts w:hint="eastAsia"/>
                <w:shd w:val="clear" w:color="auto" w:fill="FFFFFF"/>
              </w:rPr>
              <w:t>45.40</w:t>
            </w:r>
          </w:p>
        </w:tc>
        <w:tc>
          <w:tcPr>
            <w:tcW w:w="1862" w:type="dxa"/>
            <w:noWrap/>
          </w:tcPr>
          <w:p>
            <w:pPr>
              <w:pStyle w:val="10"/>
              <w:widowControl/>
              <w:spacing w:line="120" w:lineRule="auto"/>
              <w:ind w:firstLine="480" w:firstLineChars="200"/>
              <w:jc w:val="center"/>
              <w:rPr>
                <w:shd w:val="clear" w:color="auto" w:fill="FFFFFF"/>
              </w:rPr>
            </w:pPr>
            <w:r>
              <w:rPr>
                <w:rFonts w:hint="eastAsia"/>
                <w:shd w:val="clear" w:color="auto" w:fill="FFFFFF"/>
              </w:rPr>
              <w:t>10.61</w:t>
            </w:r>
          </w:p>
        </w:tc>
        <w:tc>
          <w:tcPr>
            <w:tcW w:w="1530" w:type="dxa"/>
            <w:noWrap/>
          </w:tcPr>
          <w:p>
            <w:pPr>
              <w:pStyle w:val="10"/>
              <w:widowControl/>
              <w:spacing w:line="120" w:lineRule="auto"/>
              <w:ind w:firstLine="480" w:firstLineChars="200"/>
              <w:jc w:val="center"/>
              <w:rPr>
                <w:shd w:val="clear" w:color="auto" w:fill="FFFFFF"/>
              </w:rPr>
            </w:pPr>
            <w:r>
              <w:rPr>
                <w:rFonts w:hint="eastAsia"/>
                <w:shd w:val="clear" w:color="auto" w:fill="FFFFFF"/>
              </w:rPr>
              <w:t>18.94%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5" w:type="dxa"/>
            <w:noWrap/>
          </w:tcPr>
          <w:p>
            <w:pPr>
              <w:pStyle w:val="10"/>
              <w:widowControl/>
              <w:spacing w:line="120" w:lineRule="auto"/>
              <w:rPr>
                <w:shd w:val="clear" w:color="auto" w:fill="FFFFFF"/>
              </w:rPr>
            </w:pPr>
            <w:r>
              <w:rPr>
                <w:rFonts w:hint="eastAsia"/>
                <w:shd w:val="clear" w:color="auto" w:fill="FFFFFF"/>
              </w:rPr>
              <w:t>二、项目支出</w:t>
            </w:r>
          </w:p>
        </w:tc>
        <w:tc>
          <w:tcPr>
            <w:tcW w:w="1726" w:type="dxa"/>
            <w:noWrap/>
          </w:tcPr>
          <w:p>
            <w:pPr>
              <w:pStyle w:val="10"/>
              <w:widowControl/>
              <w:spacing w:line="120" w:lineRule="auto"/>
              <w:ind w:firstLine="480" w:firstLineChars="200"/>
              <w:jc w:val="center"/>
              <w:rPr>
                <w:shd w:val="clear" w:color="auto" w:fill="FFFFFF"/>
              </w:rPr>
            </w:pPr>
            <w:r>
              <w:rPr>
                <w:rFonts w:hint="eastAsia"/>
                <w:shd w:val="clear" w:color="auto" w:fill="FFFFFF"/>
              </w:rPr>
              <w:t>111.12</w:t>
            </w:r>
          </w:p>
        </w:tc>
        <w:tc>
          <w:tcPr>
            <w:tcW w:w="1467" w:type="dxa"/>
            <w:noWrap/>
          </w:tcPr>
          <w:p>
            <w:pPr>
              <w:pStyle w:val="10"/>
              <w:widowControl/>
              <w:spacing w:line="120" w:lineRule="auto"/>
              <w:ind w:firstLine="480" w:firstLineChars="200"/>
              <w:jc w:val="center"/>
              <w:rPr>
                <w:shd w:val="clear" w:color="auto" w:fill="FFFFFF"/>
              </w:rPr>
            </w:pPr>
            <w:r>
              <w:rPr>
                <w:rFonts w:hint="eastAsia"/>
                <w:shd w:val="clear" w:color="auto" w:fill="FFFFFF"/>
              </w:rPr>
              <w:t>106.88</w:t>
            </w:r>
          </w:p>
        </w:tc>
        <w:tc>
          <w:tcPr>
            <w:tcW w:w="1862" w:type="dxa"/>
            <w:noWrap/>
          </w:tcPr>
          <w:p>
            <w:pPr>
              <w:pStyle w:val="10"/>
              <w:widowControl/>
              <w:spacing w:line="120" w:lineRule="auto"/>
              <w:ind w:firstLine="480" w:firstLineChars="200"/>
              <w:jc w:val="center"/>
              <w:rPr>
                <w:shd w:val="clear" w:color="auto" w:fill="FFFFFF"/>
              </w:rPr>
            </w:pPr>
            <w:r>
              <w:rPr>
                <w:rFonts w:hint="eastAsia"/>
                <w:shd w:val="clear" w:color="auto" w:fill="FFFFFF"/>
              </w:rPr>
              <w:t>4.24</w:t>
            </w:r>
          </w:p>
        </w:tc>
        <w:tc>
          <w:tcPr>
            <w:tcW w:w="1530" w:type="dxa"/>
            <w:noWrap/>
          </w:tcPr>
          <w:p>
            <w:pPr>
              <w:pStyle w:val="10"/>
              <w:widowControl/>
              <w:spacing w:line="120" w:lineRule="auto"/>
              <w:ind w:firstLine="480" w:firstLineChars="200"/>
              <w:jc w:val="center"/>
              <w:rPr>
                <w:shd w:val="clear" w:color="auto" w:fill="FFFFFF"/>
              </w:rPr>
            </w:pPr>
            <w:r>
              <w:rPr>
                <w:rFonts w:hint="eastAsia"/>
                <w:shd w:val="clear" w:color="auto" w:fill="FFFFFF"/>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5" w:type="dxa"/>
            <w:noWrap/>
          </w:tcPr>
          <w:p>
            <w:pPr>
              <w:pStyle w:val="10"/>
              <w:widowControl/>
              <w:spacing w:line="120" w:lineRule="auto"/>
              <w:ind w:firstLine="480" w:firstLineChars="200"/>
              <w:jc w:val="both"/>
              <w:rPr>
                <w:shd w:val="clear" w:color="auto" w:fill="FFFFFF"/>
              </w:rPr>
            </w:pPr>
            <w:r>
              <w:rPr>
                <w:rFonts w:hint="eastAsia"/>
                <w:shd w:val="clear" w:color="auto" w:fill="FFFFFF"/>
              </w:rPr>
              <w:t>其中:退役军人服务专项工作经费</w:t>
            </w:r>
          </w:p>
        </w:tc>
        <w:tc>
          <w:tcPr>
            <w:tcW w:w="1726" w:type="dxa"/>
            <w:noWrap/>
          </w:tcPr>
          <w:p>
            <w:pPr>
              <w:pStyle w:val="10"/>
              <w:widowControl/>
              <w:spacing w:line="120" w:lineRule="auto"/>
              <w:ind w:firstLine="480" w:firstLineChars="200"/>
              <w:jc w:val="center"/>
              <w:rPr>
                <w:shd w:val="clear" w:color="auto" w:fill="FFFFFF"/>
              </w:rPr>
            </w:pPr>
            <w:r>
              <w:rPr>
                <w:rFonts w:hint="eastAsia"/>
                <w:shd w:val="clear" w:color="auto" w:fill="FFFFFF"/>
              </w:rPr>
              <w:t>40.00</w:t>
            </w:r>
          </w:p>
        </w:tc>
        <w:tc>
          <w:tcPr>
            <w:tcW w:w="1467" w:type="dxa"/>
            <w:noWrap/>
          </w:tcPr>
          <w:p>
            <w:pPr>
              <w:pStyle w:val="10"/>
              <w:widowControl/>
              <w:spacing w:line="120" w:lineRule="auto"/>
              <w:ind w:firstLine="480" w:firstLineChars="200"/>
              <w:jc w:val="center"/>
              <w:rPr>
                <w:shd w:val="clear" w:color="auto" w:fill="FFFFFF"/>
              </w:rPr>
            </w:pPr>
            <w:r>
              <w:rPr>
                <w:rFonts w:hint="eastAsia"/>
                <w:shd w:val="clear" w:color="auto" w:fill="FFFFFF"/>
              </w:rPr>
              <w:t>35.76</w:t>
            </w:r>
          </w:p>
        </w:tc>
        <w:tc>
          <w:tcPr>
            <w:tcW w:w="1862" w:type="dxa"/>
            <w:noWrap/>
          </w:tcPr>
          <w:p>
            <w:pPr>
              <w:pStyle w:val="10"/>
              <w:widowControl/>
              <w:spacing w:line="120" w:lineRule="auto"/>
              <w:ind w:firstLine="480" w:firstLineChars="200"/>
              <w:jc w:val="center"/>
              <w:rPr>
                <w:shd w:val="clear" w:color="auto" w:fill="FFFFFF"/>
              </w:rPr>
            </w:pPr>
            <w:r>
              <w:rPr>
                <w:rFonts w:hint="eastAsia"/>
                <w:shd w:val="clear" w:color="auto" w:fill="FFFFFF"/>
              </w:rPr>
              <w:t>4.24</w:t>
            </w:r>
          </w:p>
        </w:tc>
        <w:tc>
          <w:tcPr>
            <w:tcW w:w="1530" w:type="dxa"/>
            <w:noWrap/>
          </w:tcPr>
          <w:p>
            <w:pPr>
              <w:pStyle w:val="10"/>
              <w:widowControl/>
              <w:spacing w:line="120" w:lineRule="auto"/>
              <w:ind w:firstLine="480" w:firstLineChars="200"/>
              <w:jc w:val="center"/>
              <w:rPr>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5" w:type="dxa"/>
            <w:noWrap/>
          </w:tcPr>
          <w:p>
            <w:pPr>
              <w:pStyle w:val="10"/>
              <w:widowControl/>
              <w:spacing w:line="120" w:lineRule="auto"/>
              <w:ind w:firstLine="480" w:firstLineChars="200"/>
              <w:jc w:val="center"/>
              <w:rPr>
                <w:shd w:val="clear" w:color="auto" w:fill="FFFFFF"/>
              </w:rPr>
            </w:pPr>
            <w:r>
              <w:rPr>
                <w:rFonts w:hint="eastAsia"/>
                <w:shd w:val="clear" w:color="auto" w:fill="FFFFFF"/>
              </w:rPr>
              <w:t>接待服务大厅租金</w:t>
            </w:r>
          </w:p>
        </w:tc>
        <w:tc>
          <w:tcPr>
            <w:tcW w:w="1726" w:type="dxa"/>
            <w:noWrap/>
          </w:tcPr>
          <w:p>
            <w:pPr>
              <w:pStyle w:val="10"/>
              <w:widowControl/>
              <w:spacing w:line="120" w:lineRule="auto"/>
              <w:ind w:firstLine="480" w:firstLineChars="200"/>
              <w:jc w:val="center"/>
              <w:rPr>
                <w:shd w:val="clear" w:color="auto" w:fill="FFFFFF"/>
              </w:rPr>
            </w:pPr>
            <w:r>
              <w:rPr>
                <w:rFonts w:hint="eastAsia"/>
                <w:shd w:val="clear" w:color="auto" w:fill="FFFFFF"/>
              </w:rPr>
              <w:t>71.12</w:t>
            </w:r>
          </w:p>
        </w:tc>
        <w:tc>
          <w:tcPr>
            <w:tcW w:w="1467" w:type="dxa"/>
            <w:noWrap/>
          </w:tcPr>
          <w:p>
            <w:pPr>
              <w:pStyle w:val="10"/>
              <w:widowControl/>
              <w:spacing w:line="120" w:lineRule="auto"/>
              <w:ind w:firstLine="480" w:firstLineChars="200"/>
              <w:jc w:val="center"/>
              <w:rPr>
                <w:shd w:val="clear" w:color="auto" w:fill="FFFFFF"/>
              </w:rPr>
            </w:pPr>
            <w:r>
              <w:rPr>
                <w:rFonts w:hint="eastAsia"/>
                <w:shd w:val="clear" w:color="auto" w:fill="FFFFFF"/>
              </w:rPr>
              <w:t>71.12</w:t>
            </w:r>
          </w:p>
        </w:tc>
        <w:tc>
          <w:tcPr>
            <w:tcW w:w="1862" w:type="dxa"/>
            <w:noWrap/>
          </w:tcPr>
          <w:p>
            <w:pPr>
              <w:pStyle w:val="10"/>
              <w:widowControl/>
              <w:spacing w:line="120" w:lineRule="auto"/>
              <w:ind w:firstLine="480" w:firstLineChars="200"/>
              <w:jc w:val="center"/>
              <w:rPr>
                <w:shd w:val="clear" w:color="auto" w:fill="FFFFFF"/>
              </w:rPr>
            </w:pPr>
            <w:r>
              <w:rPr>
                <w:rFonts w:hint="eastAsia"/>
                <w:shd w:val="clear" w:color="auto" w:fill="FFFFFF"/>
              </w:rPr>
              <w:t>0.00</w:t>
            </w:r>
          </w:p>
        </w:tc>
        <w:tc>
          <w:tcPr>
            <w:tcW w:w="1530" w:type="dxa"/>
            <w:noWrap/>
          </w:tcPr>
          <w:p>
            <w:pPr>
              <w:pStyle w:val="10"/>
              <w:widowControl/>
              <w:spacing w:line="120" w:lineRule="auto"/>
              <w:ind w:firstLine="480" w:firstLineChars="200"/>
              <w:jc w:val="center"/>
              <w:rPr>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5" w:type="dxa"/>
            <w:noWrap/>
          </w:tcPr>
          <w:p>
            <w:pPr>
              <w:pStyle w:val="10"/>
              <w:widowControl/>
              <w:spacing w:line="120" w:lineRule="auto"/>
              <w:ind w:firstLine="480" w:firstLineChars="200"/>
              <w:jc w:val="center"/>
              <w:rPr>
                <w:shd w:val="clear" w:color="auto" w:fill="FFFFFF"/>
              </w:rPr>
            </w:pPr>
            <w:r>
              <w:rPr>
                <w:rFonts w:hint="eastAsia"/>
                <w:shd w:val="clear" w:color="auto" w:fill="FFFFFF"/>
              </w:rPr>
              <w:t>合计</w:t>
            </w:r>
          </w:p>
        </w:tc>
        <w:tc>
          <w:tcPr>
            <w:tcW w:w="1726" w:type="dxa"/>
            <w:noWrap/>
          </w:tcPr>
          <w:p>
            <w:pPr>
              <w:pStyle w:val="10"/>
              <w:widowControl/>
              <w:spacing w:line="120" w:lineRule="auto"/>
              <w:ind w:firstLine="480" w:firstLineChars="200"/>
              <w:jc w:val="center"/>
              <w:rPr>
                <w:shd w:val="clear" w:color="auto" w:fill="FFFFFF"/>
              </w:rPr>
            </w:pPr>
            <w:r>
              <w:rPr>
                <w:rFonts w:hint="eastAsia"/>
                <w:shd w:val="clear" w:color="auto" w:fill="FFFFFF"/>
              </w:rPr>
              <w:t>711.62</w:t>
            </w:r>
          </w:p>
        </w:tc>
        <w:tc>
          <w:tcPr>
            <w:tcW w:w="1467" w:type="dxa"/>
            <w:noWrap/>
          </w:tcPr>
          <w:p>
            <w:pPr>
              <w:pStyle w:val="10"/>
              <w:widowControl/>
              <w:spacing w:line="120" w:lineRule="auto"/>
              <w:ind w:firstLine="480" w:firstLineChars="200"/>
              <w:jc w:val="center"/>
              <w:rPr>
                <w:shd w:val="clear" w:color="auto" w:fill="FFFFFF"/>
              </w:rPr>
            </w:pPr>
            <w:r>
              <w:rPr>
                <w:rFonts w:hint="eastAsia"/>
                <w:shd w:val="clear" w:color="auto" w:fill="FFFFFF"/>
              </w:rPr>
              <w:t>661.58</w:t>
            </w:r>
          </w:p>
        </w:tc>
        <w:tc>
          <w:tcPr>
            <w:tcW w:w="1862" w:type="dxa"/>
            <w:noWrap/>
          </w:tcPr>
          <w:p>
            <w:pPr>
              <w:pStyle w:val="10"/>
              <w:widowControl/>
              <w:spacing w:line="120" w:lineRule="auto"/>
              <w:ind w:firstLine="480" w:firstLineChars="200"/>
              <w:jc w:val="center"/>
              <w:rPr>
                <w:shd w:val="clear" w:color="auto" w:fill="FFFFFF"/>
              </w:rPr>
            </w:pPr>
            <w:r>
              <w:rPr>
                <w:rFonts w:hint="eastAsia"/>
                <w:shd w:val="clear" w:color="auto" w:fill="FFFFFF"/>
              </w:rPr>
              <w:t>50.04</w:t>
            </w:r>
          </w:p>
        </w:tc>
        <w:tc>
          <w:tcPr>
            <w:tcW w:w="1530" w:type="dxa"/>
            <w:noWrap/>
          </w:tcPr>
          <w:p>
            <w:pPr>
              <w:pStyle w:val="10"/>
              <w:widowControl/>
              <w:spacing w:line="120" w:lineRule="auto"/>
              <w:ind w:firstLine="480" w:firstLineChars="200"/>
              <w:jc w:val="center"/>
              <w:rPr>
                <w:shd w:val="clear" w:color="auto" w:fill="FFFFFF"/>
              </w:rPr>
            </w:pPr>
            <w:r>
              <w:rPr>
                <w:rFonts w:hint="eastAsia"/>
                <w:shd w:val="clear" w:color="auto" w:fill="FFFFFF"/>
              </w:rPr>
              <w:t>7.03%</w:t>
            </w:r>
          </w:p>
        </w:tc>
      </w:tr>
    </w:tbl>
    <w:p>
      <w:pPr>
        <w:pStyle w:val="10"/>
        <w:widowControl/>
        <w:rPr>
          <w:b/>
          <w:bCs/>
          <w:shd w:val="clear" w:color="auto" w:fill="FFFFFF"/>
        </w:rPr>
      </w:pPr>
    </w:p>
    <w:p>
      <w:pPr>
        <w:spacing w:line="640" w:lineRule="exact"/>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二、一般公共预算支出情况</w:t>
      </w:r>
    </w:p>
    <w:p>
      <w:pPr>
        <w:spacing w:line="64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（一）基本支出</w:t>
      </w:r>
    </w:p>
    <w:p>
      <w:pPr>
        <w:spacing w:line="64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1.总体情况</w:t>
      </w:r>
      <w:r>
        <w:rPr>
          <w:rFonts w:hint="eastAsia" w:ascii="仿宋_GB2312" w:hAnsi="仿宋_GB2312" w:eastAsia="仿宋_GB2312" w:cs="仿宋_GB2312"/>
          <w:b/>
          <w:bCs/>
          <w:sz w:val="32"/>
          <w:szCs w:val="32"/>
          <w:lang w:val="en-US" w:eastAsia="zh-CN"/>
        </w:rPr>
        <w:t>。</w:t>
      </w:r>
      <w:r>
        <w:rPr>
          <w:rFonts w:hint="eastAsia" w:ascii="仿宋_GB2312" w:hAnsi="仿宋" w:eastAsia="仿宋_GB2312" w:cs="仿宋"/>
          <w:sz w:val="32"/>
          <w:szCs w:val="32"/>
        </w:rPr>
        <w:t>基本支出是指为保障单位机构运转、完成日常工作任务而发生的各项支出，包括基本工资、津贴补贴、离退休工资等人员经费以及办公费、印刷费、水电费、办公设备购置等日常公用经费。2021年基本支出预算批复600.5</w:t>
      </w:r>
      <w:r>
        <w:rPr>
          <w:rFonts w:ascii="仿宋_GB2312" w:hAnsi="仿宋" w:eastAsia="仿宋_GB2312" w:cs="仿宋"/>
          <w:sz w:val="32"/>
          <w:szCs w:val="32"/>
        </w:rPr>
        <w:t>0</w:t>
      </w:r>
      <w:r>
        <w:rPr>
          <w:rFonts w:hint="eastAsia" w:ascii="仿宋_GB2312" w:hAnsi="仿宋" w:eastAsia="仿宋_GB2312" w:cs="仿宋"/>
          <w:sz w:val="32"/>
          <w:szCs w:val="32"/>
        </w:rPr>
        <w:t>万元（其中：人员经费544.49万元，公用经费56.01万元），实际支出</w:t>
      </w:r>
      <w:r>
        <w:rPr>
          <w:rFonts w:ascii="仿宋_GB2312" w:hAnsi="仿宋" w:eastAsia="仿宋_GB2312" w:cs="仿宋"/>
          <w:sz w:val="32"/>
          <w:szCs w:val="32"/>
        </w:rPr>
        <w:t>5</w:t>
      </w:r>
      <w:r>
        <w:rPr>
          <w:rFonts w:hint="eastAsia" w:ascii="仿宋_GB2312" w:hAnsi="仿宋" w:eastAsia="仿宋_GB2312" w:cs="仿宋"/>
          <w:sz w:val="32"/>
          <w:szCs w:val="32"/>
        </w:rPr>
        <w:t>54</w:t>
      </w:r>
      <w:r>
        <w:rPr>
          <w:rFonts w:ascii="仿宋_GB2312" w:hAnsi="仿宋" w:eastAsia="仿宋_GB2312" w:cs="仿宋"/>
          <w:sz w:val="32"/>
          <w:szCs w:val="32"/>
        </w:rPr>
        <w:t>.</w:t>
      </w:r>
      <w:r>
        <w:rPr>
          <w:rFonts w:hint="eastAsia" w:ascii="仿宋_GB2312" w:hAnsi="仿宋" w:eastAsia="仿宋_GB2312" w:cs="仿宋"/>
          <w:sz w:val="32"/>
          <w:szCs w:val="32"/>
        </w:rPr>
        <w:t>70万元，其中：人员经费支出</w:t>
      </w:r>
      <w:r>
        <w:rPr>
          <w:rFonts w:ascii="仿宋_GB2312" w:hAnsi="仿宋" w:eastAsia="仿宋_GB2312" w:cs="仿宋"/>
          <w:sz w:val="32"/>
          <w:szCs w:val="32"/>
        </w:rPr>
        <w:t>509.30</w:t>
      </w:r>
      <w:r>
        <w:rPr>
          <w:rFonts w:hint="eastAsia" w:ascii="仿宋_GB2312" w:hAnsi="仿宋" w:eastAsia="仿宋_GB2312" w:cs="仿宋"/>
          <w:sz w:val="32"/>
          <w:szCs w:val="32"/>
        </w:rPr>
        <w:t>万元，公用经费支出</w:t>
      </w:r>
      <w:r>
        <w:rPr>
          <w:rFonts w:ascii="仿宋_GB2312" w:hAnsi="仿宋" w:eastAsia="仿宋_GB2312" w:cs="仿宋"/>
          <w:sz w:val="32"/>
          <w:szCs w:val="32"/>
        </w:rPr>
        <w:t>45.40</w:t>
      </w:r>
      <w:r>
        <w:rPr>
          <w:rFonts w:hint="eastAsia" w:ascii="仿宋_GB2312" w:hAnsi="仿宋" w:eastAsia="仿宋_GB2312" w:cs="仿宋"/>
          <w:sz w:val="32"/>
          <w:szCs w:val="32"/>
        </w:rPr>
        <w:t>万元。基本支出较预算减少45.8</w:t>
      </w:r>
      <w:r>
        <w:rPr>
          <w:rFonts w:ascii="仿宋_GB2312" w:hAnsi="仿宋" w:eastAsia="仿宋_GB2312" w:cs="仿宋"/>
          <w:sz w:val="32"/>
          <w:szCs w:val="32"/>
        </w:rPr>
        <w:t>0</w:t>
      </w:r>
      <w:r>
        <w:rPr>
          <w:rFonts w:hint="eastAsia" w:ascii="仿宋_GB2312" w:hAnsi="仿宋" w:eastAsia="仿宋_GB2312" w:cs="仿宋"/>
          <w:sz w:val="32"/>
          <w:szCs w:val="32"/>
        </w:rPr>
        <w:t>万元，减少率为7.63%，主要原因是由于2021年预算编制时人员按21人计算，2021年4名同志调入长沙市军供站，经市财政局批准，该四名同志的人员经费和公用经费划转至长沙市军供站。</w:t>
      </w:r>
    </w:p>
    <w:p>
      <w:pPr>
        <w:spacing w:line="64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2.三公经费使用</w:t>
      </w:r>
      <w:r>
        <w:rPr>
          <w:rFonts w:hint="eastAsia" w:ascii="仿宋_GB2312" w:hAnsi="仿宋" w:eastAsia="仿宋_GB2312" w:cs="仿宋"/>
          <w:sz w:val="32"/>
          <w:szCs w:val="32"/>
        </w:rPr>
        <w:t>。2021年本中心严格按照省市</w:t>
      </w:r>
      <w:r>
        <w:rPr>
          <w:rFonts w:hint="eastAsia" w:ascii="仿宋_GB2312" w:hAnsi="仿宋" w:eastAsia="仿宋_GB2312" w:cs="仿宋"/>
          <w:sz w:val="32"/>
          <w:szCs w:val="32"/>
          <w:lang w:eastAsia="zh-CN"/>
        </w:rPr>
        <w:t>相关文件要求，并</w:t>
      </w:r>
      <w:r>
        <w:rPr>
          <w:rFonts w:hint="eastAsia" w:ascii="仿宋_GB2312" w:hAnsi="仿宋" w:eastAsia="仿宋_GB2312" w:cs="仿宋"/>
          <w:sz w:val="32"/>
          <w:szCs w:val="32"/>
        </w:rPr>
        <w:t>参照局机关制定的有关财务管理制度进行资金审核和拨付，严格按照规定的项目、标准、用途和使用范围使用资金，本着厉行节约原则，规范开支，2021年三公经费支出数</w:t>
      </w:r>
      <w:r>
        <w:rPr>
          <w:rFonts w:hint="eastAsia" w:ascii="仿宋_GB2312" w:hAnsi="仿宋" w:eastAsia="仿宋_GB2312" w:cs="仿宋"/>
          <w:sz w:val="32"/>
          <w:szCs w:val="32"/>
          <w:lang w:eastAsia="zh-CN"/>
        </w:rPr>
        <w:t>为</w:t>
      </w:r>
      <w:r>
        <w:rPr>
          <w:rFonts w:hint="eastAsia" w:ascii="仿宋_GB2312" w:hAnsi="仿宋" w:eastAsia="仿宋_GB2312" w:cs="仿宋"/>
          <w:sz w:val="32"/>
          <w:szCs w:val="32"/>
        </w:rPr>
        <w:t>2.86万元，较预算减少1.44万元。其中：公务接待费实际发生0.06万元，较预算节约0.24万元，主要是减少</w:t>
      </w:r>
      <w:r>
        <w:rPr>
          <w:rFonts w:hint="eastAsia" w:ascii="仿宋_GB2312" w:hAnsi="仿宋" w:eastAsia="仿宋_GB2312" w:cs="仿宋"/>
          <w:sz w:val="32"/>
          <w:szCs w:val="32"/>
          <w:lang w:eastAsia="zh-CN"/>
        </w:rPr>
        <w:t>了</w:t>
      </w:r>
      <w:r>
        <w:rPr>
          <w:rFonts w:hint="eastAsia" w:ascii="仿宋_GB2312" w:hAnsi="仿宋" w:eastAsia="仿宋_GB2312" w:cs="仿宋"/>
          <w:sz w:val="32"/>
          <w:szCs w:val="32"/>
        </w:rPr>
        <w:t>公务接待；公务用车购置及运行费实际发生2.80万元,较预算节约1.2万元，主是减少</w:t>
      </w:r>
      <w:r>
        <w:rPr>
          <w:rFonts w:hint="eastAsia" w:ascii="仿宋_GB2312" w:hAnsi="仿宋" w:eastAsia="仿宋_GB2312" w:cs="仿宋"/>
          <w:sz w:val="32"/>
          <w:szCs w:val="32"/>
          <w:lang w:eastAsia="zh-CN"/>
        </w:rPr>
        <w:t>了</w:t>
      </w:r>
      <w:r>
        <w:rPr>
          <w:rFonts w:hint="eastAsia" w:ascii="仿宋_GB2312" w:hAnsi="仿宋" w:eastAsia="仿宋_GB2312" w:cs="仿宋"/>
          <w:sz w:val="32"/>
          <w:szCs w:val="32"/>
        </w:rPr>
        <w:t>公务出车，严格差旅费报销标准等。中心无因公出国（境）费预算，本年</w:t>
      </w:r>
      <w:r>
        <w:rPr>
          <w:rFonts w:hint="eastAsia" w:ascii="仿宋_GB2312" w:hAnsi="仿宋" w:eastAsia="仿宋_GB2312" w:cs="仿宋"/>
          <w:sz w:val="32"/>
          <w:szCs w:val="32"/>
          <w:lang w:eastAsia="zh-CN"/>
        </w:rPr>
        <w:t>度</w:t>
      </w:r>
      <w:r>
        <w:rPr>
          <w:rFonts w:hint="eastAsia" w:ascii="仿宋_GB2312" w:hAnsi="仿宋" w:eastAsia="仿宋_GB2312" w:cs="仿宋"/>
          <w:sz w:val="32"/>
          <w:szCs w:val="32"/>
        </w:rPr>
        <w:t>也未发生此项费用。</w:t>
      </w:r>
    </w:p>
    <w:p>
      <w:pPr>
        <w:spacing w:line="64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（二）项目支出</w:t>
      </w:r>
    </w:p>
    <w:p>
      <w:pPr>
        <w:spacing w:line="64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1.预算批复内容</w:t>
      </w:r>
      <w:r>
        <w:rPr>
          <w:rFonts w:hint="eastAsia" w:ascii="仿宋_GB2312" w:hAnsi="仿宋" w:eastAsia="仿宋_GB2312" w:cs="仿宋"/>
          <w:b/>
          <w:bCs/>
          <w:sz w:val="32"/>
          <w:szCs w:val="32"/>
          <w:lang w:eastAsia="zh-CN"/>
        </w:rPr>
        <w:t>。</w:t>
      </w:r>
      <w:r>
        <w:rPr>
          <w:rFonts w:hint="eastAsia" w:ascii="仿宋_GB2312" w:hAnsi="仿宋" w:eastAsia="仿宋_GB2312" w:cs="仿宋"/>
          <w:sz w:val="32"/>
          <w:szCs w:val="32"/>
        </w:rPr>
        <w:t>项目支出是指单位为完成特定行政工作任务或事业发展目标而发生的支出，部门项目预算批复111.12万元,主要内容有：退役军人服务专项工作经费40.00万元，主要用于中心法律、就业创业、心理咨询、网络及信息设备维护外包等四个专项服务支出；接待服务大厅租金71.12万元，主要用于支付服务大厅租金。</w:t>
      </w:r>
    </w:p>
    <w:p>
      <w:pPr>
        <w:spacing w:line="64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2.实际支出情况</w:t>
      </w:r>
      <w:r>
        <w:rPr>
          <w:rFonts w:hint="eastAsia" w:ascii="仿宋_GB2312" w:hAnsi="仿宋" w:eastAsia="仿宋_GB2312" w:cs="仿宋"/>
          <w:b/>
          <w:bCs/>
          <w:sz w:val="32"/>
          <w:szCs w:val="32"/>
          <w:lang w:eastAsia="zh-CN"/>
        </w:rPr>
        <w:t>。</w:t>
      </w:r>
      <w:r>
        <w:rPr>
          <w:rFonts w:hint="eastAsia" w:ascii="仿宋_GB2312" w:hAnsi="仿宋" w:eastAsia="仿宋_GB2312" w:cs="仿宋"/>
          <w:sz w:val="32"/>
          <w:szCs w:val="32"/>
        </w:rPr>
        <w:t>2021年项目实际支出106.88万元，其中</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（1）退役军人服务专项工作经费35.76万元，较预算节约4.24万元，主要因疫情影响个别活动未开展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（2）接待服务大厅租金71.12万元，依合同支付，无差异。</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本中心对于项目管理制订了《长沙市退役军人服务中心内部控制手册（试行）》等相关制度及文件，内容合法、合规、健全，对专项资金的支范围和方式、资金的下达与管理进行了规范,严格按规范执行到位。</w:t>
      </w:r>
    </w:p>
    <w:p>
      <w:pPr>
        <w:spacing w:line="640" w:lineRule="exact"/>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三、部门项目组织实施情况</w:t>
      </w:r>
    </w:p>
    <w:p>
      <w:pPr>
        <w:spacing w:line="64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（一）加强程序化管理</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为加强专项资金管理，年初预算实行总额控制的原则，根据工作开展实际需求加强预算管理。各业务部门在专项经费使用前，根据批复的预算和用款额度填报（呈签单）。申报流程为：经办人→业务</w:t>
      </w:r>
      <w:r>
        <w:rPr>
          <w:rFonts w:hint="eastAsia" w:ascii="仿宋_GB2312" w:hAnsi="仿宋" w:eastAsia="仿宋_GB2312" w:cs="仿宋"/>
          <w:sz w:val="32"/>
          <w:szCs w:val="32"/>
          <w:lang w:eastAsia="zh-CN"/>
        </w:rPr>
        <w:t>部门负责人</w:t>
      </w:r>
      <w:r>
        <w:rPr>
          <w:rFonts w:hint="eastAsia" w:ascii="仿宋_GB2312" w:hAnsi="仿宋" w:eastAsia="仿宋_GB2312" w:cs="仿宋"/>
          <w:sz w:val="32"/>
          <w:szCs w:val="32"/>
        </w:rPr>
        <w:t>→业务分管领导→财务分管领导→中心主任→</w:t>
      </w:r>
      <w:r>
        <w:rPr>
          <w:rFonts w:hint="eastAsia" w:ascii="仿宋_GB2312" w:hAnsi="仿宋" w:eastAsia="仿宋_GB2312" w:cs="仿宋"/>
          <w:sz w:val="32"/>
          <w:szCs w:val="32"/>
          <w:lang w:eastAsia="zh-CN"/>
        </w:rPr>
        <w:t>会计</w:t>
      </w:r>
      <w:r>
        <w:rPr>
          <w:rFonts w:hint="eastAsia" w:ascii="仿宋_GB2312" w:hAnsi="仿宋" w:eastAsia="仿宋_GB2312" w:cs="仿宋"/>
          <w:sz w:val="32"/>
          <w:szCs w:val="32"/>
        </w:rPr>
        <w:t>（经费安排）→</w:t>
      </w:r>
      <w:r>
        <w:rPr>
          <w:rFonts w:hint="eastAsia" w:ascii="仿宋_GB2312" w:hAnsi="仿宋" w:eastAsia="仿宋_GB2312" w:cs="仿宋"/>
          <w:sz w:val="32"/>
          <w:szCs w:val="32"/>
          <w:lang w:eastAsia="zh-CN"/>
        </w:rPr>
        <w:t>出纳</w:t>
      </w:r>
      <w:r>
        <w:rPr>
          <w:rFonts w:hint="eastAsia" w:ascii="仿宋_GB2312" w:hAnsi="仿宋" w:eastAsia="仿宋_GB2312" w:cs="仿宋"/>
          <w:sz w:val="32"/>
          <w:szCs w:val="32"/>
        </w:rPr>
        <w:t>（财务办结），对重大金额需开会讨论通过的经集体研究确定。内部采购按照相关采购制度严格执行。政府采购事项则根据当年</w:t>
      </w:r>
      <w:r>
        <w:rPr>
          <w:rFonts w:hint="eastAsia" w:ascii="仿宋_GB2312" w:hAnsi="仿宋" w:eastAsia="仿宋_GB2312" w:cs="仿宋"/>
          <w:sz w:val="32"/>
          <w:szCs w:val="32"/>
          <w:lang w:eastAsia="zh-CN"/>
        </w:rPr>
        <w:t>度</w:t>
      </w:r>
      <w:r>
        <w:rPr>
          <w:rFonts w:hint="eastAsia" w:ascii="仿宋_GB2312" w:hAnsi="仿宋" w:eastAsia="仿宋_GB2312" w:cs="仿宋"/>
          <w:sz w:val="32"/>
          <w:szCs w:val="32"/>
        </w:rPr>
        <w:t>政府发布的集中采购目录及政府采购限额标准执行相关采购程序。遵循“从严从简、依法依规、总量控制、实事求是、公开透明、分级负责”的原则，建立健全厉行节约反对浪费工作长效机制。严格实行“先审批后支出”的管理规定，大力压缩一般性支出，严格控制国内差旅费、因公出国出境费、公务接待费、公务用车购置及运行费、会议费、培训费等支出。</w:t>
      </w:r>
    </w:p>
    <w:p>
      <w:pPr>
        <w:spacing w:line="64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加强财政专项资金的监督和管理</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中心根据《长沙市财政专项资金管理办法》和上级主管</w:t>
      </w:r>
      <w:r>
        <w:rPr>
          <w:rFonts w:hint="eastAsia" w:ascii="仿宋_GB2312" w:hAnsi="仿宋" w:eastAsia="仿宋_GB2312" w:cs="仿宋"/>
          <w:sz w:val="32"/>
          <w:szCs w:val="32"/>
          <w:lang w:eastAsia="zh-CN"/>
        </w:rPr>
        <w:t>部门</w:t>
      </w:r>
      <w:r>
        <w:rPr>
          <w:rFonts w:hint="eastAsia" w:ascii="仿宋_GB2312" w:hAnsi="仿宋" w:eastAsia="仿宋_GB2312" w:cs="仿宋"/>
          <w:sz w:val="32"/>
          <w:szCs w:val="32"/>
        </w:rPr>
        <w:t>和中心的有关制度规定，从专项资金的预算编制、执行、管理、绩效监督、责任追究等方面做出了一系列规定。在专项组织实施过程中，严格遵循项目资金专款专用、专人管理的原则。在专项资金使用及实施过程中，严格资金管理，加强审核，由中心</w:t>
      </w:r>
      <w:r>
        <w:rPr>
          <w:rFonts w:hint="eastAsia" w:ascii="仿宋_GB2312" w:hAnsi="仿宋" w:eastAsia="仿宋_GB2312" w:cs="仿宋"/>
          <w:sz w:val="32"/>
          <w:szCs w:val="32"/>
          <w:lang w:eastAsia="zh-CN"/>
        </w:rPr>
        <w:t>纪检监察不定</w:t>
      </w:r>
      <w:r>
        <w:rPr>
          <w:rFonts w:hint="eastAsia" w:ascii="仿宋_GB2312" w:hAnsi="仿宋" w:eastAsia="仿宋_GB2312" w:cs="仿宋"/>
          <w:sz w:val="32"/>
          <w:szCs w:val="32"/>
        </w:rPr>
        <w:t>期对项目进行日常监督，以确保专项资金依法管理与使用。</w:t>
      </w:r>
    </w:p>
    <w:p>
      <w:pPr>
        <w:spacing w:line="640" w:lineRule="exact"/>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四、资产管理情况</w:t>
      </w:r>
    </w:p>
    <w:p>
      <w:pPr>
        <w:spacing w:line="64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（一）资产总体情况</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2021年本中心期末资产总额79.62万元，其中流动资产3.54万元，占比4.45%，固定资产原值145.86万元，净值76.08占比95.55%。公车保有量1台，无50万元以上通用设备及100万元以上专用设备。</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2021年本中心期初资产总额499.76万元，总资产减少420.14万元。减少原因为：</w:t>
      </w:r>
      <w:bookmarkStart w:id="0" w:name="_Hlk98257198"/>
      <w:r>
        <w:rPr>
          <w:rFonts w:hint="eastAsia" w:ascii="仿宋_GB2312" w:hAnsi="仿宋" w:eastAsia="仿宋_GB2312" w:cs="仿宋"/>
          <w:sz w:val="32"/>
          <w:szCs w:val="32"/>
        </w:rPr>
        <w:t>一是中心原有房屋全部移交长沙市机关事务局</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二是原有部分资产调拨给长沙市中级人民法院使用。</w:t>
      </w:r>
      <w:bookmarkEnd w:id="0"/>
    </w:p>
    <w:p>
      <w:pPr>
        <w:pStyle w:val="5"/>
        <w:spacing w:after="0" w:line="640" w:lineRule="exact"/>
        <w:ind w:firstLine="643"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（二）固定资产的配置、管理、处置等综合情况</w:t>
      </w:r>
    </w:p>
    <w:p>
      <w:pPr>
        <w:spacing w:line="640"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lang w:val="en-US" w:eastAsia="zh-CN"/>
        </w:rPr>
        <w:t>1.固定资产综合情况：</w:t>
      </w:r>
      <w:r>
        <w:rPr>
          <w:rFonts w:hint="eastAsia" w:ascii="仿宋_GB2312" w:hAnsi="仿宋" w:eastAsia="仿宋_GB2312" w:cs="仿宋"/>
          <w:sz w:val="32"/>
          <w:szCs w:val="32"/>
        </w:rPr>
        <w:t>截止2021年12月31日，</w:t>
      </w:r>
      <w:r>
        <w:rPr>
          <w:rFonts w:hint="eastAsia" w:ascii="仿宋_GB2312" w:hAnsi="仿宋" w:eastAsia="仿宋_GB2312" w:cs="仿宋"/>
          <w:sz w:val="32"/>
          <w:szCs w:val="32"/>
          <w:lang w:eastAsia="zh-CN"/>
        </w:rPr>
        <w:t>中心</w:t>
      </w:r>
      <w:r>
        <w:rPr>
          <w:rFonts w:hint="eastAsia" w:ascii="仿宋_GB2312" w:hAnsi="仿宋" w:eastAsia="仿宋_GB2312" w:cs="仿宋"/>
          <w:sz w:val="32"/>
          <w:szCs w:val="32"/>
        </w:rPr>
        <w:t>固定资产原值145.86万元,累计折旧69.78万元，净值76.08万元(其中:通用设备50.26万元、专用设备0.26万元、家具用具25.56万元）。2021年末固定资产原值较年初减少1,020.48万元，减少原因：一是中心原有房屋全部移交长沙市机关事务局，二是原有部分资产调拨给长沙市中级人民法院使用。</w:t>
      </w:r>
    </w:p>
    <w:p>
      <w:pPr>
        <w:pStyle w:val="2"/>
        <w:rPr>
          <w:rFonts w:hint="eastAsia" w:ascii="仿宋_GB2312" w:hAnsi="仿宋" w:eastAsia="仿宋_GB2312" w:cs="仿宋"/>
          <w:kern w:val="2"/>
          <w:sz w:val="32"/>
          <w:szCs w:val="32"/>
          <w:lang w:val="en-US" w:eastAsia="zh-CN" w:bidi="ar-SA"/>
        </w:rPr>
      </w:pPr>
      <w:r>
        <w:rPr>
          <w:rFonts w:hint="eastAsia" w:ascii="仿宋_GB2312" w:hAnsi="仿宋" w:eastAsia="仿宋_GB2312" w:cs="仿宋"/>
          <w:b/>
          <w:bCs/>
          <w:sz w:val="32"/>
          <w:szCs w:val="32"/>
          <w:lang w:val="en-US" w:eastAsia="zh-CN"/>
        </w:rPr>
        <w:t>2.固定资产配置：</w:t>
      </w:r>
      <w:r>
        <w:rPr>
          <w:rFonts w:hint="eastAsia" w:ascii="仿宋_GB2312" w:hAnsi="仿宋" w:eastAsia="仿宋_GB2312" w:cs="仿宋"/>
          <w:kern w:val="2"/>
          <w:sz w:val="32"/>
          <w:szCs w:val="32"/>
          <w:lang w:val="en-US" w:eastAsia="zh-CN" w:bidi="ar-SA"/>
        </w:rPr>
        <w:t>中心资产配置基于满足各部门业务需求，最大限度地节约财政资金，提高资产的使用效益原则来开展。按照《长沙市本级行政事业单位办公资产配置管理规定》、《长沙市市级行政事业单位国有资产配置管理规定》等文件要求，在资产预算范围内，严格按照财政规定的配置标准配置。办公设施设备能在部门之间调剂使用的、出现故障维修之后可再次使用的绝不浪费财政资金重新购买，最大程度地实现对资产进行共享共用。</w:t>
      </w:r>
    </w:p>
    <w:p>
      <w:pPr>
        <w:spacing w:line="640" w:lineRule="exact"/>
        <w:ind w:firstLine="643"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b/>
          <w:bCs/>
          <w:sz w:val="32"/>
          <w:szCs w:val="32"/>
          <w:lang w:val="en-US" w:eastAsia="zh-CN"/>
        </w:rPr>
        <w:t>3.固定资产管理：</w:t>
      </w:r>
      <w:r>
        <w:rPr>
          <w:rFonts w:hint="eastAsia" w:ascii="仿宋_GB2312" w:hAnsi="仿宋" w:eastAsia="仿宋_GB2312" w:cs="仿宋"/>
          <w:kern w:val="2"/>
          <w:sz w:val="32"/>
          <w:szCs w:val="32"/>
          <w:lang w:val="en-US" w:eastAsia="zh-CN" w:bidi="ar-SA"/>
        </w:rPr>
        <w:t>固定资产管理工作由综合管理部具体负责实施，主要做好：（1）制定各部门固定资产的配备及使用标准；（2）对固定资产进行采购验收、登记统计、盘点清理、调拨、报废、残值处理、及时进行资产管理信息系统卡片录入等。严格做到：（1）资产购置有预算安排。由各部门提交书面申请，报综合管理部审核，经中心领导批准后，按照资产配置的要求进行政府采购。使用人作为资产责任人，由其做好验收工作，并在清单上签字，资产管理员根据签字清单登记台账。同时及时在资产管理信息系统中录入固定资产卡片，确保账务系统与资产管理系统数据保持一致；（2）资产处置严格落实相关流程。一是固定资产减少变动(调出、变卖、盘亏、报废、丢失、损坏)都必须由使用部门向综合管理部书面报告，综合管理部按照程序办理有关手续。二是固定资产报废严格遵守资产处置管理规定，由使用部门填写报废申请，经综合管理部资产管理专员现场查看符合报废标准后，再报中心领导审批申请报废。最后根据财政相关批复文件，做好账务处理以及资产管理系统的相关操作。三是固定资产调拨，严格按照调拨程序，由原资产所有单位作为调拨方提出申请，使用单位确认无误后，经双方签章提交市财政局业务部门审核通过后办理资产系统调拨手续。</w:t>
      </w:r>
    </w:p>
    <w:p>
      <w:pPr>
        <w:spacing w:line="640" w:lineRule="exact"/>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目前，中心账面资产均为在用资产，无闲置资产、出租出借资产、对外投资资产。无公共基础设施、政府储备物资、文物文化资产、保障性住房等。固定资产管理台账清晰，责权明确，账实相符。</w:t>
      </w:r>
    </w:p>
    <w:p>
      <w:pPr>
        <w:spacing w:line="640" w:lineRule="exact"/>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五、政府性基金预算支出情况</w:t>
      </w:r>
    </w:p>
    <w:p>
      <w:pPr>
        <w:spacing w:line="64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本中心无政府性基金预算支出。</w:t>
      </w:r>
    </w:p>
    <w:p>
      <w:pPr>
        <w:spacing w:line="640" w:lineRule="exact"/>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六、国有资本经营预算支出情况</w:t>
      </w:r>
    </w:p>
    <w:p>
      <w:pPr>
        <w:spacing w:line="64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本中心无国有资本经营预算支出。</w:t>
      </w:r>
    </w:p>
    <w:p>
      <w:pPr>
        <w:spacing w:line="640" w:lineRule="exact"/>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七、社会保险基金预算支出情况</w:t>
      </w:r>
    </w:p>
    <w:p>
      <w:pPr>
        <w:spacing w:line="64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本中心无社会保险基金预算支出。</w:t>
      </w:r>
    </w:p>
    <w:p>
      <w:pPr>
        <w:spacing w:line="640" w:lineRule="exact"/>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八、部门整体支出绩效情况</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2021年，中心在局党组的正确领导下，以全心全意做好退役军人服务保障工作为目标，全体干部职工团结一致，同心协力，高质量完成了年度工作任务。</w:t>
      </w:r>
    </w:p>
    <w:p>
      <w:pPr>
        <w:spacing w:line="64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（一）多措并举持续推进全市服务保障体系提质增效</w:t>
      </w:r>
    </w:p>
    <w:p>
      <w:pPr>
        <w:spacing w:line="64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kern w:val="2"/>
          <w:sz w:val="32"/>
          <w:szCs w:val="32"/>
          <w:lang w:val="en-US" w:eastAsia="zh-CN" w:bidi="ar-SA"/>
        </w:rPr>
        <w:t>完成1个县级服务中心，49个乡级服务站全国示范型创建任务。建成浏阳文家市镇服务站（国家级），芙蓉区定王台街道、天心区坡子街街道等14个省级红色退役军人服务站，扎实有效稳步推进示范型创建和红色站点建设。</w:t>
      </w:r>
    </w:p>
    <w:p>
      <w:pPr>
        <w:spacing w:line="64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（二）强化职责职能确保各项业务工作高质量推进</w:t>
      </w:r>
    </w:p>
    <w:p>
      <w:pPr>
        <w:spacing w:line="640" w:lineRule="exact"/>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1.做好来访接待化解信访矛盾。规范信访工作流程，不断建立健全信访工作机制。与此同时，与市司法局法律援助服务中心联合成立长沙市退役军人公共法律服务站，为退役军人及其他优抚对象提供法律咨询、法律援助、人民调解等各项法律服务，变“问访”为“问法”。</w:t>
      </w:r>
    </w:p>
    <w:p>
      <w:pPr>
        <w:spacing w:line="640" w:lineRule="exact"/>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2.创新工作模式扶持就业创业。一是开设咨询窗口，提供就业创业信息服务。二是丰富活动载体，开展多元化就业创业扶持服务。</w:t>
      </w:r>
    </w:p>
    <w:p>
      <w:pPr>
        <w:spacing w:line="640" w:lineRule="exact"/>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3.严谨细致落实好各项待遇。一是做好了组织关系转接相关工作。二是做好悬挂光荣牌监督指导工作。三是切实做好企业军转干部解困工作。严谨细致、不折不扣地落实好广大退役军人各项政治、生活待遇。</w:t>
      </w:r>
    </w:p>
    <w:p>
      <w:pPr>
        <w:spacing w:line="640" w:lineRule="exact"/>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4.扎实做好了退役军人工作信息化服务工作。</w:t>
      </w:r>
    </w:p>
    <w:p>
      <w:pPr>
        <w:spacing w:line="64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（三）夯实自身建设有效提升服务品质</w:t>
      </w:r>
    </w:p>
    <w:p>
      <w:pPr>
        <w:spacing w:line="6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1.践行“我为群众办实事”打造“一站式”服务。依托大厅办事窗口开展“一件事一次办”专项改革，推进大数据共享共用、信息系统互联互通、部门协同运转新模式，</w:t>
      </w:r>
      <w:r>
        <w:rPr>
          <w:rFonts w:hint="eastAsia" w:ascii="仿宋_GB2312" w:hAnsi="仿宋" w:eastAsia="仿宋_GB2312" w:cs="仿宋"/>
          <w:sz w:val="32"/>
          <w:szCs w:val="32"/>
          <w:lang w:eastAsia="zh-CN"/>
        </w:rPr>
        <w:t>实现了</w:t>
      </w:r>
      <w:r>
        <w:rPr>
          <w:rFonts w:hint="eastAsia" w:ascii="仿宋_GB2312" w:hAnsi="仿宋" w:eastAsia="仿宋_GB2312" w:cs="仿宋"/>
          <w:sz w:val="32"/>
          <w:szCs w:val="32"/>
        </w:rPr>
        <w:t>“一站式”服务，受到了退役军人事务部推介，以实际行动践行了“我为群众办实事”的服务宗旨。</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2.顺利引进心理咨询服务机构，进一步拓宽服务领域、丰富服务内容。</w:t>
      </w:r>
    </w:p>
    <w:p>
      <w:pPr>
        <w:spacing w:line="640" w:lineRule="exact"/>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九、评价结论及分析</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2021年，中心按照市委市政府及上级主管部门的要求下，扎实推进各项工作，绩效目标合理、明确；管理制度健全、资金使用合规、严格控制“三公”经费不超支、坚决执行政府采购和资产管理的各项规定，圆满高质量地完成了全年重点工作及各项计划，取得了较好的经济和社会效益，群众满意度高。</w:t>
      </w:r>
    </w:p>
    <w:p>
      <w:pPr>
        <w:spacing w:line="6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根据《2021年部门整体支出绩效评价指标评分表》，我们通过定量和定性分析，2021年部门整体支出绩效自评得分为9</w:t>
      </w:r>
      <w:r>
        <w:rPr>
          <w:rFonts w:ascii="仿宋_GB2312" w:hAnsi="仿宋" w:eastAsia="仿宋_GB2312" w:cs="仿宋"/>
          <w:sz w:val="32"/>
          <w:szCs w:val="32"/>
        </w:rPr>
        <w:t>8.5</w:t>
      </w:r>
      <w:r>
        <w:rPr>
          <w:rFonts w:hint="eastAsia" w:ascii="仿宋_GB2312" w:hAnsi="仿宋" w:eastAsia="仿宋_GB2312" w:cs="仿宋"/>
          <w:sz w:val="32"/>
          <w:szCs w:val="32"/>
        </w:rPr>
        <w:t>分（详见附件），评价等级为“优”。其中：</w:t>
      </w:r>
    </w:p>
    <w:p>
      <w:pPr>
        <w:spacing w:line="640" w:lineRule="exact"/>
        <w:ind w:firstLine="643" w:firstLineChars="200"/>
        <w:rPr>
          <w:rFonts w:ascii="仿宋_GB2312" w:hAnsi="仿宋" w:eastAsia="仿宋_GB2312" w:cs="仿宋"/>
          <w:sz w:val="32"/>
          <w:szCs w:val="32"/>
        </w:rPr>
      </w:pPr>
      <w:r>
        <w:rPr>
          <w:rFonts w:hint="eastAsia" w:ascii="楷体" w:hAnsi="楷体" w:eastAsia="楷体" w:cs="楷体"/>
          <w:b/>
          <w:bCs/>
          <w:sz w:val="32"/>
          <w:szCs w:val="32"/>
        </w:rPr>
        <w:t>（一）投入：</w:t>
      </w:r>
      <w:r>
        <w:rPr>
          <w:rFonts w:hint="eastAsia" w:ascii="仿宋_GB2312" w:hAnsi="仿宋" w:eastAsia="仿宋_GB2312" w:cs="仿宋"/>
          <w:sz w:val="32"/>
          <w:szCs w:val="32"/>
        </w:rPr>
        <w:t>总分9分，评价得分</w:t>
      </w:r>
      <w:r>
        <w:rPr>
          <w:rFonts w:ascii="仿宋_GB2312" w:hAnsi="仿宋" w:eastAsia="仿宋_GB2312" w:cs="仿宋"/>
          <w:sz w:val="32"/>
          <w:szCs w:val="32"/>
        </w:rPr>
        <w:t>8.5</w:t>
      </w:r>
      <w:r>
        <w:rPr>
          <w:rFonts w:hint="eastAsia" w:ascii="仿宋_GB2312" w:hAnsi="仿宋" w:eastAsia="仿宋_GB2312" w:cs="仿宋"/>
          <w:sz w:val="32"/>
          <w:szCs w:val="32"/>
        </w:rPr>
        <w:t>分，扣</w:t>
      </w:r>
      <w:r>
        <w:rPr>
          <w:rFonts w:ascii="仿宋_GB2312" w:hAnsi="仿宋" w:eastAsia="仿宋_GB2312" w:cs="仿宋"/>
          <w:sz w:val="32"/>
          <w:szCs w:val="32"/>
        </w:rPr>
        <w:t>0.5</w:t>
      </w:r>
      <w:r>
        <w:rPr>
          <w:rFonts w:hint="eastAsia" w:ascii="仿宋_GB2312" w:hAnsi="仿宋" w:eastAsia="仿宋_GB2312" w:cs="仿宋"/>
          <w:sz w:val="32"/>
          <w:szCs w:val="32"/>
        </w:rPr>
        <w:t>分，主要扣分的原因为部门整体的绩效目标量化细化不够，扣0.5分。</w:t>
      </w:r>
    </w:p>
    <w:p>
      <w:pPr>
        <w:spacing w:line="640" w:lineRule="exact"/>
        <w:ind w:firstLine="643" w:firstLineChars="200"/>
        <w:rPr>
          <w:rFonts w:ascii="仿宋_GB2312" w:hAnsi="仿宋" w:eastAsia="仿宋_GB2312" w:cs="仿宋"/>
          <w:sz w:val="32"/>
          <w:szCs w:val="32"/>
        </w:rPr>
      </w:pPr>
      <w:r>
        <w:rPr>
          <w:rFonts w:hint="eastAsia" w:ascii="楷体" w:hAnsi="楷体" w:eastAsia="楷体" w:cs="楷体"/>
          <w:b/>
          <w:bCs/>
          <w:sz w:val="32"/>
          <w:szCs w:val="32"/>
        </w:rPr>
        <w:t>（二）过程：</w:t>
      </w:r>
      <w:r>
        <w:rPr>
          <w:rFonts w:hint="eastAsia" w:ascii="仿宋_GB2312" w:hAnsi="仿宋" w:eastAsia="仿宋_GB2312" w:cs="仿宋"/>
          <w:sz w:val="32"/>
          <w:szCs w:val="32"/>
        </w:rPr>
        <w:t>总分41分，评价得分</w:t>
      </w:r>
      <w:r>
        <w:rPr>
          <w:rFonts w:ascii="仿宋_GB2312" w:hAnsi="仿宋" w:eastAsia="仿宋_GB2312" w:cs="仿宋"/>
          <w:sz w:val="32"/>
          <w:szCs w:val="32"/>
        </w:rPr>
        <w:t>40</w:t>
      </w:r>
      <w:r>
        <w:rPr>
          <w:rFonts w:hint="eastAsia" w:ascii="仿宋_GB2312" w:hAnsi="仿宋" w:eastAsia="仿宋_GB2312" w:cs="仿宋"/>
          <w:sz w:val="32"/>
          <w:szCs w:val="32"/>
        </w:rPr>
        <w:t>分，扣</w:t>
      </w:r>
      <w:r>
        <w:rPr>
          <w:rFonts w:ascii="仿宋_GB2312" w:hAnsi="仿宋" w:eastAsia="仿宋_GB2312" w:cs="仿宋"/>
          <w:sz w:val="32"/>
          <w:szCs w:val="32"/>
        </w:rPr>
        <w:t>1</w:t>
      </w:r>
      <w:r>
        <w:rPr>
          <w:rFonts w:hint="eastAsia" w:ascii="仿宋_GB2312" w:hAnsi="仿宋" w:eastAsia="仿宋_GB2312" w:cs="仿宋"/>
          <w:sz w:val="32"/>
          <w:szCs w:val="32"/>
        </w:rPr>
        <w:t>分，主要扣分原因全年预算完成率</w:t>
      </w:r>
      <w:r>
        <w:rPr>
          <w:rFonts w:hint="eastAsia" w:ascii="仿宋_GB2312" w:hAnsi="仿宋" w:eastAsia="仿宋_GB2312" w:cs="仿宋"/>
          <w:sz w:val="32"/>
          <w:szCs w:val="32"/>
          <w:lang w:eastAsia="zh-CN"/>
        </w:rPr>
        <w:t>为</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92.97%</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扣1分。</w:t>
      </w:r>
    </w:p>
    <w:p>
      <w:pPr>
        <w:spacing w:line="640" w:lineRule="exact"/>
        <w:ind w:firstLine="643" w:firstLineChars="200"/>
        <w:rPr>
          <w:rFonts w:ascii="仿宋_GB2312" w:hAnsi="仿宋" w:eastAsia="仿宋_GB2312" w:cs="仿宋"/>
          <w:sz w:val="32"/>
          <w:szCs w:val="32"/>
        </w:rPr>
      </w:pPr>
      <w:r>
        <w:rPr>
          <w:rFonts w:hint="eastAsia" w:ascii="楷体" w:hAnsi="楷体" w:eastAsia="楷体" w:cs="楷体"/>
          <w:b/>
          <w:bCs/>
          <w:sz w:val="32"/>
          <w:szCs w:val="32"/>
        </w:rPr>
        <w:t>（三）产出：</w:t>
      </w:r>
      <w:r>
        <w:rPr>
          <w:rFonts w:hint="eastAsia" w:ascii="仿宋_GB2312" w:hAnsi="仿宋" w:eastAsia="仿宋_GB2312" w:cs="仿宋"/>
          <w:sz w:val="32"/>
          <w:szCs w:val="32"/>
        </w:rPr>
        <w:t>总分25分，评价得分25分。</w:t>
      </w:r>
    </w:p>
    <w:p>
      <w:pPr>
        <w:spacing w:line="640" w:lineRule="exact"/>
        <w:ind w:firstLine="643" w:firstLineChars="200"/>
        <w:rPr>
          <w:rFonts w:ascii="仿宋_GB2312" w:hAnsi="仿宋" w:eastAsia="仿宋_GB2312" w:cs="仿宋"/>
          <w:sz w:val="32"/>
          <w:szCs w:val="32"/>
        </w:rPr>
      </w:pPr>
      <w:r>
        <w:rPr>
          <w:rFonts w:hint="eastAsia" w:ascii="楷体" w:hAnsi="楷体" w:eastAsia="楷体" w:cs="楷体"/>
          <w:b/>
          <w:bCs/>
          <w:sz w:val="32"/>
          <w:szCs w:val="32"/>
        </w:rPr>
        <w:t>（四）效益：</w:t>
      </w:r>
      <w:r>
        <w:rPr>
          <w:rFonts w:hint="eastAsia" w:ascii="仿宋_GB2312" w:hAnsi="仿宋" w:eastAsia="仿宋_GB2312" w:cs="仿宋"/>
          <w:sz w:val="32"/>
          <w:szCs w:val="32"/>
        </w:rPr>
        <w:t>总分17分,评价得分</w:t>
      </w:r>
      <w:r>
        <w:rPr>
          <w:rFonts w:ascii="仿宋_GB2312" w:hAnsi="仿宋" w:eastAsia="仿宋_GB2312" w:cs="仿宋"/>
          <w:sz w:val="32"/>
          <w:szCs w:val="32"/>
        </w:rPr>
        <w:t>17</w:t>
      </w:r>
      <w:r>
        <w:rPr>
          <w:rFonts w:hint="eastAsia" w:ascii="仿宋_GB2312" w:hAnsi="仿宋" w:eastAsia="仿宋_GB2312" w:cs="仿宋"/>
          <w:sz w:val="32"/>
          <w:szCs w:val="32"/>
        </w:rPr>
        <w:t>分。</w:t>
      </w:r>
    </w:p>
    <w:p>
      <w:pPr>
        <w:spacing w:line="640" w:lineRule="exact"/>
        <w:ind w:firstLine="643" w:firstLineChars="200"/>
        <w:rPr>
          <w:rFonts w:ascii="仿宋_GB2312" w:hAnsi="仿宋" w:eastAsia="仿宋_GB2312" w:cs="仿宋"/>
          <w:sz w:val="32"/>
          <w:szCs w:val="32"/>
        </w:rPr>
      </w:pPr>
      <w:r>
        <w:rPr>
          <w:rFonts w:hint="eastAsia" w:ascii="楷体" w:hAnsi="楷体" w:eastAsia="楷体" w:cs="楷体"/>
          <w:b/>
          <w:bCs/>
          <w:sz w:val="32"/>
          <w:szCs w:val="32"/>
        </w:rPr>
        <w:t>（五）满意度：</w:t>
      </w:r>
      <w:r>
        <w:rPr>
          <w:rFonts w:hint="eastAsia" w:ascii="仿宋_GB2312" w:hAnsi="仿宋" w:eastAsia="仿宋_GB2312" w:cs="仿宋"/>
          <w:sz w:val="32"/>
          <w:szCs w:val="32"/>
        </w:rPr>
        <w:t>总分8分,评价得分8分。</w:t>
      </w:r>
    </w:p>
    <w:p>
      <w:pPr>
        <w:spacing w:line="640" w:lineRule="exact"/>
        <w:ind w:firstLine="640" w:firstLineChars="200"/>
        <w:rPr>
          <w:rFonts w:hint="eastAsia" w:ascii="黑体" w:hAnsi="黑体" w:eastAsia="黑体"/>
          <w:b w:val="0"/>
          <w:bCs w:val="0"/>
          <w:sz w:val="32"/>
          <w:szCs w:val="32"/>
        </w:rPr>
      </w:pPr>
      <w:r>
        <w:rPr>
          <w:rFonts w:hint="eastAsia" w:ascii="黑体" w:hAnsi="黑体" w:eastAsia="黑体" w:cs="Times New Roman"/>
          <w:b w:val="0"/>
          <w:bCs w:val="0"/>
          <w:sz w:val="32"/>
          <w:szCs w:val="32"/>
        </w:rPr>
        <w:t>十、</w:t>
      </w:r>
      <w:r>
        <w:rPr>
          <w:rFonts w:hint="eastAsia" w:ascii="黑体" w:hAnsi="黑体" w:eastAsia="黑体"/>
          <w:b w:val="0"/>
          <w:bCs w:val="0"/>
          <w:sz w:val="32"/>
          <w:szCs w:val="32"/>
        </w:rPr>
        <w:t>存在的问题及下一步改进措施</w:t>
      </w:r>
    </w:p>
    <w:p>
      <w:pPr>
        <w:spacing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通过自评，中心在绩效</w:t>
      </w:r>
      <w:r>
        <w:rPr>
          <w:rFonts w:hint="eastAsia" w:ascii="仿宋_GB2312" w:hAnsi="仿宋" w:eastAsia="仿宋_GB2312"/>
          <w:sz w:val="32"/>
          <w:szCs w:val="32"/>
          <w:lang w:eastAsia="zh-CN"/>
        </w:rPr>
        <w:t>管理方面</w:t>
      </w:r>
      <w:r>
        <w:rPr>
          <w:rFonts w:hint="eastAsia" w:ascii="仿宋_GB2312" w:hAnsi="仿宋" w:eastAsia="仿宋_GB2312"/>
          <w:sz w:val="32"/>
          <w:szCs w:val="32"/>
        </w:rPr>
        <w:t>存在</w:t>
      </w:r>
      <w:r>
        <w:rPr>
          <w:rFonts w:hint="eastAsia" w:ascii="仿宋_GB2312" w:hAnsi="仿宋" w:eastAsia="仿宋_GB2312"/>
          <w:sz w:val="32"/>
          <w:szCs w:val="32"/>
          <w:lang w:eastAsia="zh-CN"/>
        </w:rPr>
        <w:t>的问题有</w:t>
      </w:r>
      <w:r>
        <w:rPr>
          <w:rFonts w:hint="eastAsia" w:ascii="仿宋_GB2312" w:hAnsi="仿宋" w:eastAsia="仿宋_GB2312"/>
          <w:sz w:val="32"/>
          <w:szCs w:val="32"/>
        </w:rPr>
        <w:t>：</w:t>
      </w:r>
      <w:r>
        <w:rPr>
          <w:rFonts w:hint="eastAsia" w:ascii="仿宋_GB2312" w:hAnsi="仿宋" w:eastAsia="仿宋_GB2312"/>
          <w:sz w:val="32"/>
          <w:szCs w:val="32"/>
          <w:lang w:eastAsia="zh-CN"/>
        </w:rPr>
        <w:t>一是</w:t>
      </w:r>
      <w:r>
        <w:rPr>
          <w:rFonts w:hint="eastAsia" w:ascii="仿宋_GB2312" w:hAnsi="仿宋" w:eastAsia="仿宋_GB2312"/>
          <w:sz w:val="32"/>
          <w:szCs w:val="32"/>
        </w:rPr>
        <w:t>绩效目标未细化量化</w:t>
      </w:r>
      <w:r>
        <w:rPr>
          <w:rFonts w:hint="eastAsia" w:ascii="仿宋_GB2312" w:hAnsi="仿宋" w:eastAsia="仿宋_GB2312"/>
          <w:sz w:val="32"/>
          <w:szCs w:val="32"/>
          <w:lang w:eastAsia="zh-CN"/>
        </w:rPr>
        <w:t>；二是日常</w:t>
      </w:r>
      <w:r>
        <w:rPr>
          <w:rFonts w:hint="eastAsia" w:ascii="仿宋_GB2312" w:hAnsi="仿宋" w:eastAsia="仿宋_GB2312"/>
          <w:sz w:val="32"/>
          <w:szCs w:val="32"/>
        </w:rPr>
        <w:t>监管未</w:t>
      </w:r>
      <w:r>
        <w:rPr>
          <w:rFonts w:hint="eastAsia" w:ascii="仿宋_GB2312" w:hAnsi="仿宋" w:eastAsia="仿宋_GB2312"/>
          <w:sz w:val="32"/>
          <w:szCs w:val="32"/>
          <w:lang w:eastAsia="zh-CN"/>
        </w:rPr>
        <w:t>及时</w:t>
      </w:r>
      <w:r>
        <w:rPr>
          <w:rFonts w:hint="eastAsia" w:ascii="仿宋_GB2312" w:hAnsi="仿宋" w:eastAsia="仿宋_GB2312"/>
          <w:sz w:val="32"/>
          <w:szCs w:val="32"/>
        </w:rPr>
        <w:t>留存资料备查。</w:t>
      </w:r>
    </w:p>
    <w:p>
      <w:pPr>
        <w:spacing w:line="640" w:lineRule="exact"/>
        <w:ind w:firstLine="640" w:firstLineChars="200"/>
        <w:rPr>
          <w:rFonts w:ascii="仿宋_GB2312" w:hAnsi="仿宋" w:eastAsia="仿宋_GB2312"/>
          <w:sz w:val="32"/>
          <w:szCs w:val="32"/>
        </w:rPr>
      </w:pPr>
      <w:r>
        <w:rPr>
          <w:rFonts w:hint="eastAsia" w:ascii="仿宋_GB2312" w:hAnsi="仿宋" w:eastAsia="仿宋_GB2312"/>
          <w:sz w:val="32"/>
          <w:szCs w:val="32"/>
        </w:rPr>
        <w:t>针对上述问题，中心认真对待，</w:t>
      </w:r>
      <w:r>
        <w:rPr>
          <w:rFonts w:hint="eastAsia" w:ascii="仿宋_GB2312" w:hAnsi="仿宋" w:eastAsia="仿宋_GB2312"/>
          <w:sz w:val="32"/>
          <w:szCs w:val="32"/>
          <w:lang w:eastAsia="zh-CN"/>
        </w:rPr>
        <w:t>查找问题、积极整改。</w:t>
      </w:r>
      <w:r>
        <w:rPr>
          <w:rFonts w:hint="eastAsia" w:ascii="仿宋_GB2312" w:hAnsi="仿宋" w:eastAsia="仿宋_GB2312"/>
          <w:sz w:val="32"/>
          <w:szCs w:val="32"/>
        </w:rPr>
        <w:t>对年初绩效目标设置进</w:t>
      </w:r>
      <w:r>
        <w:rPr>
          <w:rFonts w:hint="eastAsia" w:ascii="仿宋_GB2312" w:hAnsi="仿宋" w:eastAsia="仿宋_GB2312"/>
          <w:sz w:val="32"/>
          <w:szCs w:val="32"/>
          <w:lang w:eastAsia="zh-CN"/>
        </w:rPr>
        <w:t>行</w:t>
      </w:r>
      <w:r>
        <w:rPr>
          <w:rFonts w:hint="eastAsia" w:ascii="仿宋_GB2312" w:hAnsi="仿宋" w:eastAsia="仿宋_GB2312"/>
          <w:sz w:val="32"/>
          <w:szCs w:val="32"/>
        </w:rPr>
        <w:t>完善，根据年初具体工作部署、各部门职能及发展规划要求，及时修正了绩效目标，</w:t>
      </w:r>
      <w:r>
        <w:rPr>
          <w:rFonts w:hint="eastAsia" w:ascii="仿宋_GB2312" w:hAnsi="仿宋" w:eastAsia="仿宋_GB2312"/>
          <w:sz w:val="32"/>
          <w:szCs w:val="32"/>
          <w:lang w:eastAsia="zh-CN"/>
        </w:rPr>
        <w:t>力争</w:t>
      </w:r>
      <w:r>
        <w:rPr>
          <w:rFonts w:hint="eastAsia" w:ascii="仿宋_GB2312" w:hAnsi="仿宋" w:eastAsia="仿宋_GB2312"/>
          <w:sz w:val="32"/>
          <w:szCs w:val="32"/>
        </w:rPr>
        <w:t>做到</w:t>
      </w:r>
      <w:r>
        <w:rPr>
          <w:rFonts w:hint="eastAsia" w:ascii="仿宋_GB2312" w:hAnsi="仿宋" w:eastAsia="仿宋_GB2312"/>
          <w:sz w:val="32"/>
          <w:szCs w:val="32"/>
          <w:lang w:eastAsia="zh-CN"/>
        </w:rPr>
        <w:t>全年</w:t>
      </w:r>
      <w:r>
        <w:rPr>
          <w:rFonts w:hint="eastAsia" w:ascii="仿宋_GB2312" w:hAnsi="仿宋" w:eastAsia="仿宋_GB2312"/>
          <w:sz w:val="32"/>
          <w:szCs w:val="32"/>
        </w:rPr>
        <w:t>绩效目标明确、细化、量化、可衡量,与</w:t>
      </w:r>
      <w:r>
        <w:rPr>
          <w:rFonts w:hint="eastAsia" w:ascii="仿宋_GB2312" w:hAnsi="仿宋" w:eastAsia="仿宋_GB2312"/>
          <w:sz w:val="32"/>
          <w:szCs w:val="32"/>
          <w:lang w:eastAsia="zh-CN"/>
        </w:rPr>
        <w:t>年初绩效</w:t>
      </w:r>
      <w:r>
        <w:rPr>
          <w:rFonts w:hint="eastAsia" w:ascii="仿宋_GB2312" w:hAnsi="仿宋" w:eastAsia="仿宋_GB2312"/>
          <w:sz w:val="32"/>
          <w:szCs w:val="32"/>
        </w:rPr>
        <w:t>目标任务相对应，可考核</w:t>
      </w:r>
      <w:r>
        <w:rPr>
          <w:rFonts w:hint="eastAsia" w:ascii="仿宋_GB2312" w:hAnsi="仿宋" w:eastAsia="仿宋_GB2312"/>
          <w:sz w:val="32"/>
          <w:szCs w:val="32"/>
          <w:lang w:eastAsia="zh-CN"/>
        </w:rPr>
        <w:t>。并</w:t>
      </w:r>
      <w:r>
        <w:rPr>
          <w:rFonts w:hint="eastAsia" w:ascii="仿宋_GB2312" w:hAnsi="仿宋" w:eastAsia="仿宋_GB2312"/>
          <w:sz w:val="32"/>
          <w:szCs w:val="32"/>
        </w:rPr>
        <w:t>依据年度</w:t>
      </w:r>
      <w:r>
        <w:rPr>
          <w:rFonts w:hint="eastAsia" w:ascii="仿宋_GB2312" w:hAnsi="仿宋" w:eastAsia="仿宋_GB2312"/>
          <w:sz w:val="32"/>
          <w:szCs w:val="32"/>
          <w:lang w:eastAsia="zh-CN"/>
        </w:rPr>
        <w:t>绩效</w:t>
      </w:r>
      <w:r>
        <w:rPr>
          <w:rFonts w:hint="eastAsia" w:ascii="仿宋_GB2312" w:hAnsi="仿宋" w:eastAsia="仿宋_GB2312"/>
          <w:sz w:val="32"/>
          <w:szCs w:val="32"/>
        </w:rPr>
        <w:t>目标组织开展</w:t>
      </w:r>
      <w:r>
        <w:rPr>
          <w:rFonts w:hint="eastAsia" w:ascii="仿宋_GB2312" w:hAnsi="仿宋" w:eastAsia="仿宋_GB2312"/>
          <w:sz w:val="32"/>
          <w:szCs w:val="32"/>
          <w:lang w:eastAsia="zh-CN"/>
        </w:rPr>
        <w:t>全年</w:t>
      </w:r>
      <w:r>
        <w:rPr>
          <w:rFonts w:hint="eastAsia" w:ascii="仿宋_GB2312" w:hAnsi="仿宋" w:eastAsia="仿宋_GB2312"/>
          <w:sz w:val="32"/>
          <w:szCs w:val="32"/>
        </w:rPr>
        <w:t>工作，做到绩效事先、事中、事后监督管理到位，</w:t>
      </w:r>
      <w:r>
        <w:rPr>
          <w:rFonts w:hint="eastAsia" w:ascii="仿宋_GB2312" w:hAnsi="仿宋" w:eastAsia="仿宋_GB2312"/>
          <w:sz w:val="32"/>
          <w:szCs w:val="32"/>
          <w:lang w:eastAsia="zh-CN"/>
        </w:rPr>
        <w:t>并</w:t>
      </w:r>
      <w:r>
        <w:rPr>
          <w:rFonts w:hint="eastAsia" w:ascii="仿宋_GB2312" w:hAnsi="仿宋" w:eastAsia="仿宋_GB2312"/>
          <w:sz w:val="32"/>
          <w:szCs w:val="32"/>
        </w:rPr>
        <w:t>将相关监管资料</w:t>
      </w:r>
      <w:r>
        <w:rPr>
          <w:rFonts w:hint="eastAsia" w:ascii="仿宋_GB2312" w:hAnsi="仿宋" w:eastAsia="仿宋_GB2312"/>
          <w:sz w:val="32"/>
          <w:szCs w:val="32"/>
          <w:lang w:eastAsia="zh-CN"/>
        </w:rPr>
        <w:t>及时</w:t>
      </w:r>
      <w:r>
        <w:rPr>
          <w:rFonts w:hint="eastAsia" w:ascii="仿宋_GB2312" w:hAnsi="仿宋" w:eastAsia="仿宋_GB2312"/>
          <w:sz w:val="32"/>
          <w:szCs w:val="32"/>
        </w:rPr>
        <w:t>留存备查。</w:t>
      </w:r>
    </w:p>
    <w:p>
      <w:pPr>
        <w:spacing w:line="640" w:lineRule="exact"/>
        <w:ind w:firstLine="640" w:firstLineChars="200"/>
        <w:rPr>
          <w:rFonts w:hint="eastAsia" w:ascii="黑体" w:hAnsi="黑体" w:eastAsia="黑体"/>
          <w:b w:val="0"/>
          <w:bCs w:val="0"/>
          <w:sz w:val="32"/>
          <w:szCs w:val="32"/>
        </w:rPr>
      </w:pPr>
      <w:r>
        <w:rPr>
          <w:rFonts w:hint="eastAsia" w:ascii="黑体" w:hAnsi="黑体" w:eastAsia="黑体"/>
          <w:b w:val="0"/>
          <w:bCs w:val="0"/>
          <w:sz w:val="32"/>
          <w:szCs w:val="32"/>
        </w:rPr>
        <w:t>十一、绩效自评结果应用和公开情况</w:t>
      </w:r>
    </w:p>
    <w:p>
      <w:pPr>
        <w:spacing w:line="600" w:lineRule="exact"/>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rPr>
        <w:t>（一）绩效自评结果应用</w:t>
      </w:r>
      <w:r>
        <w:rPr>
          <w:rFonts w:hint="eastAsia" w:ascii="楷体" w:hAnsi="楷体" w:eastAsia="楷体" w:cs="楷体"/>
          <w:b/>
          <w:bCs/>
          <w:sz w:val="32"/>
          <w:szCs w:val="32"/>
          <w:lang w:eastAsia="zh-CN"/>
        </w:rPr>
        <w:t>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绩效自评，进一步掌握了部门整体支出使用情况和取得的效果，总结了项目资金管理经验，发现了工作中存在的问题和不足，为下一步提高资金的使用效益、加强财政支出的规范化管理、健全和完善支出项目和资金使用管理办法、完善预算编制、加强绩效目标管理和绩效考核工作提供重要的参考依据。</w:t>
      </w:r>
    </w:p>
    <w:p>
      <w:p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（二）绩效自评结果公开情况</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绩效自评报告将通过</w:t>
      </w:r>
      <w:r>
        <w:rPr>
          <w:rFonts w:hint="eastAsia" w:ascii="仿宋_GB2312" w:hAnsi="仿宋_GB2312" w:eastAsia="仿宋_GB2312" w:cs="仿宋_GB2312"/>
          <w:sz w:val="32"/>
          <w:szCs w:val="32"/>
          <w:lang w:eastAsia="zh-CN"/>
        </w:rPr>
        <w:t>门户</w:t>
      </w:r>
      <w:r>
        <w:rPr>
          <w:rFonts w:hint="eastAsia" w:ascii="仿宋_GB2312" w:hAnsi="仿宋_GB2312" w:eastAsia="仿宋_GB2312" w:cs="仿宋_GB2312"/>
          <w:sz w:val="32"/>
          <w:szCs w:val="32"/>
        </w:rPr>
        <w:t>网</w:t>
      </w:r>
      <w:r>
        <w:rPr>
          <w:rFonts w:hint="eastAsia" w:ascii="仿宋_GB2312" w:hAnsi="仿宋_GB2312" w:eastAsia="仿宋_GB2312" w:cs="仿宋_GB2312"/>
          <w:sz w:val="32"/>
          <w:szCs w:val="32"/>
          <w:lang w:eastAsia="zh-CN"/>
        </w:rPr>
        <w:t>站</w:t>
      </w:r>
      <w:r>
        <w:rPr>
          <w:rFonts w:hint="eastAsia" w:ascii="仿宋_GB2312" w:hAnsi="仿宋_GB2312" w:eastAsia="仿宋_GB2312" w:cs="仿宋_GB2312"/>
          <w:sz w:val="32"/>
          <w:szCs w:val="32"/>
        </w:rPr>
        <w:t>予以公布，接受群众监督。</w:t>
      </w:r>
    </w:p>
    <w:p>
      <w:pPr>
        <w:spacing w:line="600" w:lineRule="exact"/>
        <w:ind w:firstLine="600"/>
        <w:rPr>
          <w:rFonts w:ascii="仿宋_GB2312" w:hAnsi="仿宋_GB2312" w:eastAsia="仿宋_GB2312" w:cs="仿宋_GB2312"/>
          <w:bCs/>
          <w:sz w:val="32"/>
          <w:szCs w:val="32"/>
        </w:rPr>
      </w:pPr>
    </w:p>
    <w:p>
      <w:pPr>
        <w:spacing w:line="640" w:lineRule="exact"/>
        <w:ind w:firstLine="640" w:firstLineChars="200"/>
        <w:rPr>
          <w:rFonts w:ascii="仿宋_GB2312" w:hAnsi="仿宋" w:eastAsia="仿宋_GB2312" w:cs="仿宋"/>
          <w:sz w:val="32"/>
          <w:szCs w:val="32"/>
        </w:rPr>
      </w:pPr>
    </w:p>
    <w:sectPr>
      <w:footerReference r:id="rId3" w:type="default"/>
      <w:pgSz w:w="11906" w:h="16838"/>
      <w:pgMar w:top="1701" w:right="1588" w:bottom="1361"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Text Box 1025" o:spid="_x0000_s4097"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1u5d9AAAAACAQAADwAAAAAAAAAB&#10;ACAAAAAiAAAAZHJzL2Rvd25yZXYueG1sUEsBAhQAFAAAAAgAh07iQDbMq2DfAQAAtQMAAA4AAAAA&#10;AAAAAQAgAAAAHwEAAGRycy9lMm9Eb2MueG1sUEsFBgAAAAAGAAYAWQEAAHAFAAAAAA==&#10;">
          <v:path/>
          <v:fill on="f" focussize="0,0"/>
          <v:stroke on="f" joinstyle="miter"/>
          <v:imagedata o:title=""/>
          <o:lock v:ext="edit"/>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EC2DE7"/>
    <w:rsid w:val="00003F9B"/>
    <w:rsid w:val="00005ACF"/>
    <w:rsid w:val="00015754"/>
    <w:rsid w:val="0001779D"/>
    <w:rsid w:val="00023C95"/>
    <w:rsid w:val="00025659"/>
    <w:rsid w:val="00025CA2"/>
    <w:rsid w:val="00031ABA"/>
    <w:rsid w:val="00035824"/>
    <w:rsid w:val="00042155"/>
    <w:rsid w:val="00045DB5"/>
    <w:rsid w:val="00055062"/>
    <w:rsid w:val="000937D5"/>
    <w:rsid w:val="000A37BA"/>
    <w:rsid w:val="000A49FB"/>
    <w:rsid w:val="000C0A99"/>
    <w:rsid w:val="000D33CD"/>
    <w:rsid w:val="000D6109"/>
    <w:rsid w:val="00106A90"/>
    <w:rsid w:val="00115FCA"/>
    <w:rsid w:val="00131B14"/>
    <w:rsid w:val="00137C38"/>
    <w:rsid w:val="001428B9"/>
    <w:rsid w:val="00166F2D"/>
    <w:rsid w:val="00180244"/>
    <w:rsid w:val="00180D1D"/>
    <w:rsid w:val="00182A95"/>
    <w:rsid w:val="001842BD"/>
    <w:rsid w:val="0018589A"/>
    <w:rsid w:val="00193FDA"/>
    <w:rsid w:val="001A2E8A"/>
    <w:rsid w:val="001B5A3A"/>
    <w:rsid w:val="001D79A4"/>
    <w:rsid w:val="001E64E6"/>
    <w:rsid w:val="00200E45"/>
    <w:rsid w:val="00201B23"/>
    <w:rsid w:val="00203379"/>
    <w:rsid w:val="00247600"/>
    <w:rsid w:val="0025126C"/>
    <w:rsid w:val="00263B57"/>
    <w:rsid w:val="0027097B"/>
    <w:rsid w:val="002736FC"/>
    <w:rsid w:val="00296929"/>
    <w:rsid w:val="002A4ACE"/>
    <w:rsid w:val="002B1F80"/>
    <w:rsid w:val="002C0849"/>
    <w:rsid w:val="002C1235"/>
    <w:rsid w:val="002C4EA9"/>
    <w:rsid w:val="002E0A3D"/>
    <w:rsid w:val="002F0E10"/>
    <w:rsid w:val="002F24E4"/>
    <w:rsid w:val="002F344F"/>
    <w:rsid w:val="002F34DE"/>
    <w:rsid w:val="0030339D"/>
    <w:rsid w:val="00311367"/>
    <w:rsid w:val="00324846"/>
    <w:rsid w:val="0033052E"/>
    <w:rsid w:val="00343115"/>
    <w:rsid w:val="00356102"/>
    <w:rsid w:val="003674A8"/>
    <w:rsid w:val="00381B60"/>
    <w:rsid w:val="00392E93"/>
    <w:rsid w:val="003938BF"/>
    <w:rsid w:val="003A739B"/>
    <w:rsid w:val="003B33ED"/>
    <w:rsid w:val="003C3670"/>
    <w:rsid w:val="003D479D"/>
    <w:rsid w:val="003E5CD6"/>
    <w:rsid w:val="003F5A19"/>
    <w:rsid w:val="00401392"/>
    <w:rsid w:val="00421668"/>
    <w:rsid w:val="004339EC"/>
    <w:rsid w:val="00447C19"/>
    <w:rsid w:val="00452F9C"/>
    <w:rsid w:val="00484FA8"/>
    <w:rsid w:val="004A2CD5"/>
    <w:rsid w:val="004A7A9C"/>
    <w:rsid w:val="004B0A09"/>
    <w:rsid w:val="004B18F2"/>
    <w:rsid w:val="004B2C68"/>
    <w:rsid w:val="004B39F0"/>
    <w:rsid w:val="004C1AC5"/>
    <w:rsid w:val="004D00BD"/>
    <w:rsid w:val="004D2367"/>
    <w:rsid w:val="004D5095"/>
    <w:rsid w:val="004E27C8"/>
    <w:rsid w:val="00510E38"/>
    <w:rsid w:val="0052446B"/>
    <w:rsid w:val="0052546F"/>
    <w:rsid w:val="005329D3"/>
    <w:rsid w:val="005358E3"/>
    <w:rsid w:val="005415D3"/>
    <w:rsid w:val="00561BD1"/>
    <w:rsid w:val="0057239B"/>
    <w:rsid w:val="00577CBD"/>
    <w:rsid w:val="005836D9"/>
    <w:rsid w:val="005A56E9"/>
    <w:rsid w:val="005A75DE"/>
    <w:rsid w:val="005C6026"/>
    <w:rsid w:val="005C606C"/>
    <w:rsid w:val="005F09F6"/>
    <w:rsid w:val="005F563B"/>
    <w:rsid w:val="00631D35"/>
    <w:rsid w:val="006425D3"/>
    <w:rsid w:val="00653358"/>
    <w:rsid w:val="00661EC7"/>
    <w:rsid w:val="00665B47"/>
    <w:rsid w:val="00667A5D"/>
    <w:rsid w:val="00667C54"/>
    <w:rsid w:val="00680800"/>
    <w:rsid w:val="006A33C0"/>
    <w:rsid w:val="006A7B8D"/>
    <w:rsid w:val="006D0510"/>
    <w:rsid w:val="006E3831"/>
    <w:rsid w:val="006E72F5"/>
    <w:rsid w:val="006F091E"/>
    <w:rsid w:val="00703285"/>
    <w:rsid w:val="0070726A"/>
    <w:rsid w:val="0072016A"/>
    <w:rsid w:val="007237AD"/>
    <w:rsid w:val="007331D3"/>
    <w:rsid w:val="0073461D"/>
    <w:rsid w:val="00747526"/>
    <w:rsid w:val="0076069B"/>
    <w:rsid w:val="00765948"/>
    <w:rsid w:val="007844AE"/>
    <w:rsid w:val="00787A44"/>
    <w:rsid w:val="00791079"/>
    <w:rsid w:val="00791D17"/>
    <w:rsid w:val="0079568E"/>
    <w:rsid w:val="007B4EA7"/>
    <w:rsid w:val="007C5E06"/>
    <w:rsid w:val="007D431C"/>
    <w:rsid w:val="007D5D84"/>
    <w:rsid w:val="0080574A"/>
    <w:rsid w:val="0081376B"/>
    <w:rsid w:val="00820A6C"/>
    <w:rsid w:val="00823BE8"/>
    <w:rsid w:val="00831571"/>
    <w:rsid w:val="00851E56"/>
    <w:rsid w:val="008650EC"/>
    <w:rsid w:val="0087126A"/>
    <w:rsid w:val="008742CB"/>
    <w:rsid w:val="008753BE"/>
    <w:rsid w:val="00896B82"/>
    <w:rsid w:val="008974B3"/>
    <w:rsid w:val="008A738A"/>
    <w:rsid w:val="008B69B7"/>
    <w:rsid w:val="008D4A3E"/>
    <w:rsid w:val="008F1E13"/>
    <w:rsid w:val="008F3D56"/>
    <w:rsid w:val="00900EB7"/>
    <w:rsid w:val="0096198E"/>
    <w:rsid w:val="00962A64"/>
    <w:rsid w:val="0099327C"/>
    <w:rsid w:val="009B1614"/>
    <w:rsid w:val="009B1AA2"/>
    <w:rsid w:val="009B1F9E"/>
    <w:rsid w:val="009B5465"/>
    <w:rsid w:val="009C23ED"/>
    <w:rsid w:val="009E3827"/>
    <w:rsid w:val="009F4DB8"/>
    <w:rsid w:val="00A26B56"/>
    <w:rsid w:val="00A41894"/>
    <w:rsid w:val="00A5384C"/>
    <w:rsid w:val="00A548A4"/>
    <w:rsid w:val="00A64EA3"/>
    <w:rsid w:val="00A7520F"/>
    <w:rsid w:val="00AA26BD"/>
    <w:rsid w:val="00AC7419"/>
    <w:rsid w:val="00AD4AF3"/>
    <w:rsid w:val="00AD7ED7"/>
    <w:rsid w:val="00AE2623"/>
    <w:rsid w:val="00AE7D9D"/>
    <w:rsid w:val="00AF5ED7"/>
    <w:rsid w:val="00B11032"/>
    <w:rsid w:val="00B17E71"/>
    <w:rsid w:val="00B24E9A"/>
    <w:rsid w:val="00B30B20"/>
    <w:rsid w:val="00B3557F"/>
    <w:rsid w:val="00B376FD"/>
    <w:rsid w:val="00B37A0A"/>
    <w:rsid w:val="00B46A26"/>
    <w:rsid w:val="00B46C29"/>
    <w:rsid w:val="00B55502"/>
    <w:rsid w:val="00B67B23"/>
    <w:rsid w:val="00B850F0"/>
    <w:rsid w:val="00BA5CD6"/>
    <w:rsid w:val="00BA6F88"/>
    <w:rsid w:val="00BB1DF6"/>
    <w:rsid w:val="00BB2518"/>
    <w:rsid w:val="00BB255E"/>
    <w:rsid w:val="00BC14E5"/>
    <w:rsid w:val="00BC55A5"/>
    <w:rsid w:val="00BD3794"/>
    <w:rsid w:val="00BD3FFD"/>
    <w:rsid w:val="00BE2727"/>
    <w:rsid w:val="00BF0C59"/>
    <w:rsid w:val="00BF3187"/>
    <w:rsid w:val="00C22ABC"/>
    <w:rsid w:val="00C31BED"/>
    <w:rsid w:val="00C44DB0"/>
    <w:rsid w:val="00C579F0"/>
    <w:rsid w:val="00C8716F"/>
    <w:rsid w:val="00C875BE"/>
    <w:rsid w:val="00C97022"/>
    <w:rsid w:val="00CB2240"/>
    <w:rsid w:val="00CD6C6B"/>
    <w:rsid w:val="00CE0B03"/>
    <w:rsid w:val="00CF0A43"/>
    <w:rsid w:val="00CF548E"/>
    <w:rsid w:val="00CF67DB"/>
    <w:rsid w:val="00D06C2B"/>
    <w:rsid w:val="00D274E9"/>
    <w:rsid w:val="00D279E7"/>
    <w:rsid w:val="00D35366"/>
    <w:rsid w:val="00D354D6"/>
    <w:rsid w:val="00D36AEB"/>
    <w:rsid w:val="00D40DC8"/>
    <w:rsid w:val="00D46A1E"/>
    <w:rsid w:val="00D70B10"/>
    <w:rsid w:val="00D86039"/>
    <w:rsid w:val="00D946B9"/>
    <w:rsid w:val="00DB666E"/>
    <w:rsid w:val="00DC5788"/>
    <w:rsid w:val="00DD1469"/>
    <w:rsid w:val="00DD284C"/>
    <w:rsid w:val="00E03924"/>
    <w:rsid w:val="00E32446"/>
    <w:rsid w:val="00E353F7"/>
    <w:rsid w:val="00E37DDA"/>
    <w:rsid w:val="00E71B02"/>
    <w:rsid w:val="00E740DF"/>
    <w:rsid w:val="00E901C7"/>
    <w:rsid w:val="00E90770"/>
    <w:rsid w:val="00EA2DF5"/>
    <w:rsid w:val="00EA50CF"/>
    <w:rsid w:val="00EB001B"/>
    <w:rsid w:val="00EC2DE7"/>
    <w:rsid w:val="00EC64B3"/>
    <w:rsid w:val="00EE28B2"/>
    <w:rsid w:val="00EE41F2"/>
    <w:rsid w:val="00EE675C"/>
    <w:rsid w:val="00EF3E20"/>
    <w:rsid w:val="00EF4EBE"/>
    <w:rsid w:val="00EF76E0"/>
    <w:rsid w:val="00F0497A"/>
    <w:rsid w:val="00F10525"/>
    <w:rsid w:val="00F10BA1"/>
    <w:rsid w:val="00F71E46"/>
    <w:rsid w:val="00FA1836"/>
    <w:rsid w:val="00FB4788"/>
    <w:rsid w:val="00FB79E1"/>
    <w:rsid w:val="00FC7773"/>
    <w:rsid w:val="00FF594A"/>
    <w:rsid w:val="011311FA"/>
    <w:rsid w:val="011A28D6"/>
    <w:rsid w:val="035E1AAE"/>
    <w:rsid w:val="04580C64"/>
    <w:rsid w:val="07EB6787"/>
    <w:rsid w:val="0850196A"/>
    <w:rsid w:val="08CC3C5F"/>
    <w:rsid w:val="0B6C40F2"/>
    <w:rsid w:val="0B7E5E80"/>
    <w:rsid w:val="0CAB1A7C"/>
    <w:rsid w:val="0D4F3B4C"/>
    <w:rsid w:val="0D826793"/>
    <w:rsid w:val="0E9F5344"/>
    <w:rsid w:val="0EDD1C89"/>
    <w:rsid w:val="10953914"/>
    <w:rsid w:val="11ED1F88"/>
    <w:rsid w:val="12813E9A"/>
    <w:rsid w:val="128D291F"/>
    <w:rsid w:val="12CE06E2"/>
    <w:rsid w:val="13141747"/>
    <w:rsid w:val="134954C9"/>
    <w:rsid w:val="143E3C37"/>
    <w:rsid w:val="150E3735"/>
    <w:rsid w:val="152770EF"/>
    <w:rsid w:val="167A590B"/>
    <w:rsid w:val="17161539"/>
    <w:rsid w:val="17CB05F2"/>
    <w:rsid w:val="180D2ABE"/>
    <w:rsid w:val="1817512D"/>
    <w:rsid w:val="18337B08"/>
    <w:rsid w:val="1AC96877"/>
    <w:rsid w:val="1B1D57B3"/>
    <w:rsid w:val="1C2D23F7"/>
    <w:rsid w:val="1C936108"/>
    <w:rsid w:val="1D217182"/>
    <w:rsid w:val="1DD5180F"/>
    <w:rsid w:val="1E3F5BF9"/>
    <w:rsid w:val="1ED570CF"/>
    <w:rsid w:val="205509BA"/>
    <w:rsid w:val="228A5F0B"/>
    <w:rsid w:val="23E82AF7"/>
    <w:rsid w:val="23F7068C"/>
    <w:rsid w:val="25D210D0"/>
    <w:rsid w:val="25F446ED"/>
    <w:rsid w:val="27A679F0"/>
    <w:rsid w:val="27C423A2"/>
    <w:rsid w:val="28326790"/>
    <w:rsid w:val="283A2A2D"/>
    <w:rsid w:val="29A97158"/>
    <w:rsid w:val="2A1747BE"/>
    <w:rsid w:val="2B580F73"/>
    <w:rsid w:val="2B780659"/>
    <w:rsid w:val="2B7B2810"/>
    <w:rsid w:val="2B9D4892"/>
    <w:rsid w:val="2C2B1E94"/>
    <w:rsid w:val="2E975BA5"/>
    <w:rsid w:val="2EA34CAD"/>
    <w:rsid w:val="2F7B2254"/>
    <w:rsid w:val="2FD17C76"/>
    <w:rsid w:val="30397948"/>
    <w:rsid w:val="305F312C"/>
    <w:rsid w:val="311E6775"/>
    <w:rsid w:val="31727512"/>
    <w:rsid w:val="33BA191D"/>
    <w:rsid w:val="34A07969"/>
    <w:rsid w:val="34ED18A9"/>
    <w:rsid w:val="351076FD"/>
    <w:rsid w:val="36FD0117"/>
    <w:rsid w:val="371F5504"/>
    <w:rsid w:val="37DD5A84"/>
    <w:rsid w:val="37FC50B1"/>
    <w:rsid w:val="38142C27"/>
    <w:rsid w:val="383D16FB"/>
    <w:rsid w:val="38A665EA"/>
    <w:rsid w:val="39655A4A"/>
    <w:rsid w:val="3A9D3AD6"/>
    <w:rsid w:val="3BF25DE0"/>
    <w:rsid w:val="3C002C76"/>
    <w:rsid w:val="3C9214B7"/>
    <w:rsid w:val="3DE32266"/>
    <w:rsid w:val="3EC146F8"/>
    <w:rsid w:val="3ED92C7B"/>
    <w:rsid w:val="432F3D05"/>
    <w:rsid w:val="433D4D67"/>
    <w:rsid w:val="45525A97"/>
    <w:rsid w:val="491D04ED"/>
    <w:rsid w:val="4A6600C0"/>
    <w:rsid w:val="4C836F16"/>
    <w:rsid w:val="4D354181"/>
    <w:rsid w:val="4F411F39"/>
    <w:rsid w:val="4F5931F5"/>
    <w:rsid w:val="51CF2545"/>
    <w:rsid w:val="51E91BEA"/>
    <w:rsid w:val="52FC30E7"/>
    <w:rsid w:val="572912BB"/>
    <w:rsid w:val="572F664D"/>
    <w:rsid w:val="59C92196"/>
    <w:rsid w:val="5A2E17DC"/>
    <w:rsid w:val="5AA67C18"/>
    <w:rsid w:val="5B1C7FD7"/>
    <w:rsid w:val="5CCB4E83"/>
    <w:rsid w:val="5D410757"/>
    <w:rsid w:val="5DD524CB"/>
    <w:rsid w:val="5F193D18"/>
    <w:rsid w:val="60A26C1A"/>
    <w:rsid w:val="6252602E"/>
    <w:rsid w:val="634A2934"/>
    <w:rsid w:val="644C6DB8"/>
    <w:rsid w:val="645D677A"/>
    <w:rsid w:val="648112AE"/>
    <w:rsid w:val="65580C57"/>
    <w:rsid w:val="65A61E5A"/>
    <w:rsid w:val="66AE5ED5"/>
    <w:rsid w:val="67591CF7"/>
    <w:rsid w:val="68156FD0"/>
    <w:rsid w:val="68931B98"/>
    <w:rsid w:val="68AA7FED"/>
    <w:rsid w:val="695250B0"/>
    <w:rsid w:val="6A183A0E"/>
    <w:rsid w:val="6B0B6744"/>
    <w:rsid w:val="6E214BA5"/>
    <w:rsid w:val="6EF742EF"/>
    <w:rsid w:val="6FAF4798"/>
    <w:rsid w:val="6FF36FD7"/>
    <w:rsid w:val="707E7275"/>
    <w:rsid w:val="725D21B4"/>
    <w:rsid w:val="75945F3C"/>
    <w:rsid w:val="763E70DC"/>
    <w:rsid w:val="77EA169F"/>
    <w:rsid w:val="77F86DDC"/>
    <w:rsid w:val="78AB34A0"/>
    <w:rsid w:val="797D091F"/>
    <w:rsid w:val="7E407412"/>
    <w:rsid w:val="7E8226C7"/>
    <w:rsid w:val="7F2045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31"/>
    <w:qFormat/>
    <w:locked/>
    <w:uiPriority w:val="99"/>
    <w:pPr>
      <w:keepNext/>
      <w:keepLines/>
      <w:spacing w:before="260" w:after="260" w:line="416" w:lineRule="auto"/>
      <w:outlineLvl w:val="2"/>
    </w:pPr>
    <w:rPr>
      <w:rFonts w:ascii="Times New Roman" w:hAnsi="Times New Roman"/>
      <w:b/>
      <w:bCs/>
      <w:sz w:val="32"/>
      <w:szCs w:val="32"/>
    </w:rPr>
  </w:style>
  <w:style w:type="paragraph" w:styleId="4">
    <w:name w:val="heading 4"/>
    <w:basedOn w:val="1"/>
    <w:next w:val="1"/>
    <w:link w:val="30"/>
    <w:qFormat/>
    <w:locked/>
    <w:uiPriority w:val="99"/>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link w:val="32"/>
    <w:unhideWhenUsed/>
    <w:qFormat/>
    <w:uiPriority w:val="99"/>
    <w:pPr>
      <w:spacing w:after="120"/>
    </w:pPr>
  </w:style>
  <w:style w:type="paragraph" w:styleId="6">
    <w:name w:val="Body Text Indent"/>
    <w:basedOn w:val="1"/>
    <w:next w:val="7"/>
    <w:qFormat/>
    <w:uiPriority w:val="99"/>
    <w:pPr>
      <w:spacing w:line="440" w:lineRule="exact"/>
      <w:ind w:left="359" w:leftChars="171" w:firstLine="420" w:firstLineChars="200"/>
    </w:pPr>
  </w:style>
  <w:style w:type="paragraph" w:styleId="7">
    <w:name w:val="Body Text Indent 2"/>
    <w:basedOn w:val="1"/>
    <w:qFormat/>
    <w:uiPriority w:val="0"/>
    <w:pPr>
      <w:spacing w:line="500" w:lineRule="exact"/>
      <w:ind w:firstLine="564"/>
    </w:pPr>
    <w:rPr>
      <w:rFonts w:ascii="Times New Roman" w:hAnsi="Times New Roman"/>
    </w:rPr>
  </w:style>
  <w:style w:type="paragraph" w:styleId="8">
    <w:name w:val="footer"/>
    <w:basedOn w:val="1"/>
    <w:link w:val="28"/>
    <w:unhideWhenUsed/>
    <w:qFormat/>
    <w:uiPriority w:val="99"/>
    <w:pPr>
      <w:tabs>
        <w:tab w:val="center" w:pos="4153"/>
        <w:tab w:val="right" w:pos="8306"/>
      </w:tabs>
      <w:snapToGrid w:val="0"/>
      <w:jc w:val="left"/>
    </w:pPr>
    <w:rPr>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jc w:val="left"/>
    </w:pPr>
    <w:rPr>
      <w:kern w:val="0"/>
      <w:sz w:val="24"/>
    </w:rPr>
  </w:style>
  <w:style w:type="paragraph" w:styleId="11">
    <w:name w:val="Body Text First Indent 2"/>
    <w:basedOn w:val="6"/>
    <w:qFormat/>
    <w:uiPriority w:val="99"/>
    <w:pPr>
      <w:autoSpaceDE w:val="0"/>
      <w:autoSpaceDN w:val="0"/>
      <w:adjustRightInd w:val="0"/>
      <w:jc w:val="left"/>
    </w:pPr>
    <w:rPr>
      <w:kern w:val="0"/>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rFonts w:cs="Times New Roman"/>
    </w:rPr>
  </w:style>
  <w:style w:type="character" w:styleId="16">
    <w:name w:val="FollowedHyperlink"/>
    <w:basedOn w:val="14"/>
    <w:qFormat/>
    <w:uiPriority w:val="99"/>
    <w:rPr>
      <w:rFonts w:cs="Times New Roman"/>
      <w:color w:val="000000"/>
      <w:u w:val="none"/>
    </w:rPr>
  </w:style>
  <w:style w:type="character" w:styleId="17">
    <w:name w:val="Emphasis"/>
    <w:basedOn w:val="14"/>
    <w:qFormat/>
    <w:uiPriority w:val="99"/>
    <w:rPr>
      <w:rFonts w:cs="Times New Roman"/>
    </w:rPr>
  </w:style>
  <w:style w:type="character" w:styleId="18">
    <w:name w:val="HTML Definition"/>
    <w:basedOn w:val="14"/>
    <w:qFormat/>
    <w:uiPriority w:val="99"/>
    <w:rPr>
      <w:rFonts w:cs="Times New Roman"/>
    </w:rPr>
  </w:style>
  <w:style w:type="character" w:styleId="19">
    <w:name w:val="HTML Acronym"/>
    <w:basedOn w:val="14"/>
    <w:qFormat/>
    <w:uiPriority w:val="99"/>
    <w:rPr>
      <w:rFonts w:cs="Times New Roman"/>
    </w:rPr>
  </w:style>
  <w:style w:type="character" w:styleId="20">
    <w:name w:val="HTML Variable"/>
    <w:basedOn w:val="14"/>
    <w:qFormat/>
    <w:uiPriority w:val="99"/>
    <w:rPr>
      <w:rFonts w:cs="Times New Roman"/>
    </w:rPr>
  </w:style>
  <w:style w:type="character" w:styleId="21">
    <w:name w:val="Hyperlink"/>
    <w:basedOn w:val="14"/>
    <w:qFormat/>
    <w:uiPriority w:val="99"/>
    <w:rPr>
      <w:rFonts w:cs="Times New Roman"/>
      <w:color w:val="000000"/>
      <w:u w:val="none"/>
    </w:rPr>
  </w:style>
  <w:style w:type="character" w:styleId="22">
    <w:name w:val="HTML Code"/>
    <w:basedOn w:val="14"/>
    <w:qFormat/>
    <w:uiPriority w:val="99"/>
    <w:rPr>
      <w:rFonts w:ascii="Courier New" w:hAnsi="Courier New" w:cs="Times New Roman"/>
      <w:sz w:val="20"/>
    </w:rPr>
  </w:style>
  <w:style w:type="character" w:styleId="23">
    <w:name w:val="HTML Cite"/>
    <w:basedOn w:val="14"/>
    <w:qFormat/>
    <w:uiPriority w:val="99"/>
    <w:rPr>
      <w:rFonts w:cs="Times New Roman"/>
    </w:rPr>
  </w:style>
  <w:style w:type="character" w:customStyle="1" w:styleId="24">
    <w:name w:val="rightlinks"/>
    <w:basedOn w:val="14"/>
    <w:qFormat/>
    <w:uiPriority w:val="99"/>
    <w:rPr>
      <w:rFonts w:cs="Times New Roman"/>
      <w:sz w:val="18"/>
      <w:szCs w:val="18"/>
    </w:rPr>
  </w:style>
  <w:style w:type="character" w:customStyle="1" w:styleId="25">
    <w:name w:val="more"/>
    <w:basedOn w:val="14"/>
    <w:qFormat/>
    <w:uiPriority w:val="99"/>
    <w:rPr>
      <w:rFonts w:cs="Times New Roman"/>
    </w:rPr>
  </w:style>
  <w:style w:type="character" w:customStyle="1" w:styleId="26">
    <w:name w:val="deptpubitem"/>
    <w:basedOn w:val="14"/>
    <w:qFormat/>
    <w:uiPriority w:val="99"/>
    <w:rPr>
      <w:rFonts w:cs="Times New Roman"/>
    </w:rPr>
  </w:style>
  <w:style w:type="character" w:customStyle="1" w:styleId="27">
    <w:name w:val="页眉 Char"/>
    <w:basedOn w:val="14"/>
    <w:link w:val="9"/>
    <w:qFormat/>
    <w:uiPriority w:val="99"/>
    <w:rPr>
      <w:rFonts w:ascii="Calibri" w:hAnsi="Calibri"/>
      <w:sz w:val="18"/>
      <w:szCs w:val="18"/>
    </w:rPr>
  </w:style>
  <w:style w:type="character" w:customStyle="1" w:styleId="28">
    <w:name w:val="页脚 Char"/>
    <w:basedOn w:val="14"/>
    <w:link w:val="8"/>
    <w:qFormat/>
    <w:uiPriority w:val="99"/>
    <w:rPr>
      <w:rFonts w:ascii="Calibri" w:hAnsi="Calibri"/>
      <w:sz w:val="18"/>
      <w:szCs w:val="18"/>
    </w:rPr>
  </w:style>
  <w:style w:type="paragraph" w:styleId="29">
    <w:name w:val="List Paragraph"/>
    <w:basedOn w:val="1"/>
    <w:qFormat/>
    <w:uiPriority w:val="99"/>
    <w:pPr>
      <w:ind w:firstLine="420" w:firstLineChars="200"/>
    </w:pPr>
  </w:style>
  <w:style w:type="character" w:customStyle="1" w:styleId="30">
    <w:name w:val="标题 4 Char"/>
    <w:basedOn w:val="14"/>
    <w:link w:val="4"/>
    <w:qFormat/>
    <w:uiPriority w:val="99"/>
    <w:rPr>
      <w:rFonts w:ascii="Cambria" w:hAnsi="Cambria"/>
      <w:b/>
      <w:bCs/>
      <w:kern w:val="2"/>
      <w:sz w:val="28"/>
      <w:szCs w:val="28"/>
    </w:rPr>
  </w:style>
  <w:style w:type="character" w:customStyle="1" w:styleId="31">
    <w:name w:val="标题 3 Char"/>
    <w:basedOn w:val="14"/>
    <w:link w:val="3"/>
    <w:qFormat/>
    <w:uiPriority w:val="99"/>
    <w:rPr>
      <w:rFonts w:ascii="Times New Roman" w:hAnsi="Times New Roman"/>
      <w:b/>
      <w:bCs/>
      <w:kern w:val="2"/>
      <w:sz w:val="32"/>
      <w:szCs w:val="32"/>
    </w:rPr>
  </w:style>
  <w:style w:type="character" w:customStyle="1" w:styleId="32">
    <w:name w:val="正文文本 Char"/>
    <w:basedOn w:val="14"/>
    <w:link w:val="5"/>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36D3B-2604-4A12-8ECD-D7D8479BD6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5349</Words>
  <Characters>5848</Characters>
  <Lines>5</Lines>
  <Paragraphs>12</Paragraphs>
  <TotalTime>20</TotalTime>
  <ScaleCrop>false</ScaleCrop>
  <LinksUpToDate>false</LinksUpToDate>
  <CharactersWithSpaces>5849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2022-03-19T09:48:00Z</dcterms:created>
  <dc:creator>Administrator</dc:creator>
  <cp:lastModifiedBy>璇</cp:lastModifiedBy>
  <cp:lastPrinted>2022-03-21T07:07:00Z</cp:lastPrinted>
  <dcterms:modified xsi:type="dcterms:W3CDTF">2022-03-21T08:25:54Z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18701F9D1DFB4332A77716091AC3D289</vt:lpwstr>
  </property>
</Properties>
</file>