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ADEB">
      <w:pPr>
        <w:keepNext w:val="0"/>
        <w:keepLines w:val="0"/>
        <w:pageBreakBefore w:val="0"/>
        <w:kinsoku/>
        <w:wordWrap/>
        <w:overflowPunct/>
        <w:topLinePunct w:val="0"/>
        <w:autoSpaceDE/>
        <w:autoSpaceDN w:val="0"/>
        <w:bidi w:val="0"/>
        <w:adjustRightInd w:val="0"/>
        <w:snapToGrid/>
        <w:spacing w:line="560" w:lineRule="exact"/>
        <w:jc w:val="center"/>
        <w:textAlignment w:val="auto"/>
        <w:outlineLvl w:val="0"/>
        <w:rPr>
          <w:rFonts w:hint="default" w:ascii="Times New Roman" w:hAnsi="Times New Roman" w:eastAsia="方正公文小标宋" w:cs="Times New Roman"/>
          <w:b w:val="0"/>
          <w:bCs w:val="0"/>
          <w:spacing w:val="0"/>
          <w:kern w:val="2"/>
          <w:sz w:val="44"/>
          <w:szCs w:val="44"/>
          <w:highlight w:val="none"/>
          <w:lang w:val="en-US" w:eastAsia="zh-CN" w:bidi="ar"/>
        </w:rPr>
      </w:pPr>
      <w:r>
        <w:rPr>
          <w:rFonts w:hint="eastAsia" w:ascii="方正小标宋简体" w:hAnsi="方正小标宋简体" w:eastAsia="方正小标宋简体" w:cs="方正小标宋简体"/>
          <w:b w:val="0"/>
          <w:bCs w:val="0"/>
          <w:spacing w:val="0"/>
          <w:kern w:val="2"/>
          <w:sz w:val="44"/>
          <w:szCs w:val="44"/>
          <w:highlight w:val="none"/>
          <w:lang w:val="en-US" w:eastAsia="zh-CN" w:bidi="ar"/>
        </w:rPr>
        <w:t>《长沙市数据权属登记管理暂行办法（征求意见稿）》起草说明</w:t>
      </w:r>
    </w:p>
    <w:p w14:paraId="0DF84BEC">
      <w:pPr>
        <w:keepNext w:val="0"/>
        <w:keepLines w:val="0"/>
        <w:pageBreakBefore w:val="0"/>
        <w:kinsoku/>
        <w:wordWrap/>
        <w:overflowPunct/>
        <w:topLinePunct w:val="0"/>
        <w:autoSpaceDE/>
        <w:autoSpaceDN w:val="0"/>
        <w:bidi w:val="0"/>
        <w:adjustRightInd w:val="0"/>
        <w:snapToGrid w:val="0"/>
        <w:spacing w:line="560" w:lineRule="exact"/>
        <w:jc w:val="center"/>
        <w:textAlignment w:val="auto"/>
        <w:rPr>
          <w:rFonts w:hint="eastAsia" w:ascii="楷体_GB2312" w:hAnsi="楷体_GB2312" w:eastAsia="楷体_GB2312" w:cs="楷体_GB2312"/>
          <w:spacing w:val="0"/>
          <w:kern w:val="2"/>
          <w:sz w:val="32"/>
          <w:szCs w:val="32"/>
          <w:highlight w:val="none"/>
          <w:lang w:val="en-US" w:eastAsia="zh-CN" w:bidi="ar"/>
        </w:rPr>
      </w:pPr>
      <w:r>
        <w:rPr>
          <w:rFonts w:hint="eastAsia" w:ascii="楷体_GB2312" w:hAnsi="楷体_GB2312" w:eastAsia="楷体_GB2312" w:cs="楷体_GB2312"/>
          <w:spacing w:val="0"/>
          <w:kern w:val="2"/>
          <w:sz w:val="32"/>
          <w:szCs w:val="32"/>
          <w:highlight w:val="none"/>
          <w:lang w:val="en-US" w:eastAsia="zh-CN" w:bidi="ar"/>
        </w:rPr>
        <w:t>长沙市数据局</w:t>
      </w:r>
    </w:p>
    <w:p w14:paraId="3D78FCF6">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pacing w:val="0"/>
          <w:kern w:val="2"/>
          <w:sz w:val="32"/>
          <w:szCs w:val="40"/>
          <w:highlight w:val="none"/>
          <w:lang w:val="en-US" w:eastAsia="zh-CN" w:bidi="ar"/>
        </w:rPr>
      </w:pPr>
      <w:r>
        <w:rPr>
          <w:rFonts w:hint="eastAsia" w:eastAsia="仿宋_GB2312" w:cs="Times New Roman"/>
          <w:spacing w:val="0"/>
          <w:kern w:val="2"/>
          <w:sz w:val="32"/>
          <w:szCs w:val="40"/>
          <w:highlight w:val="none"/>
          <w:lang w:val="en-US" w:eastAsia="zh-CN" w:bidi="ar"/>
        </w:rPr>
        <w:t>为</w:t>
      </w:r>
      <w:r>
        <w:rPr>
          <w:rFonts w:hint="default" w:ascii="Times New Roman" w:hAnsi="Times New Roman" w:eastAsia="仿宋_GB2312" w:cs="Times New Roman"/>
          <w:spacing w:val="0"/>
          <w:kern w:val="2"/>
          <w:sz w:val="32"/>
          <w:szCs w:val="40"/>
          <w:highlight w:val="none"/>
          <w:lang w:val="en-US" w:eastAsia="zh-CN" w:bidi="ar"/>
        </w:rPr>
        <w:t>贯彻落实《中共中央 国务院关于构建数据基础制度更好发挥数据要素作用的意见》</w:t>
      </w:r>
      <w:r>
        <w:rPr>
          <w:rFonts w:hint="eastAsia" w:eastAsia="仿宋_GB2312" w:cs="Times New Roman"/>
          <w:spacing w:val="0"/>
          <w:kern w:val="2"/>
          <w:sz w:val="32"/>
          <w:szCs w:val="40"/>
          <w:highlight w:val="none"/>
          <w:lang w:val="en-US" w:eastAsia="zh-CN" w:bidi="ar"/>
        </w:rPr>
        <w:t>等文件</w:t>
      </w:r>
      <w:r>
        <w:rPr>
          <w:rFonts w:hint="default" w:ascii="Times New Roman" w:hAnsi="Times New Roman" w:eastAsia="仿宋_GB2312" w:cs="Times New Roman"/>
          <w:spacing w:val="0"/>
          <w:kern w:val="2"/>
          <w:sz w:val="32"/>
          <w:szCs w:val="40"/>
          <w:highlight w:val="none"/>
          <w:lang w:val="en-US" w:eastAsia="zh-CN" w:bidi="ar"/>
        </w:rPr>
        <w:t>精神，</w:t>
      </w:r>
      <w:r>
        <w:rPr>
          <w:rFonts w:hint="eastAsia" w:eastAsia="仿宋_GB2312"/>
          <w:spacing w:val="0"/>
          <w:szCs w:val="40"/>
          <w:highlight w:val="none"/>
          <w:lang w:bidi="ar"/>
        </w:rPr>
        <w:t>加快</w:t>
      </w:r>
      <w:r>
        <w:rPr>
          <w:rFonts w:hint="eastAsia" w:eastAsia="仿宋_GB2312"/>
          <w:spacing w:val="0"/>
          <w:szCs w:val="40"/>
          <w:highlight w:val="none"/>
          <w:lang w:val="en-US" w:eastAsia="zh-CN" w:bidi="ar"/>
        </w:rPr>
        <w:t>长沙市</w:t>
      </w:r>
      <w:r>
        <w:rPr>
          <w:rFonts w:hint="eastAsia" w:eastAsia="仿宋_GB2312"/>
          <w:spacing w:val="0"/>
          <w:szCs w:val="40"/>
          <w:highlight w:val="none"/>
          <w:lang w:bidi="ar"/>
        </w:rPr>
        <w:t>数据要素体系建设</w:t>
      </w:r>
      <w:r>
        <w:rPr>
          <w:rFonts w:hint="eastAsia" w:eastAsia="仿宋_GB2312"/>
          <w:spacing w:val="0"/>
          <w:szCs w:val="40"/>
          <w:highlight w:val="none"/>
          <w:lang w:eastAsia="zh-CN" w:bidi="ar"/>
        </w:rPr>
        <w:t>，</w:t>
      </w:r>
      <w:r>
        <w:rPr>
          <w:rFonts w:hint="eastAsia" w:eastAsia="仿宋_GB2312"/>
          <w:spacing w:val="0"/>
          <w:szCs w:val="40"/>
          <w:highlight w:val="none"/>
          <w:lang w:bidi="ar"/>
        </w:rPr>
        <w:t>助推数字经济高质量发展</w:t>
      </w:r>
      <w:r>
        <w:rPr>
          <w:rFonts w:hint="default" w:ascii="Times New Roman" w:hAnsi="Times New Roman" w:eastAsia="仿宋_GB2312" w:cs="Times New Roman"/>
          <w:spacing w:val="0"/>
          <w:kern w:val="2"/>
          <w:sz w:val="32"/>
          <w:szCs w:val="40"/>
          <w:highlight w:val="none"/>
          <w:lang w:val="en-US" w:eastAsia="zh-CN" w:bidi="ar"/>
        </w:rPr>
        <w:t>，</w:t>
      </w:r>
      <w:r>
        <w:rPr>
          <w:rFonts w:hint="eastAsia" w:eastAsia="仿宋_GB2312" w:cs="Times New Roman"/>
          <w:spacing w:val="0"/>
          <w:kern w:val="2"/>
          <w:sz w:val="32"/>
          <w:szCs w:val="40"/>
          <w:highlight w:val="none"/>
          <w:lang w:val="en-US" w:eastAsia="zh-CN" w:bidi="ar"/>
        </w:rPr>
        <w:t>长沙市数据局牵头起草</w:t>
      </w:r>
      <w:r>
        <w:rPr>
          <w:rFonts w:hint="default" w:ascii="Times New Roman" w:hAnsi="Times New Roman" w:eastAsia="仿宋_GB2312" w:cs="Times New Roman"/>
          <w:spacing w:val="0"/>
          <w:kern w:val="2"/>
          <w:sz w:val="32"/>
          <w:szCs w:val="40"/>
          <w:highlight w:val="none"/>
          <w:lang w:val="en-US" w:eastAsia="zh-CN" w:bidi="ar"/>
        </w:rPr>
        <w:t>《长沙市数据</w:t>
      </w:r>
      <w:r>
        <w:rPr>
          <w:rFonts w:hint="eastAsia" w:eastAsia="仿宋_GB2312" w:cs="Times New Roman"/>
          <w:spacing w:val="0"/>
          <w:kern w:val="2"/>
          <w:sz w:val="32"/>
          <w:szCs w:val="40"/>
          <w:highlight w:val="none"/>
          <w:lang w:val="en-US" w:eastAsia="zh-CN" w:bidi="ar"/>
        </w:rPr>
        <w:t>权属登记管理</w:t>
      </w:r>
      <w:r>
        <w:rPr>
          <w:rFonts w:hint="default" w:ascii="Times New Roman" w:hAnsi="Times New Roman" w:eastAsia="仿宋_GB2312" w:cs="Times New Roman"/>
          <w:spacing w:val="0"/>
          <w:kern w:val="2"/>
          <w:sz w:val="32"/>
          <w:szCs w:val="40"/>
          <w:highlight w:val="none"/>
          <w:lang w:val="en-US" w:eastAsia="zh-CN" w:bidi="ar"/>
        </w:rPr>
        <w:t>暂行办</w:t>
      </w:r>
      <w:r>
        <w:rPr>
          <w:rFonts w:hint="default" w:ascii="Times New Roman" w:hAnsi="Times New Roman" w:eastAsia="仿宋_GB2312" w:cs="Times New Roman"/>
          <w:color w:val="auto"/>
          <w:spacing w:val="0"/>
          <w:kern w:val="2"/>
          <w:sz w:val="32"/>
          <w:szCs w:val="40"/>
          <w:highlight w:val="none"/>
          <w:lang w:val="en-US" w:eastAsia="zh-CN" w:bidi="ar"/>
        </w:rPr>
        <w:t>法（征求意见稿）》</w:t>
      </w:r>
      <w:r>
        <w:rPr>
          <w:rFonts w:hint="eastAsia" w:eastAsia="仿宋_GB2312" w:cs="Times New Roman"/>
          <w:color w:val="auto"/>
          <w:spacing w:val="0"/>
          <w:kern w:val="2"/>
          <w:sz w:val="32"/>
          <w:szCs w:val="40"/>
          <w:highlight w:val="none"/>
          <w:lang w:val="en-US" w:eastAsia="zh-CN" w:bidi="ar"/>
        </w:rPr>
        <w:t>（以</w:t>
      </w:r>
      <w:r>
        <w:rPr>
          <w:rFonts w:hint="eastAsia" w:eastAsia="仿宋_GB2312" w:cs="Times New Roman"/>
          <w:spacing w:val="0"/>
          <w:kern w:val="2"/>
          <w:sz w:val="32"/>
          <w:szCs w:val="40"/>
          <w:highlight w:val="none"/>
          <w:lang w:val="en-US" w:eastAsia="zh-CN" w:bidi="ar"/>
        </w:rPr>
        <w:t>下简称《管理办法》）</w:t>
      </w:r>
      <w:r>
        <w:rPr>
          <w:rFonts w:hint="default" w:ascii="Times New Roman" w:hAnsi="Times New Roman" w:eastAsia="仿宋_GB2312" w:cs="Times New Roman"/>
          <w:spacing w:val="0"/>
          <w:kern w:val="2"/>
          <w:sz w:val="32"/>
          <w:szCs w:val="40"/>
          <w:highlight w:val="none"/>
          <w:lang w:val="en-US" w:eastAsia="zh-CN" w:bidi="ar"/>
        </w:rPr>
        <w:t>，</w:t>
      </w:r>
      <w:r>
        <w:rPr>
          <w:rFonts w:hint="eastAsia" w:eastAsia="仿宋_GB2312" w:cs="Times New Roman"/>
          <w:spacing w:val="0"/>
          <w:kern w:val="2"/>
          <w:sz w:val="32"/>
          <w:szCs w:val="40"/>
          <w:highlight w:val="none"/>
          <w:lang w:val="en-US" w:eastAsia="zh-CN" w:bidi="ar"/>
        </w:rPr>
        <w:t>试点探索</w:t>
      </w:r>
      <w:r>
        <w:rPr>
          <w:rFonts w:hint="default" w:ascii="Times New Roman" w:hAnsi="Times New Roman" w:eastAsia="仿宋_GB2312" w:cs="Times New Roman"/>
          <w:spacing w:val="0"/>
          <w:kern w:val="2"/>
          <w:sz w:val="32"/>
          <w:szCs w:val="40"/>
          <w:highlight w:val="none"/>
          <w:lang w:val="en-US" w:eastAsia="zh-CN" w:bidi="ar"/>
        </w:rPr>
        <w:t>数据</w:t>
      </w:r>
      <w:r>
        <w:rPr>
          <w:rFonts w:hint="eastAsia" w:eastAsia="仿宋_GB2312" w:cs="Times New Roman"/>
          <w:spacing w:val="0"/>
          <w:kern w:val="2"/>
          <w:sz w:val="32"/>
          <w:szCs w:val="40"/>
          <w:highlight w:val="none"/>
          <w:lang w:val="en-US" w:eastAsia="zh-CN" w:bidi="ar"/>
        </w:rPr>
        <w:t>权属</w:t>
      </w:r>
      <w:r>
        <w:rPr>
          <w:rFonts w:hint="default" w:ascii="Times New Roman" w:hAnsi="Times New Roman" w:eastAsia="仿宋_GB2312" w:cs="Times New Roman"/>
          <w:spacing w:val="0"/>
          <w:kern w:val="2"/>
          <w:sz w:val="32"/>
          <w:szCs w:val="40"/>
          <w:highlight w:val="none"/>
          <w:lang w:val="en-US" w:eastAsia="zh-CN" w:bidi="ar"/>
        </w:rPr>
        <w:t>登记</w:t>
      </w:r>
      <w:r>
        <w:rPr>
          <w:rFonts w:hint="eastAsia" w:eastAsia="仿宋_GB2312" w:cs="Times New Roman"/>
          <w:spacing w:val="0"/>
          <w:kern w:val="2"/>
          <w:sz w:val="32"/>
          <w:szCs w:val="40"/>
          <w:highlight w:val="none"/>
          <w:lang w:val="en-US" w:eastAsia="zh-CN" w:bidi="ar"/>
        </w:rPr>
        <w:t>工作，</w:t>
      </w:r>
      <w:r>
        <w:rPr>
          <w:rFonts w:hint="default" w:ascii="Times New Roman" w:hAnsi="Times New Roman" w:eastAsia="仿宋_GB2312" w:cs="Times New Roman"/>
          <w:spacing w:val="0"/>
          <w:kern w:val="2"/>
          <w:sz w:val="32"/>
          <w:szCs w:val="40"/>
          <w:highlight w:val="none"/>
          <w:lang w:val="en-US" w:eastAsia="zh-CN" w:bidi="ar"/>
        </w:rPr>
        <w:t>现就有关</w:t>
      </w:r>
      <w:r>
        <w:rPr>
          <w:rFonts w:hint="eastAsia" w:eastAsia="仿宋_GB2312" w:cs="Times New Roman"/>
          <w:spacing w:val="0"/>
          <w:kern w:val="2"/>
          <w:sz w:val="32"/>
          <w:szCs w:val="40"/>
          <w:highlight w:val="none"/>
          <w:lang w:val="en-US" w:eastAsia="zh-CN" w:bidi="ar"/>
        </w:rPr>
        <w:t>工作</w:t>
      </w:r>
      <w:r>
        <w:rPr>
          <w:rFonts w:hint="default" w:ascii="Times New Roman" w:hAnsi="Times New Roman" w:eastAsia="仿宋_GB2312" w:cs="Times New Roman"/>
          <w:spacing w:val="0"/>
          <w:kern w:val="2"/>
          <w:sz w:val="32"/>
          <w:szCs w:val="40"/>
          <w:highlight w:val="none"/>
          <w:lang w:val="en-US" w:eastAsia="zh-CN" w:bidi="ar"/>
        </w:rPr>
        <w:t>情况</w:t>
      </w:r>
      <w:r>
        <w:rPr>
          <w:rFonts w:hint="eastAsia" w:eastAsia="仿宋_GB2312" w:cs="Times New Roman"/>
          <w:spacing w:val="0"/>
          <w:kern w:val="2"/>
          <w:sz w:val="32"/>
          <w:szCs w:val="40"/>
          <w:highlight w:val="none"/>
          <w:lang w:val="en-US" w:eastAsia="zh-CN" w:bidi="ar"/>
        </w:rPr>
        <w:t>说明</w:t>
      </w:r>
      <w:r>
        <w:rPr>
          <w:rFonts w:hint="default" w:ascii="Times New Roman" w:hAnsi="Times New Roman" w:eastAsia="仿宋_GB2312" w:cs="Times New Roman"/>
          <w:spacing w:val="0"/>
          <w:kern w:val="2"/>
          <w:sz w:val="32"/>
          <w:szCs w:val="40"/>
          <w:highlight w:val="none"/>
          <w:lang w:val="en-US" w:eastAsia="zh-CN" w:bidi="ar"/>
        </w:rPr>
        <w:t>如下</w:t>
      </w:r>
      <w:r>
        <w:rPr>
          <w:rFonts w:hint="eastAsia" w:eastAsia="仿宋_GB2312" w:cs="Times New Roman"/>
          <w:spacing w:val="0"/>
          <w:kern w:val="2"/>
          <w:sz w:val="32"/>
          <w:szCs w:val="40"/>
          <w:highlight w:val="none"/>
          <w:lang w:val="en-US" w:eastAsia="zh-CN" w:bidi="ar"/>
        </w:rPr>
        <w:t>。</w:t>
      </w:r>
    </w:p>
    <w:p w14:paraId="2996F0F5">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outlineLvl w:val="0"/>
        <w:rPr>
          <w:rFonts w:hint="default" w:ascii="Times New Roman" w:hAnsi="Times New Roman" w:eastAsia="黑体" w:cs="Times New Roman"/>
          <w:b w:val="0"/>
          <w:bCs w:val="0"/>
          <w:spacing w:val="0"/>
          <w:kern w:val="2"/>
          <w:sz w:val="32"/>
          <w:szCs w:val="40"/>
          <w:highlight w:val="none"/>
          <w:lang w:val="en-US" w:eastAsia="zh-CN" w:bidi="ar"/>
        </w:rPr>
      </w:pPr>
      <w:r>
        <w:rPr>
          <w:rFonts w:hint="eastAsia" w:eastAsia="黑体" w:cs="Times New Roman"/>
          <w:b w:val="0"/>
          <w:bCs w:val="0"/>
          <w:spacing w:val="0"/>
          <w:kern w:val="2"/>
          <w:sz w:val="32"/>
          <w:szCs w:val="40"/>
          <w:highlight w:val="none"/>
          <w:lang w:val="en-US" w:eastAsia="zh-CN" w:bidi="ar"/>
        </w:rPr>
        <w:t>一、制定依据</w:t>
      </w:r>
    </w:p>
    <w:p w14:paraId="5C46700B">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outlineLvl w:val="9"/>
        <w:rPr>
          <w:rFonts w:hint="eastAsia" w:eastAsia="仿宋_GB2312"/>
          <w:spacing w:val="0"/>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《中共中央 国务院关于构建数据基础制度更好发挥数据要素作用的意见》（以下简称《意见》）指出，探索数据产权结构性分置制度，</w:t>
      </w:r>
      <w:r>
        <w:rPr>
          <w:rFonts w:hint="eastAsia" w:ascii="仿宋_GB2312" w:hAnsi="仿宋_GB2312" w:eastAsia="仿宋_GB2312" w:cs="仿宋_GB2312"/>
          <w:spacing w:val="0"/>
          <w:szCs w:val="40"/>
          <w:highlight w:val="none"/>
          <w:lang w:bidi="ar"/>
        </w:rPr>
        <w:t>研究数据产权登记新方式</w:t>
      </w:r>
      <w:r>
        <w:rPr>
          <w:rFonts w:hint="eastAsia" w:ascii="仿宋_GB2312" w:hAnsi="仿宋_GB2312" w:eastAsia="仿宋_GB2312" w:cs="仿宋_GB2312"/>
          <w:spacing w:val="0"/>
          <w:szCs w:val="40"/>
          <w:highlight w:val="none"/>
          <w:lang w:eastAsia="zh-CN" w:bidi="ar"/>
        </w:rPr>
        <w:t>。《中共中央关于进一步全面深化改革</w:t>
      </w:r>
      <w:r>
        <w:rPr>
          <w:rFonts w:hint="eastAsia" w:ascii="仿宋_GB2312" w:hAnsi="仿宋_GB2312" w:eastAsia="仿宋_GB2312" w:cs="仿宋_GB2312"/>
          <w:spacing w:val="0"/>
          <w:szCs w:val="40"/>
          <w:highlight w:val="none"/>
          <w:lang w:val="en-US" w:eastAsia="zh-CN" w:bidi="ar"/>
        </w:rPr>
        <w:t xml:space="preserve"> </w:t>
      </w:r>
      <w:r>
        <w:rPr>
          <w:rFonts w:hint="eastAsia" w:ascii="仿宋_GB2312" w:hAnsi="仿宋_GB2312" w:eastAsia="仿宋_GB2312" w:cs="仿宋_GB2312"/>
          <w:spacing w:val="0"/>
          <w:szCs w:val="40"/>
          <w:highlight w:val="none"/>
          <w:lang w:eastAsia="zh-CN" w:bidi="ar"/>
        </w:rPr>
        <w:t>推进中国式现代化的决定》</w:t>
      </w:r>
      <w:r>
        <w:rPr>
          <w:rFonts w:hint="eastAsia" w:ascii="仿宋_GB2312" w:hAnsi="仿宋_GB2312" w:eastAsia="仿宋_GB2312" w:cs="仿宋_GB2312"/>
          <w:spacing w:val="0"/>
          <w:szCs w:val="40"/>
          <w:highlight w:val="none"/>
          <w:lang w:val="en-US" w:eastAsia="zh-CN" w:bidi="ar"/>
        </w:rPr>
        <w:t>中明确要求，加快建立数据产权归属认定、市场交易、权益分配、利益保护制度。《湖南省人民政府办公厅关于印发&lt;湖南省 2024 年数据和政务服务管理工作要点&gt;的通知》（湘政办发〔2024〕17号）做出部署，落实国家关于数据资源持有权、数据加工使用权、数据产品经营权“三权分置”创新安排，因地制宜探索建立湖南统一数据要素登记存证等系列制度。</w:t>
      </w:r>
    </w:p>
    <w:p w14:paraId="003BEA1D">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outlineLvl w:val="0"/>
        <w:rPr>
          <w:rFonts w:hint="default" w:ascii="Times New Roman" w:hAnsi="Times New Roman" w:eastAsia="黑体" w:cs="Times New Roman"/>
          <w:b w:val="0"/>
          <w:bCs w:val="0"/>
          <w:spacing w:val="0"/>
          <w:kern w:val="2"/>
          <w:sz w:val="32"/>
          <w:szCs w:val="40"/>
          <w:highlight w:val="none"/>
          <w:lang w:val="en-US" w:eastAsia="zh-CN" w:bidi="ar"/>
        </w:rPr>
      </w:pPr>
      <w:r>
        <w:rPr>
          <w:rFonts w:hint="eastAsia" w:eastAsia="黑体"/>
          <w:spacing w:val="0"/>
          <w:szCs w:val="40"/>
          <w:highlight w:val="none"/>
          <w:lang w:val="en-US" w:eastAsia="zh-CN" w:bidi="ar"/>
        </w:rPr>
        <w:t>二、《管理办法》内容说明</w:t>
      </w:r>
    </w:p>
    <w:p w14:paraId="1CC27C6E">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3" w:firstLineChars="200"/>
        <w:jc w:val="both"/>
        <w:textAlignment w:val="auto"/>
        <w:outlineLvl w:val="1"/>
        <w:rPr>
          <w:rFonts w:hint="eastAsia" w:ascii="楷体_GB2312" w:hAnsi="楷体_GB2312" w:eastAsia="楷体_GB2312" w:cs="楷体_GB2312"/>
          <w:b/>
          <w:bCs/>
          <w:spacing w:val="0"/>
          <w:kern w:val="2"/>
          <w:sz w:val="32"/>
          <w:szCs w:val="40"/>
          <w:highlight w:val="none"/>
          <w:lang w:val="en-US" w:eastAsia="zh-CN" w:bidi="ar"/>
        </w:rPr>
      </w:pPr>
      <w:r>
        <w:rPr>
          <w:rFonts w:hint="eastAsia" w:ascii="楷体_GB2312" w:hAnsi="楷体_GB2312" w:eastAsia="楷体_GB2312" w:cs="楷体_GB2312"/>
          <w:b/>
          <w:bCs/>
          <w:spacing w:val="0"/>
          <w:kern w:val="2"/>
          <w:sz w:val="32"/>
          <w:szCs w:val="40"/>
          <w:highlight w:val="none"/>
          <w:lang w:val="en-US" w:eastAsia="zh-CN" w:bidi="ar"/>
        </w:rPr>
        <w:t>1.主要目标和基本内涵</w:t>
      </w:r>
    </w:p>
    <w:p w14:paraId="7FDE4301">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主要目标是通过建立数据权属登记管理制度，维护数据主体权益、加强数据应用、促进数字经济发展、确保数据安全。</w:t>
      </w:r>
    </w:p>
    <w:p w14:paraId="054B645C">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highlight w:val="none"/>
          <w:lang w:val="en-US" w:eastAsia="zh-CN"/>
        </w:rPr>
      </w:pPr>
      <w:r>
        <w:rPr>
          <w:rFonts w:hint="eastAsia" w:ascii="仿宋_GB2312" w:hAnsi="仿宋_GB2312" w:eastAsia="仿宋_GB2312" w:cs="仿宋_GB2312"/>
          <w:spacing w:val="0"/>
          <w:kern w:val="2"/>
          <w:sz w:val="32"/>
          <w:szCs w:val="40"/>
          <w:highlight w:val="none"/>
          <w:lang w:val="en-US" w:eastAsia="zh-CN" w:bidi="ar"/>
        </w:rPr>
        <w:t>参考不动产登记、市场主体登记、软件著作权登记等管理制度，数据权属登记应当作为一种政务服务事项，以相关主体</w:t>
      </w:r>
      <w:r>
        <w:rPr>
          <w:rFonts w:hint="eastAsia" w:ascii="仿宋_GB2312" w:hAnsi="仿宋_GB2312" w:eastAsia="仿宋_GB2312" w:cs="仿宋_GB2312"/>
          <w:spacing w:val="0"/>
          <w:highlight w:val="none"/>
          <w:lang w:val="en-US" w:eastAsia="zh-CN"/>
        </w:rPr>
        <w:t>申报为前提</w:t>
      </w:r>
      <w:r>
        <w:rPr>
          <w:rFonts w:hint="eastAsia" w:ascii="仿宋_GB2312" w:hAnsi="仿宋_GB2312" w:cs="仿宋_GB2312"/>
          <w:color w:val="auto"/>
          <w:spacing w:val="0"/>
          <w:highlight w:val="none"/>
          <w:lang w:val="en-US" w:eastAsia="zh-CN"/>
        </w:rPr>
        <w:t>,</w:t>
      </w:r>
      <w:r>
        <w:rPr>
          <w:rFonts w:hint="eastAsia" w:ascii="仿宋_GB2312" w:hAnsi="仿宋_GB2312" w:eastAsia="仿宋_GB2312" w:cs="仿宋_GB2312"/>
          <w:spacing w:val="0"/>
          <w:highlight w:val="none"/>
          <w:lang w:val="en-US" w:eastAsia="zh-CN"/>
        </w:rPr>
        <w:t>通过健全规范流程，对不同数据权属类型进行登记公示，在确保数据安全和相关主体权益的前提下，为数据资源产品化、资产化、要素化提供基础。</w:t>
      </w:r>
    </w:p>
    <w:p w14:paraId="6AC64098">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highlight w:val="none"/>
          <w:lang w:val="en-US" w:eastAsia="zh-CN"/>
        </w:rPr>
        <w:t>因数据权属登记工作具备非常强的公共属性和权益属性，应由政府主管部门组织实施。同时，</w:t>
      </w:r>
      <w:r>
        <w:rPr>
          <w:rFonts w:hint="eastAsia" w:ascii="仿宋_GB2312" w:hAnsi="仿宋_GB2312" w:eastAsia="仿宋_GB2312" w:cs="仿宋_GB2312"/>
          <w:spacing w:val="0"/>
          <w:kern w:val="2"/>
          <w:sz w:val="32"/>
          <w:szCs w:val="40"/>
          <w:highlight w:val="none"/>
          <w:lang w:val="en-US" w:eastAsia="zh-CN" w:bidi="ar"/>
        </w:rPr>
        <w:t>数据权属登记是数据资产入表、流通交易的前提条件，是数据要素市场基础的底层支撑，是为相关主体权益提供保障的基础性制度，应加快推进实施。</w:t>
      </w:r>
    </w:p>
    <w:p w14:paraId="18A74F51">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3" w:firstLineChars="200"/>
        <w:jc w:val="both"/>
        <w:textAlignment w:val="auto"/>
        <w:outlineLvl w:val="1"/>
        <w:rPr>
          <w:rFonts w:hint="eastAsia" w:ascii="楷体_GB2312" w:hAnsi="楷体_GB2312" w:eastAsia="楷体_GB2312" w:cs="楷体_GB2312"/>
          <w:b/>
          <w:bCs/>
          <w:spacing w:val="0"/>
          <w:kern w:val="2"/>
          <w:sz w:val="32"/>
          <w:szCs w:val="40"/>
          <w:highlight w:val="none"/>
          <w:lang w:val="en-US" w:eastAsia="zh-CN" w:bidi="ar"/>
        </w:rPr>
      </w:pPr>
      <w:r>
        <w:rPr>
          <w:rFonts w:hint="eastAsia" w:ascii="楷体_GB2312" w:hAnsi="楷体_GB2312" w:eastAsia="楷体_GB2312" w:cs="楷体_GB2312"/>
          <w:b/>
          <w:bCs/>
          <w:spacing w:val="0"/>
          <w:kern w:val="2"/>
          <w:sz w:val="32"/>
          <w:szCs w:val="40"/>
          <w:highlight w:val="none"/>
          <w:lang w:val="en-US" w:eastAsia="zh-CN" w:bidi="ar"/>
        </w:rPr>
        <w:t>2.数据权属登记的分类和管理、服务对象范围</w:t>
      </w:r>
    </w:p>
    <w:p w14:paraId="3E465EFD">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为打造合规高效的数据要素基础条件，依据《意见》的基本原则，结合长沙实际，开展登记管理的权属类型包括</w:t>
      </w:r>
      <w:r>
        <w:rPr>
          <w:rFonts w:hint="eastAsia" w:ascii="仿宋_GB2312" w:hAnsi="仿宋_GB2312" w:eastAsia="仿宋_GB2312" w:cs="仿宋_GB2312"/>
          <w:spacing w:val="0"/>
          <w:highlight w:val="none"/>
          <w:lang w:val="en-US" w:eastAsia="zh-CN"/>
        </w:rPr>
        <w:t>数据持有权、数据加工使用权、数据经营权</w:t>
      </w:r>
      <w:r>
        <w:rPr>
          <w:rFonts w:hint="eastAsia" w:ascii="仿宋_GB2312" w:hAnsi="仿宋_GB2312" w:eastAsia="仿宋_GB2312" w:cs="仿宋_GB2312"/>
          <w:spacing w:val="0"/>
          <w:kern w:val="2"/>
          <w:sz w:val="32"/>
          <w:szCs w:val="40"/>
          <w:highlight w:val="none"/>
          <w:lang w:val="en-US" w:eastAsia="zh-CN" w:bidi="ar"/>
        </w:rPr>
        <w:t>。</w:t>
      </w:r>
    </w:p>
    <w:p w14:paraId="2EDED0F8">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服务对象是有数据权属登记诉求的主体。主要为</w:t>
      </w:r>
      <w:r>
        <w:rPr>
          <w:rFonts w:hint="eastAsia" w:ascii="仿宋_GB2312" w:hAnsi="仿宋_GB2312" w:eastAsia="仿宋_GB2312" w:cs="仿宋_GB2312"/>
          <w:highlight w:val="none"/>
          <w:lang w:val="en-US" w:eastAsia="zh-CN"/>
        </w:rPr>
        <w:t>自然人、法人或非法人组织</w:t>
      </w:r>
      <w:r>
        <w:rPr>
          <w:rFonts w:hint="eastAsia" w:ascii="仿宋_GB2312" w:hAnsi="仿宋_GB2312" w:eastAsia="仿宋_GB2312" w:cs="仿宋_GB2312"/>
          <w:spacing w:val="0"/>
          <w:kern w:val="2"/>
          <w:sz w:val="32"/>
          <w:szCs w:val="40"/>
          <w:highlight w:val="none"/>
          <w:lang w:val="en-US" w:eastAsia="zh-CN" w:bidi="ar"/>
        </w:rPr>
        <w:t>等。</w:t>
      </w:r>
    </w:p>
    <w:p w14:paraId="493CADD5">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管理范围包括</w:t>
      </w:r>
      <w:r>
        <w:rPr>
          <w:rFonts w:hint="eastAsia" w:ascii="仿宋_GB2312" w:hAnsi="仿宋_GB2312" w:eastAsia="仿宋_GB2312" w:cs="仿宋_GB2312"/>
          <w:spacing w:val="0"/>
          <w:szCs w:val="40"/>
          <w:highlight w:val="none"/>
          <w:lang w:val="en-US" w:eastAsia="zh-CN" w:bidi="ar"/>
        </w:rPr>
        <w:t>鉴定服务机构、技术服务机构和评估服务机构等与数据权属登记有关的第三方服务机构，以及从业个人</w:t>
      </w:r>
      <w:r>
        <w:rPr>
          <w:rFonts w:hint="eastAsia" w:ascii="仿宋_GB2312" w:hAnsi="仿宋_GB2312" w:eastAsia="仿宋_GB2312" w:cs="仿宋_GB2312"/>
          <w:spacing w:val="0"/>
          <w:kern w:val="2"/>
          <w:sz w:val="32"/>
          <w:szCs w:val="40"/>
          <w:highlight w:val="none"/>
          <w:lang w:val="en-US" w:eastAsia="zh-CN" w:bidi="ar"/>
        </w:rPr>
        <w:t>。</w:t>
      </w:r>
    </w:p>
    <w:p w14:paraId="7F08C8BA">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3" w:firstLineChars="200"/>
        <w:jc w:val="both"/>
        <w:textAlignment w:val="auto"/>
        <w:outlineLvl w:val="1"/>
        <w:rPr>
          <w:rFonts w:hint="eastAsia" w:ascii="楷体_GB2312" w:hAnsi="楷体_GB2312" w:eastAsia="楷体_GB2312" w:cs="楷体_GB2312"/>
          <w:b/>
          <w:bCs/>
          <w:spacing w:val="0"/>
          <w:kern w:val="2"/>
          <w:sz w:val="32"/>
          <w:szCs w:val="40"/>
          <w:highlight w:val="none"/>
          <w:lang w:val="en-US" w:eastAsia="zh-CN" w:bidi="ar"/>
        </w:rPr>
      </w:pPr>
      <w:r>
        <w:rPr>
          <w:rFonts w:hint="eastAsia" w:ascii="楷体_GB2312" w:hAnsi="楷体_GB2312" w:eastAsia="楷体_GB2312" w:cs="楷体_GB2312"/>
          <w:b/>
          <w:bCs/>
          <w:spacing w:val="0"/>
          <w:kern w:val="2"/>
          <w:sz w:val="32"/>
          <w:szCs w:val="40"/>
          <w:highlight w:val="none"/>
          <w:lang w:val="en-US" w:eastAsia="zh-CN" w:bidi="ar"/>
        </w:rPr>
        <w:t>3.数据权属登记平台建设</w:t>
      </w:r>
    </w:p>
    <w:p w14:paraId="0738DF5A">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spacing w:val="0"/>
          <w:kern w:val="2"/>
          <w:sz w:val="32"/>
          <w:szCs w:val="40"/>
          <w:highlight w:val="none"/>
          <w:lang w:val="en-US" w:eastAsia="zh-CN" w:bidi="ar"/>
        </w:rPr>
      </w:pPr>
      <w:r>
        <w:rPr>
          <w:rFonts w:hint="eastAsia" w:ascii="仿宋_GB2312" w:hAnsi="仿宋_GB2312" w:eastAsia="仿宋_GB2312" w:cs="仿宋_GB2312"/>
          <w:b w:val="0"/>
          <w:bCs w:val="0"/>
          <w:spacing w:val="0"/>
          <w:kern w:val="2"/>
          <w:sz w:val="32"/>
          <w:szCs w:val="40"/>
          <w:highlight w:val="none"/>
          <w:lang w:val="en-US" w:eastAsia="zh-CN" w:bidi="ar"/>
        </w:rPr>
        <w:t>数据权属登记平台既要满足数据权属登记业务开展需求，也应符合行政管理目标要求。该平台应当成为一个动态化服务平台，可以对权属登记的全过程、全对象和全要素进行管理、存证。</w:t>
      </w:r>
    </w:p>
    <w:p w14:paraId="112EBA88">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3" w:firstLineChars="200"/>
        <w:jc w:val="both"/>
        <w:textAlignment w:val="auto"/>
        <w:outlineLvl w:val="1"/>
        <w:rPr>
          <w:rFonts w:hint="eastAsia" w:ascii="楷体_GB2312" w:hAnsi="楷体_GB2312" w:eastAsia="楷体_GB2312" w:cs="楷体_GB2312"/>
          <w:b/>
          <w:bCs/>
          <w:spacing w:val="0"/>
          <w:kern w:val="2"/>
          <w:sz w:val="32"/>
          <w:szCs w:val="40"/>
          <w:highlight w:val="none"/>
          <w:lang w:val="en-US" w:eastAsia="zh-CN" w:bidi="ar"/>
        </w:rPr>
      </w:pPr>
      <w:r>
        <w:rPr>
          <w:rFonts w:hint="eastAsia" w:ascii="楷体_GB2312" w:hAnsi="楷体_GB2312" w:eastAsia="楷体_GB2312" w:cs="楷体_GB2312"/>
          <w:b/>
          <w:bCs/>
          <w:spacing w:val="0"/>
          <w:kern w:val="2"/>
          <w:sz w:val="32"/>
          <w:szCs w:val="40"/>
          <w:highlight w:val="none"/>
          <w:lang w:val="en-US" w:eastAsia="zh-CN" w:bidi="ar"/>
        </w:rPr>
        <w:t>4.管理和实施主体</w:t>
      </w:r>
    </w:p>
    <w:p w14:paraId="75FB204C">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pacing w:val="0"/>
          <w:kern w:val="2"/>
          <w:sz w:val="32"/>
          <w:szCs w:val="40"/>
          <w:highlight w:val="none"/>
          <w:lang w:val="en-US" w:eastAsia="zh-CN" w:bidi="ar"/>
        </w:rPr>
        <w:t>长沙市数据局作为管理主体，负责开展</w:t>
      </w:r>
      <w:r>
        <w:rPr>
          <w:rFonts w:hint="eastAsia" w:ascii="仿宋_GB2312" w:hAnsi="仿宋_GB2312" w:eastAsia="仿宋_GB2312" w:cs="仿宋_GB2312"/>
        </w:rPr>
        <w:t>数据权属登记有关制度建设，对数据权属登记工作以及相关机构进行指导监督。长沙市大数据中心</w:t>
      </w:r>
      <w:r>
        <w:rPr>
          <w:rFonts w:hint="eastAsia" w:ascii="仿宋_GB2312" w:hAnsi="仿宋_GB2312" w:eastAsia="仿宋_GB2312" w:cs="仿宋_GB2312"/>
          <w:lang w:val="en-US" w:eastAsia="zh-CN"/>
        </w:rPr>
        <w:t>作为</w:t>
      </w:r>
      <w:r>
        <w:rPr>
          <w:rFonts w:hint="eastAsia" w:ascii="仿宋_GB2312" w:hAnsi="仿宋_GB2312" w:eastAsia="仿宋_GB2312" w:cs="仿宋_GB2312"/>
        </w:rPr>
        <w:t>数据权属登记服务机构，负责</w:t>
      </w:r>
      <w:r>
        <w:rPr>
          <w:rFonts w:hint="eastAsia" w:ascii="仿宋_GB2312" w:hAnsi="仿宋_GB2312" w:eastAsia="仿宋_GB2312" w:cs="仿宋_GB2312"/>
          <w:szCs w:val="32"/>
        </w:rPr>
        <w:t>数据权属登记过程中的审查复核、登记受理、结果公示、咨询服务、业务培训和登记平台管理等具体工作</w:t>
      </w:r>
      <w:r>
        <w:rPr>
          <w:rFonts w:hint="eastAsia" w:ascii="仿宋_GB2312" w:hAnsi="仿宋_GB2312" w:cs="仿宋_GB2312"/>
          <w:color w:val="auto"/>
          <w:szCs w:val="32"/>
          <w:lang w:eastAsia="zh-CN"/>
        </w:rPr>
        <w:t>。</w:t>
      </w:r>
    </w:p>
    <w:p w14:paraId="754639CB">
      <w:pPr>
        <w:keepNext w:val="0"/>
        <w:keepLines w:val="0"/>
        <w:pageBreakBefore w:val="0"/>
        <w:widowControl/>
        <w:suppressLineNumbers w:val="0"/>
        <w:kinsoku/>
        <w:wordWrap/>
        <w:overflowPunct/>
        <w:topLinePunct w:val="0"/>
        <w:autoSpaceDE/>
        <w:bidi w:val="0"/>
        <w:snapToGrid/>
        <w:spacing w:before="0" w:beforeAutospacing="0" w:afterAutospacing="0" w:line="560" w:lineRule="exact"/>
        <w:ind w:left="0" w:right="0" w:firstLine="640" w:firstLineChars="200"/>
        <w:jc w:val="left"/>
        <w:textAlignment w:val="auto"/>
        <w:rPr>
          <w:rFonts w:hint="eastAsia" w:eastAsia="仿宋_GB2312" w:cs="Times New Roman"/>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第三方机构主要包括：</w:t>
      </w:r>
      <w:r>
        <w:rPr>
          <w:rFonts w:hint="eastAsia" w:ascii="仿宋_GB2312" w:hAnsi="仿宋_GB2312" w:eastAsia="仿宋_GB2312" w:cs="仿宋_GB2312"/>
          <w:b w:val="0"/>
          <w:bCs w:val="0"/>
          <w:spacing w:val="0"/>
          <w:kern w:val="2"/>
          <w:sz w:val="32"/>
          <w:szCs w:val="40"/>
          <w:highlight w:val="none"/>
          <w:lang w:val="en-US" w:eastAsia="zh-CN" w:bidi="ar"/>
        </w:rPr>
        <w:t>（1）</w:t>
      </w:r>
      <w:r>
        <w:rPr>
          <w:rFonts w:hint="eastAsia" w:ascii="仿宋_GB2312" w:hAnsi="仿宋_GB2312" w:eastAsia="仿宋_GB2312" w:cs="仿宋_GB2312"/>
          <w:b w:val="0"/>
          <w:bCs w:val="0"/>
          <w:szCs w:val="32"/>
          <w:highlight w:val="none"/>
          <w:lang w:val="en-US" w:eastAsia="zh-CN"/>
        </w:rPr>
        <w:t>鉴定服务</w:t>
      </w:r>
      <w:r>
        <w:rPr>
          <w:rFonts w:hint="eastAsia" w:ascii="仿宋_GB2312" w:hAnsi="仿宋_GB2312" w:eastAsia="仿宋_GB2312" w:cs="仿宋_GB2312"/>
          <w:b w:val="0"/>
          <w:bCs w:val="0"/>
          <w:szCs w:val="32"/>
          <w:highlight w:val="none"/>
        </w:rPr>
        <w:t>机构</w:t>
      </w:r>
      <w:r>
        <w:rPr>
          <w:rFonts w:hint="eastAsia" w:ascii="仿宋_GB2312" w:hAnsi="仿宋_GB2312" w:eastAsia="仿宋_GB2312" w:cs="仿宋_GB2312"/>
          <w:b w:val="0"/>
          <w:bCs w:val="0"/>
          <w:szCs w:val="32"/>
          <w:highlight w:val="none"/>
          <w:lang w:eastAsia="zh-CN"/>
        </w:rPr>
        <w:t>，</w:t>
      </w:r>
      <w:r>
        <w:rPr>
          <w:rFonts w:hint="eastAsia" w:ascii="仿宋_GB2312" w:hAnsi="仿宋_GB2312" w:eastAsia="仿宋_GB2312" w:cs="仿宋_GB2312"/>
          <w:szCs w:val="32"/>
        </w:rPr>
        <w:t>对有登记需求的数据资源及产品、服务的真实性、安全性、合规性等开展实质性评估并出具鉴定报告的机构</w:t>
      </w:r>
      <w:r>
        <w:rPr>
          <w:rFonts w:hint="eastAsia" w:ascii="仿宋_GB2312" w:hAnsi="仿宋_GB2312" w:eastAsia="仿宋_GB2312" w:cs="仿宋_GB2312"/>
          <w:szCs w:val="32"/>
          <w:highlight w:val="none"/>
          <w:lang w:val="en-US" w:eastAsia="zh-CN"/>
        </w:rPr>
        <w:t>；</w:t>
      </w:r>
      <w:r>
        <w:rPr>
          <w:rFonts w:hint="eastAsia" w:ascii="仿宋_GB2312" w:hAnsi="仿宋_GB2312" w:eastAsia="仿宋_GB2312" w:cs="仿宋_GB2312"/>
          <w:b w:val="0"/>
          <w:bCs w:val="0"/>
          <w:szCs w:val="32"/>
          <w:highlight w:val="none"/>
          <w:lang w:val="en-US" w:eastAsia="zh-CN"/>
        </w:rPr>
        <w:t>（2）</w:t>
      </w:r>
      <w:r>
        <w:rPr>
          <w:rFonts w:hint="eastAsia" w:ascii="仿宋_GB2312" w:hAnsi="仿宋_GB2312" w:eastAsia="仿宋_GB2312" w:cs="仿宋_GB2312"/>
          <w:b w:val="0"/>
          <w:bCs w:val="0"/>
          <w:highlight w:val="none"/>
        </w:rPr>
        <w:t>技术服务机构</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rPr>
        <w:t>为数据资源和产品进行加工、交易、运营以及资产入表等提供技术支持服务的机构</w:t>
      </w:r>
      <w:r>
        <w:rPr>
          <w:rFonts w:hint="eastAsia" w:ascii="仿宋_GB2312" w:hAnsi="仿宋_GB2312" w:eastAsia="仿宋_GB2312" w:cs="仿宋_GB2312"/>
          <w:b w:val="0"/>
          <w:bCs w:val="0"/>
          <w:spacing w:val="0"/>
          <w:kern w:val="2"/>
          <w:sz w:val="32"/>
          <w:szCs w:val="40"/>
          <w:highlight w:val="none"/>
          <w:lang w:val="en-US" w:eastAsia="zh-CN" w:bidi="ar"/>
        </w:rPr>
        <w:t>；（3）评估服务机构，</w:t>
      </w:r>
      <w:r>
        <w:rPr>
          <w:rFonts w:hint="eastAsia" w:ascii="仿宋_GB2312" w:hAnsi="仿宋_GB2312" w:eastAsia="仿宋_GB2312" w:cs="仿宋_GB2312"/>
          <w:b w:val="0"/>
          <w:bCs w:val="0"/>
          <w:szCs w:val="32"/>
        </w:rPr>
        <w:t>是对</w:t>
      </w:r>
      <w:r>
        <w:rPr>
          <w:rFonts w:hint="eastAsia" w:ascii="仿宋_GB2312" w:hAnsi="仿宋_GB2312" w:eastAsia="仿宋_GB2312" w:cs="仿宋_GB2312"/>
          <w:szCs w:val="32"/>
        </w:rPr>
        <w:t>已完成登记的数据资源或产品提供数据资产评估服务的机构，为数据资产管</w:t>
      </w:r>
      <w:r>
        <w:rPr>
          <w:rFonts w:hint="eastAsia" w:ascii="仿宋_GB2312" w:hAnsi="仿宋_GB2312" w:eastAsia="仿宋_GB2312" w:cs="仿宋_GB2312"/>
          <w:color w:val="auto"/>
          <w:szCs w:val="32"/>
        </w:rPr>
        <w:t>理提供支持</w:t>
      </w:r>
      <w:r>
        <w:rPr>
          <w:rFonts w:hint="eastAsia" w:ascii="仿宋_GB2312" w:hAnsi="仿宋_GB2312" w:cs="仿宋_GB2312"/>
          <w:color w:val="auto"/>
          <w:szCs w:val="32"/>
          <w:lang w:eastAsia="zh-CN"/>
        </w:rPr>
        <w:t>。</w:t>
      </w:r>
    </w:p>
    <w:p w14:paraId="7379EA85">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3" w:firstLineChars="200"/>
        <w:jc w:val="both"/>
        <w:textAlignment w:val="auto"/>
        <w:outlineLvl w:val="1"/>
        <w:rPr>
          <w:rFonts w:hint="eastAsia" w:ascii="楷体_GB2312" w:hAnsi="楷体_GB2312" w:eastAsia="楷体_GB2312" w:cs="楷体_GB2312"/>
          <w:b/>
          <w:bCs/>
          <w:spacing w:val="0"/>
          <w:kern w:val="2"/>
          <w:sz w:val="32"/>
          <w:szCs w:val="40"/>
          <w:highlight w:val="none"/>
          <w:lang w:val="en-US" w:eastAsia="zh-CN" w:bidi="ar"/>
        </w:rPr>
      </w:pPr>
      <w:r>
        <w:rPr>
          <w:rFonts w:hint="eastAsia" w:ascii="楷体_GB2312" w:hAnsi="楷体_GB2312" w:eastAsia="楷体_GB2312" w:cs="楷体_GB2312"/>
          <w:b/>
          <w:bCs/>
          <w:spacing w:val="0"/>
          <w:kern w:val="2"/>
          <w:sz w:val="32"/>
          <w:szCs w:val="40"/>
          <w:highlight w:val="none"/>
          <w:lang w:val="en-US" w:eastAsia="zh-CN" w:bidi="ar"/>
        </w:rPr>
        <w:t>5.实施主体的监管</w:t>
      </w:r>
    </w:p>
    <w:p w14:paraId="06281D65">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在监管和服务方面，鉴于数据与相关主体利益紧密关联、涉及面宽、有可复制性，一旦恶意使用，可能造成较大的负面影响</w:t>
      </w:r>
      <w:r>
        <w:rPr>
          <w:rFonts w:hint="eastAsia" w:ascii="仿宋_GB2312" w:hAnsi="仿宋_GB2312" w:cs="仿宋_GB2312"/>
          <w:spacing w:val="0"/>
          <w:kern w:val="2"/>
          <w:sz w:val="32"/>
          <w:szCs w:val="40"/>
          <w:highlight w:val="none"/>
          <w:lang w:val="en-US" w:eastAsia="zh-CN" w:bidi="ar"/>
        </w:rPr>
        <w:t>。</w:t>
      </w:r>
      <w:bookmarkStart w:id="0" w:name="_GoBack"/>
      <w:r>
        <w:rPr>
          <w:rFonts w:hint="eastAsia" w:ascii="仿宋_GB2312" w:hAnsi="仿宋_GB2312" w:eastAsia="仿宋_GB2312" w:cs="仿宋_GB2312"/>
          <w:color w:val="auto"/>
          <w:spacing w:val="0"/>
          <w:kern w:val="2"/>
          <w:sz w:val="32"/>
          <w:szCs w:val="40"/>
          <w:highlight w:val="none"/>
          <w:lang w:val="en-US" w:eastAsia="zh-CN" w:bidi="ar"/>
        </w:rPr>
        <w:t>同时，第三方服务机构在相关工作中扮演着重要的角色，需要以严谨、客观和公正的态度出具报告，确保工作的专业性和准确性。</w:t>
      </w:r>
      <w:bookmarkEnd w:id="0"/>
      <w:r>
        <w:rPr>
          <w:rFonts w:hint="eastAsia" w:ascii="仿宋_GB2312" w:hAnsi="仿宋_GB2312" w:eastAsia="仿宋_GB2312" w:cs="仿宋_GB2312"/>
          <w:spacing w:val="0"/>
          <w:kern w:val="2"/>
          <w:sz w:val="32"/>
          <w:szCs w:val="40"/>
          <w:highlight w:val="none"/>
          <w:lang w:val="en-US" w:eastAsia="zh-CN" w:bidi="ar"/>
        </w:rPr>
        <w:t>因此，对相关机构要建立准入制度，并通过定期抽检、强化评价等监督管理制度来进行，相关文档、流程和样例均在平台进行报备、登记和编号。</w:t>
      </w:r>
    </w:p>
    <w:p w14:paraId="33EAD60E">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对于从业人员管理要强化个人的法律素养、数据安全、数据权属登记等专业知识培训，在权属登记平台进行专门注册，具体开展服务过程必须以公司或其他机构为载体。</w:t>
      </w:r>
    </w:p>
    <w:p w14:paraId="0697FAD1">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3" w:firstLineChars="200"/>
        <w:jc w:val="both"/>
        <w:textAlignment w:val="auto"/>
        <w:outlineLvl w:val="1"/>
        <w:rPr>
          <w:rFonts w:hint="eastAsia" w:ascii="楷体_GB2312" w:hAnsi="楷体_GB2312" w:eastAsia="楷体_GB2312" w:cs="楷体_GB2312"/>
          <w:b/>
          <w:bCs/>
          <w:spacing w:val="0"/>
          <w:kern w:val="2"/>
          <w:sz w:val="32"/>
          <w:szCs w:val="40"/>
          <w:highlight w:val="none"/>
          <w:lang w:val="en-US" w:eastAsia="zh-CN" w:bidi="ar"/>
        </w:rPr>
      </w:pPr>
      <w:r>
        <w:rPr>
          <w:rFonts w:hint="eastAsia" w:ascii="楷体_GB2312" w:hAnsi="楷体_GB2312" w:eastAsia="楷体_GB2312" w:cs="楷体_GB2312"/>
          <w:b/>
          <w:bCs/>
          <w:spacing w:val="0"/>
          <w:kern w:val="2"/>
          <w:sz w:val="32"/>
          <w:szCs w:val="40"/>
          <w:highlight w:val="none"/>
          <w:lang w:val="en-US" w:eastAsia="zh-CN" w:bidi="ar"/>
        </w:rPr>
        <w:t>6.基本业务流程</w:t>
      </w:r>
    </w:p>
    <w:p w14:paraId="066906D1">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《意见》中提到的三权分置原则包括：数据持有权、加工使用权、产品运营权</w:t>
      </w:r>
      <w:r>
        <w:rPr>
          <w:rFonts w:hint="eastAsia" w:ascii="仿宋_GB2312" w:hAnsi="仿宋_GB2312" w:eastAsia="仿宋_GB2312" w:cs="仿宋_GB2312"/>
          <w:b w:val="0"/>
          <w:bCs w:val="0"/>
          <w:spacing w:val="0"/>
          <w:kern w:val="2"/>
          <w:sz w:val="32"/>
          <w:szCs w:val="40"/>
          <w:highlight w:val="none"/>
          <w:lang w:val="en-US" w:eastAsia="zh-CN" w:bidi="ar"/>
        </w:rPr>
        <w:t>，</w:t>
      </w:r>
      <w:r>
        <w:rPr>
          <w:rFonts w:hint="eastAsia" w:ascii="仿宋_GB2312" w:hAnsi="仿宋_GB2312" w:eastAsia="仿宋_GB2312" w:cs="仿宋_GB2312"/>
          <w:b w:val="0"/>
          <w:bCs w:val="0"/>
          <w:spacing w:val="0"/>
          <w:highlight w:val="none"/>
          <w:lang w:val="en-US" w:eastAsia="zh-CN"/>
        </w:rPr>
        <w:t>《管理办法》参照予以明确。</w:t>
      </w:r>
      <w:r>
        <w:rPr>
          <w:rFonts w:hint="eastAsia" w:ascii="仿宋_GB2312" w:hAnsi="仿宋_GB2312" w:eastAsia="仿宋_GB2312" w:cs="仿宋_GB2312"/>
          <w:spacing w:val="0"/>
          <w:kern w:val="2"/>
          <w:sz w:val="32"/>
          <w:szCs w:val="40"/>
          <w:highlight w:val="none"/>
          <w:lang w:val="en-US" w:eastAsia="zh-CN" w:bidi="ar"/>
        </w:rPr>
        <w:t>原则上，应登记数据持有权，后续才可对数据加工使用权和数据经营权进行授权；换言之，相关主体针对没有进行持有权登记的数据，原则上不得开展加工使用和产品运营（面向国家安全和政府公共管理服务的场景除外）。</w:t>
      </w:r>
    </w:p>
    <w:p w14:paraId="4BADC8C8">
      <w:pPr>
        <w:keepNext w:val="0"/>
        <w:keepLines w:val="0"/>
        <w:pageBreakBefore w:val="0"/>
        <w:widowControl w:val="0"/>
        <w:suppressLineNumbers w:val="0"/>
        <w:kinsoku/>
        <w:wordWrap/>
        <w:overflowPunct/>
        <w:topLinePunct w:val="0"/>
        <w:autoSpaceDE/>
        <w:bidi w:val="0"/>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spacing w:val="0"/>
          <w:kern w:val="2"/>
          <w:sz w:val="32"/>
          <w:szCs w:val="40"/>
          <w:highlight w:val="none"/>
          <w:lang w:val="en-US" w:eastAsia="zh-CN" w:bidi="ar"/>
        </w:rPr>
      </w:pPr>
      <w:r>
        <w:rPr>
          <w:rFonts w:hint="eastAsia" w:ascii="仿宋_GB2312" w:hAnsi="仿宋_GB2312" w:eastAsia="仿宋_GB2312" w:cs="仿宋_GB2312"/>
          <w:spacing w:val="0"/>
          <w:kern w:val="2"/>
          <w:sz w:val="32"/>
          <w:szCs w:val="40"/>
          <w:highlight w:val="none"/>
          <w:lang w:val="en-US" w:eastAsia="zh-CN" w:bidi="ar"/>
        </w:rPr>
        <w:t>数据权属登记作为依申请登记的管理服务行为，由登记主体主动提出申请后开始相关流程。基于数据资源的特性，应在登记申请行为开始前，完成数据合规性鉴定和技术性鉴定。基本业务流程分为申报、受理、预审、公示、变更和注销等。</w:t>
      </w:r>
    </w:p>
    <w:p w14:paraId="0224E041">
      <w:pPr>
        <w:spacing w:line="560" w:lineRule="exact"/>
        <w:rPr>
          <w:rFonts w:hint="default" w:eastAsia="仿宋_GB2312"/>
          <w:spacing w:val="0"/>
          <w:szCs w:val="40"/>
          <w:highlight w:val="none"/>
          <w:lang w:val="en-US" w:eastAsia="zh-CN" w:bidi="ar"/>
        </w:rPr>
      </w:pPr>
    </w:p>
    <w:sectPr>
      <w:footerReference r:id="rId5" w:type="default"/>
      <w:pgSz w:w="11906" w:h="16838"/>
      <w:pgMar w:top="2098" w:right="1474" w:bottom="1984" w:left="1587" w:header="851" w:footer="992"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9EBFC-2DF8-4264-8A00-DC5A743BA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9733BE5-A3CD-47C5-A0C8-33B19A060E47}"/>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EF6599F2-65C4-48BA-9115-A683222FCDE9}"/>
  </w:font>
  <w:font w:name="方正小标宋简体">
    <w:panose1 w:val="03000509000000000000"/>
    <w:charset w:val="86"/>
    <w:family w:val="auto"/>
    <w:pitch w:val="default"/>
    <w:sig w:usb0="00000001" w:usb1="080E0000" w:usb2="00000000" w:usb3="00000000" w:csb0="00040000" w:csb1="00000000"/>
    <w:embedRegular r:id="rId4" w:fontKey="{B7082B18-5B7C-482E-9E3C-037CD69F4FC1}"/>
  </w:font>
  <w:font w:name="楷体_GB2312">
    <w:panose1 w:val="02010609030101010101"/>
    <w:charset w:val="86"/>
    <w:family w:val="auto"/>
    <w:pitch w:val="default"/>
    <w:sig w:usb0="00000001" w:usb1="080E0000" w:usb2="00000000" w:usb3="00000000" w:csb0="00040000" w:csb1="00000000"/>
    <w:embedRegular r:id="rId5" w:fontKey="{73BC28A0-2110-4503-97A9-821009C360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C6E18">
    <w:pPr>
      <w:pStyle w:val="9"/>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11E49">
                          <w:pPr>
                            <w:pStyle w:val="9"/>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1</w:t>
                          </w:r>
                          <w:r>
                            <w:rPr>
                              <w:rFonts w:eastAsia="仿宋_GB2312"/>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7611E49">
                    <w:pPr>
                      <w:pStyle w:val="9"/>
                      <w:rPr>
                        <w:rFonts w:eastAsia="仿宋_GB2312"/>
                      </w:rPr>
                    </w:pP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1</w:t>
                    </w:r>
                    <w:r>
                      <w:rPr>
                        <w:rFonts w:eastAsia="仿宋_GB231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jNGZhYWU4NzY2MDA2YmU2N2JkOTMyM2YxZGUyNGYifQ=="/>
    <w:docVar w:name="KSO_WPS_MARK_KEY" w:val="95512d7f-dee7-4055-b30d-e97f4d9d767d"/>
  </w:docVars>
  <w:rsids>
    <w:rsidRoot w:val="72A44FA8"/>
    <w:rsid w:val="00A60614"/>
    <w:rsid w:val="00D93C3C"/>
    <w:rsid w:val="017E2A82"/>
    <w:rsid w:val="018316B0"/>
    <w:rsid w:val="01CA3F1A"/>
    <w:rsid w:val="01F368C3"/>
    <w:rsid w:val="02F53218"/>
    <w:rsid w:val="031379CE"/>
    <w:rsid w:val="032F4E2B"/>
    <w:rsid w:val="042B3FA3"/>
    <w:rsid w:val="042D1D34"/>
    <w:rsid w:val="04D93CAB"/>
    <w:rsid w:val="04DD625C"/>
    <w:rsid w:val="055F7062"/>
    <w:rsid w:val="06C278B5"/>
    <w:rsid w:val="06EB2D96"/>
    <w:rsid w:val="06FC1585"/>
    <w:rsid w:val="08000695"/>
    <w:rsid w:val="0942213F"/>
    <w:rsid w:val="09AA77CD"/>
    <w:rsid w:val="09B42477"/>
    <w:rsid w:val="0B1D7C12"/>
    <w:rsid w:val="0B221529"/>
    <w:rsid w:val="0C3D49D2"/>
    <w:rsid w:val="0C6F1BA2"/>
    <w:rsid w:val="0C825B1D"/>
    <w:rsid w:val="0CE92CC9"/>
    <w:rsid w:val="0E3A5F83"/>
    <w:rsid w:val="0E9C69C0"/>
    <w:rsid w:val="0E9D4F53"/>
    <w:rsid w:val="0EFA77F1"/>
    <w:rsid w:val="0F5A590E"/>
    <w:rsid w:val="11061FCA"/>
    <w:rsid w:val="11747495"/>
    <w:rsid w:val="11CC58F7"/>
    <w:rsid w:val="11D840A2"/>
    <w:rsid w:val="129A1D7A"/>
    <w:rsid w:val="12A8143A"/>
    <w:rsid w:val="12AE6B32"/>
    <w:rsid w:val="12F04BA9"/>
    <w:rsid w:val="13376C70"/>
    <w:rsid w:val="136C4134"/>
    <w:rsid w:val="137A278F"/>
    <w:rsid w:val="142B598A"/>
    <w:rsid w:val="14EF5D19"/>
    <w:rsid w:val="15D60C87"/>
    <w:rsid w:val="18B30AEE"/>
    <w:rsid w:val="19045944"/>
    <w:rsid w:val="19F9549B"/>
    <w:rsid w:val="1AAC3940"/>
    <w:rsid w:val="1B473AB4"/>
    <w:rsid w:val="1B543249"/>
    <w:rsid w:val="1B8227E1"/>
    <w:rsid w:val="1CA81774"/>
    <w:rsid w:val="1D1A6E90"/>
    <w:rsid w:val="1D4D7A81"/>
    <w:rsid w:val="1EE33029"/>
    <w:rsid w:val="1F7B3866"/>
    <w:rsid w:val="1F864316"/>
    <w:rsid w:val="1FCE0A74"/>
    <w:rsid w:val="1FD863FA"/>
    <w:rsid w:val="20116690"/>
    <w:rsid w:val="21140168"/>
    <w:rsid w:val="21816606"/>
    <w:rsid w:val="218836E3"/>
    <w:rsid w:val="21E0234B"/>
    <w:rsid w:val="221C40C8"/>
    <w:rsid w:val="22B828F6"/>
    <w:rsid w:val="230F4C80"/>
    <w:rsid w:val="24941AEF"/>
    <w:rsid w:val="24EB1A2B"/>
    <w:rsid w:val="24F674E5"/>
    <w:rsid w:val="25133C9A"/>
    <w:rsid w:val="26CA0AE3"/>
    <w:rsid w:val="26CF4677"/>
    <w:rsid w:val="26D844F0"/>
    <w:rsid w:val="289C2691"/>
    <w:rsid w:val="2C060898"/>
    <w:rsid w:val="2CE01327"/>
    <w:rsid w:val="2D47655F"/>
    <w:rsid w:val="2D875B8D"/>
    <w:rsid w:val="2DFD13A1"/>
    <w:rsid w:val="2EB837DD"/>
    <w:rsid w:val="2FE0734F"/>
    <w:rsid w:val="31506534"/>
    <w:rsid w:val="31C45B54"/>
    <w:rsid w:val="320819E2"/>
    <w:rsid w:val="323B2B02"/>
    <w:rsid w:val="328716F8"/>
    <w:rsid w:val="331660E1"/>
    <w:rsid w:val="335C5FAD"/>
    <w:rsid w:val="349A13B0"/>
    <w:rsid w:val="34B61F58"/>
    <w:rsid w:val="34DB376C"/>
    <w:rsid w:val="35A52D0D"/>
    <w:rsid w:val="35D2357A"/>
    <w:rsid w:val="36D97BFF"/>
    <w:rsid w:val="36DA1F2E"/>
    <w:rsid w:val="37212599"/>
    <w:rsid w:val="3796052C"/>
    <w:rsid w:val="384A2BF0"/>
    <w:rsid w:val="38A8597E"/>
    <w:rsid w:val="38C1460F"/>
    <w:rsid w:val="39C01F21"/>
    <w:rsid w:val="39C15C21"/>
    <w:rsid w:val="3A1A04DD"/>
    <w:rsid w:val="3CA015A4"/>
    <w:rsid w:val="3CF1490A"/>
    <w:rsid w:val="3D0F0457"/>
    <w:rsid w:val="3D18555E"/>
    <w:rsid w:val="3E0C4997"/>
    <w:rsid w:val="3E845185"/>
    <w:rsid w:val="3EE64DE0"/>
    <w:rsid w:val="3F512AC9"/>
    <w:rsid w:val="3F6D5E66"/>
    <w:rsid w:val="404104F9"/>
    <w:rsid w:val="40FD2C96"/>
    <w:rsid w:val="41AD22DE"/>
    <w:rsid w:val="42666D6B"/>
    <w:rsid w:val="42B20202"/>
    <w:rsid w:val="432B5F6D"/>
    <w:rsid w:val="43FD725B"/>
    <w:rsid w:val="44FE437A"/>
    <w:rsid w:val="45DF4CD9"/>
    <w:rsid w:val="46197155"/>
    <w:rsid w:val="46361D13"/>
    <w:rsid w:val="469F4C39"/>
    <w:rsid w:val="48952158"/>
    <w:rsid w:val="48A85516"/>
    <w:rsid w:val="49802AAA"/>
    <w:rsid w:val="49A15B38"/>
    <w:rsid w:val="4B2933AE"/>
    <w:rsid w:val="4BFE46B7"/>
    <w:rsid w:val="4C1E6EE7"/>
    <w:rsid w:val="4C593040"/>
    <w:rsid w:val="4C9E1544"/>
    <w:rsid w:val="4D176431"/>
    <w:rsid w:val="4E323FA5"/>
    <w:rsid w:val="4EAE354B"/>
    <w:rsid w:val="4F971015"/>
    <w:rsid w:val="50BD4AF6"/>
    <w:rsid w:val="51510BE7"/>
    <w:rsid w:val="51AC5C98"/>
    <w:rsid w:val="51E05FD8"/>
    <w:rsid w:val="52E44185"/>
    <w:rsid w:val="533F4C18"/>
    <w:rsid w:val="53746E0E"/>
    <w:rsid w:val="53764934"/>
    <w:rsid w:val="54D2203E"/>
    <w:rsid w:val="55176E15"/>
    <w:rsid w:val="55A87A28"/>
    <w:rsid w:val="57275A9B"/>
    <w:rsid w:val="57F8290E"/>
    <w:rsid w:val="59854F6F"/>
    <w:rsid w:val="59C74B1F"/>
    <w:rsid w:val="5AFA6A90"/>
    <w:rsid w:val="5CAD5C12"/>
    <w:rsid w:val="5CB12B3D"/>
    <w:rsid w:val="5D0D05D1"/>
    <w:rsid w:val="5D4D3BDA"/>
    <w:rsid w:val="5DD67590"/>
    <w:rsid w:val="5E1229B7"/>
    <w:rsid w:val="5E127950"/>
    <w:rsid w:val="5E736FE4"/>
    <w:rsid w:val="5E8672E9"/>
    <w:rsid w:val="5EFC2C41"/>
    <w:rsid w:val="5F4A0D68"/>
    <w:rsid w:val="5F881C77"/>
    <w:rsid w:val="5FB962D5"/>
    <w:rsid w:val="60107EBF"/>
    <w:rsid w:val="62FD0BCE"/>
    <w:rsid w:val="631541ED"/>
    <w:rsid w:val="639F57E1"/>
    <w:rsid w:val="640B599C"/>
    <w:rsid w:val="653E07B9"/>
    <w:rsid w:val="65593221"/>
    <w:rsid w:val="66064738"/>
    <w:rsid w:val="66103487"/>
    <w:rsid w:val="666432A3"/>
    <w:rsid w:val="674A015A"/>
    <w:rsid w:val="67713939"/>
    <w:rsid w:val="67D8638F"/>
    <w:rsid w:val="682B1E78"/>
    <w:rsid w:val="682C0476"/>
    <w:rsid w:val="68EA74FF"/>
    <w:rsid w:val="68FD36D6"/>
    <w:rsid w:val="691B6CFF"/>
    <w:rsid w:val="6B6724C7"/>
    <w:rsid w:val="6B67361E"/>
    <w:rsid w:val="6B753FA5"/>
    <w:rsid w:val="6BD61FBC"/>
    <w:rsid w:val="6C416E9E"/>
    <w:rsid w:val="6CAE4CE7"/>
    <w:rsid w:val="6CDD1069"/>
    <w:rsid w:val="6D834BF5"/>
    <w:rsid w:val="6D934609"/>
    <w:rsid w:val="6D981605"/>
    <w:rsid w:val="6DC742B3"/>
    <w:rsid w:val="6FC17E3B"/>
    <w:rsid w:val="6FF71DF4"/>
    <w:rsid w:val="6FFF5798"/>
    <w:rsid w:val="70102F6D"/>
    <w:rsid w:val="71057F8A"/>
    <w:rsid w:val="71752277"/>
    <w:rsid w:val="71956476"/>
    <w:rsid w:val="71F321E4"/>
    <w:rsid w:val="72710C91"/>
    <w:rsid w:val="72A44FA8"/>
    <w:rsid w:val="730747D3"/>
    <w:rsid w:val="73140212"/>
    <w:rsid w:val="735A7977"/>
    <w:rsid w:val="74661497"/>
    <w:rsid w:val="74E01A58"/>
    <w:rsid w:val="75CE2612"/>
    <w:rsid w:val="76015B58"/>
    <w:rsid w:val="7651022E"/>
    <w:rsid w:val="78C85B3E"/>
    <w:rsid w:val="79773B94"/>
    <w:rsid w:val="7A794B87"/>
    <w:rsid w:val="7B515D8B"/>
    <w:rsid w:val="7B6E6270"/>
    <w:rsid w:val="7D590F8E"/>
    <w:rsid w:val="7D8950E1"/>
    <w:rsid w:val="7DBA67F1"/>
    <w:rsid w:val="7E70749A"/>
    <w:rsid w:val="7ED75DF1"/>
    <w:rsid w:val="7ED87940"/>
    <w:rsid w:val="7F385010"/>
    <w:rsid w:val="7FEC42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ascii="等线" w:hAnsi="等线" w:eastAsia="等线" w:cs="等线"/>
      <w:kern w:val="2"/>
      <w:sz w:val="21"/>
      <w:szCs w:val="22"/>
    </w:rPr>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qFormat/>
    <w:uiPriority w:val="0"/>
    <w:pPr>
      <w:widowControl/>
      <w:spacing w:line="360" w:lineRule="auto"/>
      <w:ind w:firstLine="420" w:firstLineChars="200"/>
      <w:jc w:val="left"/>
    </w:pPr>
    <w:rPr>
      <w:sz w:val="24"/>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styleId="6">
    <w:name w:val="Body Text 2"/>
    <w:basedOn w:val="1"/>
    <w:qFormat/>
    <w:uiPriority w:val="0"/>
    <w:pPr>
      <w:adjustRightInd w:val="0"/>
      <w:snapToGrid w:val="0"/>
      <w:spacing w:line="480" w:lineRule="atLeast"/>
    </w:pPr>
    <w:rPr>
      <w:sz w:val="28"/>
    </w:rPr>
  </w:style>
  <w:style w:type="paragraph" w:styleId="7">
    <w:name w:val="Body Text Indent"/>
    <w:basedOn w:val="1"/>
    <w:next w:val="8"/>
    <w:qFormat/>
    <w:uiPriority w:val="0"/>
    <w:pPr>
      <w:spacing w:after="120" w:afterLines="0" w:afterAutospacing="0"/>
      <w:ind w:left="420" w:leftChars="200"/>
    </w:pPr>
  </w:style>
  <w:style w:type="paragraph" w:styleId="8">
    <w:name w:val="envelope return"/>
    <w:basedOn w:val="1"/>
    <w:qFormat/>
    <w:uiPriority w:val="99"/>
    <w:pPr>
      <w:snapToGrid w:val="0"/>
    </w:pPr>
    <w:rPr>
      <w:rFonts w:ascii="Arial" w:hAnsi="Arial" w:cs="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unhideWhenUsed/>
    <w:qFormat/>
    <w:uiPriority w:val="39"/>
    <w:pPr>
      <w:ind w:left="420" w:leftChars="200"/>
    </w:p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7"/>
    <w:next w:val="3"/>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4"/>
      <w:lang w:val="en-US" w:eastAsia="zh-CN" w:bidi="ar"/>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styleId="18">
    <w:name w:val="List Paragraph"/>
    <w:basedOn w:val="1"/>
    <w:qFormat/>
    <w:uiPriority w:val="34"/>
    <w:pPr>
      <w:ind w:firstLine="420" w:firstLineChars="200"/>
    </w:p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20">
    <w:name w:val="正文文字"/>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黑体" w:cs="Times New Roman"/>
      <w:kern w:val="2"/>
      <w:sz w:val="21"/>
      <w:szCs w:val="24"/>
      <w:lang w:val="en-US" w:eastAsia="zh-CN" w:bidi="ar"/>
    </w:rPr>
  </w:style>
  <w:style w:type="paragraph" w:customStyle="1" w:styleId="21">
    <w:name w:val="列表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22">
    <w:name w:val="标题二"/>
    <w:basedOn w:val="11"/>
    <w:qFormat/>
    <w:uiPriority w:val="0"/>
    <w:pPr>
      <w:spacing w:line="360" w:lineRule="auto"/>
      <w:ind w:left="0" w:leftChars="0"/>
      <w:jc w:val="left"/>
    </w:pPr>
    <w:rPr>
      <w:rFonts w:ascii="仿宋_GB2312" w:hAnsi="仿宋_GB2312" w:eastAsia="仿宋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1823</Words>
  <Characters>1836</Characters>
  <Lines>0</Lines>
  <Paragraphs>0</Paragraphs>
  <TotalTime>18</TotalTime>
  <ScaleCrop>false</ScaleCrop>
  <LinksUpToDate>false</LinksUpToDate>
  <CharactersWithSpaces>1841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2024-03-18T01:34:00Z</dcterms:created>
  <dc:creator>L J°</dc:creator>
  <cp:lastModifiedBy>麦子没熟</cp:lastModifiedBy>
  <dcterms:modified xsi:type="dcterms:W3CDTF">2024-11-18T05:46:26Z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53F0DB5B43244ACEABF36A3252F6E181</vt:lpwstr>
  </property>
</Properties>
</file>