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Times New Roman" w:hAnsi="Times New Roman" w:eastAsia="仿宋_GB2312"/>
          <w:sz w:val="32"/>
          <w:szCs w:val="32"/>
        </w:rPr>
      </w:pPr>
    </w:p>
    <w:p>
      <w:pPr>
        <w:spacing w:line="560" w:lineRule="exact"/>
        <w:jc w:val="center"/>
        <w:rPr>
          <w:rFonts w:hint="eastAsia" w:ascii="Times New Roman" w:hAnsi="Times New Roman" w:eastAsia="仿宋_GB2312"/>
          <w:sz w:val="32"/>
          <w:szCs w:val="32"/>
        </w:rPr>
      </w:pPr>
    </w:p>
    <w:p>
      <w:pPr>
        <w:spacing w:line="560" w:lineRule="exact"/>
        <w:jc w:val="center"/>
        <w:rPr>
          <w:rFonts w:hint="eastAsia" w:ascii="Times New Roman" w:hAnsi="Times New Roman" w:eastAsia="仿宋_GB2312"/>
          <w:sz w:val="32"/>
          <w:szCs w:val="32"/>
        </w:rPr>
      </w:pPr>
    </w:p>
    <w:p>
      <w:pPr>
        <w:spacing w:line="6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长沙市发展和改革委员会</w:t>
      </w:r>
    </w:p>
    <w:p>
      <w:pPr>
        <w:spacing w:line="64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202</w:t>
      </w:r>
      <w:r>
        <w:rPr>
          <w:rFonts w:hint="eastAsia" w:ascii="Times New Roman" w:hAnsi="Times New Roman" w:eastAsia="方正小标宋简体"/>
          <w:sz w:val="44"/>
          <w:szCs w:val="44"/>
          <w:lang w:val="en-US" w:eastAsia="zh-CN"/>
        </w:rPr>
        <w:t>3</w:t>
      </w:r>
      <w:r>
        <w:rPr>
          <w:rFonts w:hint="eastAsia" w:ascii="Times New Roman" w:hAnsi="Times New Roman" w:eastAsia="方正小标宋简体"/>
          <w:sz w:val="44"/>
          <w:szCs w:val="44"/>
        </w:rPr>
        <w:t>年政府信息公开工作年度报告</w:t>
      </w:r>
    </w:p>
    <w:p>
      <w:pPr>
        <w:spacing w:line="560" w:lineRule="exact"/>
        <w:ind w:firstLine="640" w:firstLineChars="200"/>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本报告根据《中华人民共和国政府信息公开条例》（国务院令第711号）和《国务院办公厅政府信息与政务公开办公室关于印发&lt;中华人民共和国政府信息公开工作年度报告格式&gt;的通知》（国办公开办函</w:t>
      </w:r>
      <w:r>
        <w:rPr>
          <w:rFonts w:hint="eastAsia" w:ascii="Times New Roman" w:hAnsi="宋体" w:eastAsia="仿宋_GB2312" w:cs="宋体"/>
          <w:sz w:val="32"/>
          <w:szCs w:val="32"/>
        </w:rPr>
        <w:t>﹝</w:t>
      </w:r>
      <w:r>
        <w:rPr>
          <w:rFonts w:hint="eastAsia" w:ascii="Times New Roman" w:hAnsi="Times New Roman" w:eastAsia="仿宋_GB2312"/>
          <w:sz w:val="32"/>
          <w:szCs w:val="32"/>
        </w:rPr>
        <w:t>2021</w:t>
      </w:r>
      <w:r>
        <w:rPr>
          <w:rFonts w:hint="eastAsia" w:ascii="Times New Roman" w:hAnsi="宋体" w:eastAsia="仿宋_GB2312" w:cs="宋体"/>
          <w:sz w:val="32"/>
          <w:szCs w:val="32"/>
        </w:rPr>
        <w:t>﹞</w:t>
      </w:r>
      <w:r>
        <w:rPr>
          <w:rFonts w:hint="eastAsia" w:ascii="Times New Roman" w:hAnsi="Times New Roman" w:eastAsia="仿宋_GB2312"/>
          <w:sz w:val="32"/>
          <w:szCs w:val="32"/>
        </w:rPr>
        <w:t>30号）等文件要求编制，全文包括总体情况、主动公开政府信息情况、收到和处理政府信息公开申请情况、政府信息公开行政复议和行政诉讼情况、存在的主要问题及改进情况、其他需要报告的事项六个部分。本年度报告电子版可以从长沙市发展和改革委员会网站（http://fgw.changsha.gov.cn/zfxxgk/xxgknb/）下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黑体"/>
          <w:b w:val="0"/>
          <w:bCs/>
          <w:sz w:val="32"/>
          <w:szCs w:val="32"/>
        </w:rPr>
      </w:pPr>
      <w:r>
        <w:rPr>
          <w:rFonts w:hint="eastAsia" w:ascii="Times New Roman" w:hAnsi="Times New Roman" w:eastAsia="黑体"/>
          <w:b w:val="0"/>
          <w:bCs/>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年，长沙市发展和改革委员会认真贯彻落实市委市政府对政务公开工作的部署要求，扎实做好政府信息主动公开，依法依规办理政府信息依申请公开，不断提升政务公开便利化水平，各项工作取得明显实效。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sz w:val="32"/>
          <w:szCs w:val="32"/>
          <w:lang w:eastAsia="zh-CN"/>
        </w:rPr>
      </w:pPr>
      <w:r>
        <w:rPr>
          <w:rFonts w:hint="eastAsia" w:ascii="Times New Roman" w:hAnsi="Times New Roman" w:eastAsia="楷体"/>
          <w:b/>
          <w:sz w:val="32"/>
          <w:szCs w:val="32"/>
        </w:rPr>
        <w:t>（一）及时做好政府信息主动公开。</w:t>
      </w:r>
      <w:r>
        <w:rPr>
          <w:rFonts w:hint="eastAsia" w:ascii="Times New Roman" w:hAnsi="Times New Roman" w:eastAsia="仿宋_GB2312"/>
          <w:sz w:val="32"/>
          <w:szCs w:val="32"/>
        </w:rPr>
        <w:t>我委主动公开政府信息途径包括长沙市政府门户网站、长沙市发展和改革委员会网站、“长沙发改”微信公众号、各类简报资料、新闻媒体、展览展板等。我委坚持</w:t>
      </w:r>
      <w:r>
        <w:rPr>
          <w:rFonts w:hint="eastAsia" w:ascii="Times New Roman" w:hAnsi="Times New Roman" w:eastAsia="仿宋_GB2312"/>
          <w:color w:val="auto"/>
          <w:sz w:val="32"/>
          <w:szCs w:val="32"/>
        </w:rPr>
        <w:t>“以公开常态，不公开为例外”的原则，202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年，网站共计发布信息1643条，网站全年度总浏览量3131032次，总访问量1352335次。及时、准确分类发布履职依据、机构简介、规划信息、统计数据、行政许可、处罚/强制、预算决算、行政收费、物价管理</w:t>
      </w:r>
      <w:r>
        <w:rPr>
          <w:rFonts w:hint="eastAsia" w:ascii="Times New Roman" w:hAnsi="Times New Roman" w:eastAsia="仿宋_GB2312"/>
          <w:sz w:val="32"/>
          <w:szCs w:val="32"/>
        </w:rPr>
        <w:t>、重大项目、政府采购、人事信息、其他政府信息等内容，不断提升群众获取相关信息的便利度。</w:t>
      </w:r>
      <w:r>
        <w:rPr>
          <w:rFonts w:hint="eastAsia" w:ascii="Times New Roman" w:hAnsi="Times New Roman" w:eastAsia="仿宋_GB2312"/>
          <w:color w:val="auto"/>
          <w:sz w:val="32"/>
          <w:szCs w:val="32"/>
        </w:rPr>
        <w:t>“长沙发改”微信公众号发布信息1050条</w:t>
      </w:r>
      <w:r>
        <w:rPr>
          <w:rFonts w:hint="eastAsia" w:ascii="Times New Roman" w:hAnsi="Times New Roman" w:eastAsia="仿宋_GB2312"/>
          <w:color w:val="auto"/>
          <w:sz w:val="32"/>
          <w:szCs w:val="32"/>
          <w:lang w:eastAsia="zh-CN"/>
        </w:rPr>
        <w:t>，微信公众号订阅数21495个。</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sz w:val="32"/>
          <w:szCs w:val="32"/>
        </w:rPr>
      </w:pPr>
      <w:r>
        <w:rPr>
          <w:rFonts w:hint="eastAsia" w:ascii="Times New Roman" w:hAnsi="Times New Roman" w:eastAsia="楷体"/>
          <w:b/>
          <w:sz w:val="32"/>
          <w:szCs w:val="32"/>
        </w:rPr>
        <w:t>（二）依法办理政府信息依申请公开。</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年，我委共收到政府信息公开申请</w:t>
      </w:r>
      <w:r>
        <w:rPr>
          <w:rFonts w:hint="eastAsia" w:ascii="Times New Roman" w:hAnsi="Times New Roman" w:eastAsia="仿宋_GB2312"/>
          <w:color w:val="auto"/>
          <w:sz w:val="32"/>
          <w:szCs w:val="32"/>
          <w:lang w:val="en-US" w:eastAsia="zh-CN"/>
        </w:rPr>
        <w:t>178</w:t>
      </w:r>
      <w:r>
        <w:rPr>
          <w:rFonts w:hint="eastAsia" w:ascii="Times New Roman" w:hAnsi="Times New Roman" w:eastAsia="仿宋_GB2312"/>
          <w:color w:val="auto"/>
          <w:sz w:val="32"/>
          <w:szCs w:val="32"/>
        </w:rPr>
        <w:t>件</w:t>
      </w:r>
      <w:r>
        <w:rPr>
          <w:rFonts w:hint="eastAsia" w:ascii="Times New Roman" w:hAnsi="Times New Roman" w:eastAsia="仿宋_GB2312"/>
          <w:sz w:val="32"/>
          <w:szCs w:val="32"/>
        </w:rPr>
        <w:t>。其中，政府信息依申请公开网上受</w:t>
      </w:r>
      <w:r>
        <w:rPr>
          <w:rFonts w:hint="eastAsia" w:ascii="Times New Roman" w:hAnsi="Times New Roman" w:eastAsia="仿宋_GB2312"/>
          <w:color w:val="auto"/>
          <w:sz w:val="32"/>
          <w:szCs w:val="32"/>
        </w:rPr>
        <w:t>理平台收到</w:t>
      </w:r>
      <w:r>
        <w:rPr>
          <w:rFonts w:hint="eastAsia" w:ascii="Times New Roman" w:hAnsi="Times New Roman" w:eastAsia="仿宋_GB2312"/>
          <w:color w:val="auto"/>
          <w:sz w:val="32"/>
          <w:szCs w:val="32"/>
          <w:lang w:val="en-US" w:eastAsia="zh-CN"/>
        </w:rPr>
        <w:t>80</w:t>
      </w:r>
      <w:r>
        <w:rPr>
          <w:rFonts w:hint="eastAsia" w:ascii="Times New Roman" w:hAnsi="Times New Roman" w:eastAsia="仿宋_GB2312"/>
          <w:color w:val="auto"/>
          <w:sz w:val="32"/>
          <w:szCs w:val="32"/>
        </w:rPr>
        <w:t>件，申请人当面递交申请</w:t>
      </w: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件，信函申请</w:t>
      </w:r>
      <w:r>
        <w:rPr>
          <w:rFonts w:hint="eastAsia" w:ascii="Times New Roman" w:hAnsi="Times New Roman" w:eastAsia="仿宋_GB2312"/>
          <w:color w:val="auto"/>
          <w:sz w:val="32"/>
          <w:szCs w:val="32"/>
          <w:lang w:val="en-US" w:eastAsia="zh-CN"/>
        </w:rPr>
        <w:t>92</w:t>
      </w:r>
      <w:r>
        <w:rPr>
          <w:rFonts w:hint="eastAsia" w:ascii="Times New Roman" w:hAnsi="Times New Roman" w:eastAsia="仿宋_GB2312"/>
          <w:color w:val="auto"/>
          <w:sz w:val="32"/>
          <w:szCs w:val="32"/>
        </w:rPr>
        <w:t>件。</w:t>
      </w:r>
      <w:r>
        <w:rPr>
          <w:rFonts w:hint="eastAsia" w:ascii="Times New Roman" w:hAnsi="Times New Roman" w:eastAsia="仿宋_GB2312"/>
          <w:sz w:val="32"/>
          <w:szCs w:val="32"/>
        </w:rPr>
        <w:t>已办结</w:t>
      </w:r>
      <w:r>
        <w:rPr>
          <w:rFonts w:hint="eastAsia" w:ascii="Times New Roman" w:hAnsi="Times New Roman" w:eastAsia="仿宋_GB2312"/>
          <w:color w:val="auto"/>
          <w:sz w:val="32"/>
          <w:szCs w:val="32"/>
          <w:lang w:val="en-US" w:eastAsia="zh-CN"/>
        </w:rPr>
        <w:t>175</w:t>
      </w:r>
      <w:r>
        <w:rPr>
          <w:rFonts w:hint="eastAsia" w:ascii="Times New Roman" w:hAnsi="Times New Roman" w:eastAsia="仿宋_GB2312"/>
          <w:sz w:val="32"/>
          <w:szCs w:val="32"/>
        </w:rPr>
        <w:t>件</w:t>
      </w:r>
      <w:r>
        <w:rPr>
          <w:rFonts w:hint="eastAsia" w:ascii="Times New Roman" w:hAnsi="Times New Roman" w:eastAsia="仿宋_GB2312"/>
          <w:sz w:val="32"/>
          <w:szCs w:val="32"/>
          <w:lang w:eastAsia="zh-CN"/>
        </w:rPr>
        <w:t>（含</w:t>
      </w:r>
      <w:r>
        <w:rPr>
          <w:rFonts w:hint="eastAsia" w:ascii="Times New Roman" w:hAnsi="Times New Roman" w:eastAsia="仿宋_GB2312"/>
          <w:sz w:val="32"/>
          <w:szCs w:val="32"/>
          <w:lang w:val="en-US" w:eastAsia="zh-CN"/>
        </w:rPr>
        <w:t>2022年结转2件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结转至</w:t>
      </w:r>
      <w:r>
        <w:rPr>
          <w:rFonts w:hint="eastAsia" w:ascii="Times New Roman" w:hAnsi="Times New Roman" w:eastAsia="仿宋_GB2312"/>
          <w:sz w:val="32"/>
          <w:szCs w:val="32"/>
          <w:lang w:val="en-US" w:eastAsia="zh-CN"/>
        </w:rPr>
        <w:t>2024年</w:t>
      </w:r>
      <w:r>
        <w:rPr>
          <w:rFonts w:hint="eastAsia" w:ascii="Times New Roman" w:hAnsi="Times New Roman" w:eastAsia="仿宋_GB2312"/>
          <w:sz w:val="32"/>
          <w:szCs w:val="32"/>
        </w:rPr>
        <w:t>办</w:t>
      </w:r>
      <w:r>
        <w:rPr>
          <w:rFonts w:hint="eastAsia" w:ascii="Times New Roman" w:hAnsi="Times New Roman" w:eastAsia="仿宋_GB2312"/>
          <w:color w:val="auto"/>
          <w:sz w:val="32"/>
          <w:szCs w:val="32"/>
        </w:rPr>
        <w:t>理</w:t>
      </w: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件</w:t>
      </w:r>
      <w:r>
        <w:rPr>
          <w:rFonts w:hint="eastAsia" w:ascii="Times New Roman" w:hAnsi="Times New Roman" w:eastAsia="仿宋_GB2312"/>
          <w:sz w:val="32"/>
          <w:szCs w:val="32"/>
        </w:rPr>
        <w:t>。法定时限办结率100%</w:t>
      </w:r>
      <w:r>
        <w:rPr>
          <w:rFonts w:hint="eastAsia" w:ascii="Times New Roman" w:hAnsi="Times New Roman"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sz w:val="32"/>
          <w:szCs w:val="32"/>
        </w:rPr>
      </w:pPr>
      <w:r>
        <w:rPr>
          <w:rFonts w:hint="eastAsia" w:ascii="Times New Roman" w:hAnsi="Times New Roman" w:eastAsia="楷体"/>
          <w:b/>
          <w:sz w:val="32"/>
          <w:szCs w:val="32"/>
        </w:rPr>
        <w:t>（三）逐步规范政府信息管理和发布。</w:t>
      </w:r>
      <w:r>
        <w:rPr>
          <w:rFonts w:hint="eastAsia" w:ascii="Times New Roman" w:hAnsi="Times New Roman" w:eastAsia="仿宋_GB2312"/>
          <w:sz w:val="32"/>
          <w:szCs w:val="32"/>
          <w:lang w:eastAsia="zh-CN"/>
        </w:rPr>
        <w:t>我委</w:t>
      </w:r>
      <w:r>
        <w:rPr>
          <w:rFonts w:hint="eastAsia" w:ascii="Times New Roman" w:hAnsi="Times New Roman" w:eastAsia="仿宋_GB2312"/>
          <w:sz w:val="32"/>
          <w:szCs w:val="32"/>
        </w:rPr>
        <w:t>认真贯彻落实《长沙市人民政府办公厅关于推进政务公开标准化规范化便利化的实施意见》（长政办发﹝2021﹞56号）</w:t>
      </w:r>
      <w:r>
        <w:rPr>
          <w:rFonts w:hint="eastAsia" w:ascii="Times New Roman" w:hAnsi="Times New Roman" w:eastAsia="仿宋_GB2312"/>
          <w:sz w:val="32"/>
          <w:szCs w:val="32"/>
          <w:lang w:eastAsia="zh-CN"/>
        </w:rPr>
        <w:t>等相关</w:t>
      </w:r>
      <w:r>
        <w:rPr>
          <w:rFonts w:hint="eastAsia" w:ascii="Times New Roman" w:hAnsi="Times New Roman" w:eastAsia="仿宋_GB2312"/>
          <w:sz w:val="32"/>
          <w:szCs w:val="32"/>
        </w:rPr>
        <w:t>文件要求，建立完善公文属性源头认定机制，政府信息发布前，严格进行内容审核和保密审查，制发公文明确公文公开属性。</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sz w:val="32"/>
          <w:szCs w:val="32"/>
        </w:rPr>
      </w:pPr>
      <w:r>
        <w:rPr>
          <w:rFonts w:hint="eastAsia" w:ascii="Times New Roman" w:hAnsi="Times New Roman" w:eastAsia="楷体"/>
          <w:b/>
          <w:sz w:val="32"/>
          <w:szCs w:val="32"/>
        </w:rPr>
        <w:t>（四）加强政府信息公开平台运用。</w:t>
      </w:r>
      <w:r>
        <w:rPr>
          <w:rFonts w:hint="eastAsia" w:ascii="Times New Roman" w:hAnsi="Times New Roman" w:eastAsia="仿宋_GB2312"/>
          <w:sz w:val="32"/>
          <w:szCs w:val="32"/>
          <w:lang w:eastAsia="zh-CN"/>
        </w:rPr>
        <w:t>我委</w:t>
      </w:r>
      <w:r>
        <w:rPr>
          <w:rFonts w:hint="eastAsia" w:ascii="Times New Roman" w:hAnsi="Times New Roman" w:eastAsia="仿宋_GB2312"/>
          <w:sz w:val="32"/>
          <w:szCs w:val="32"/>
        </w:rPr>
        <w:t>进一步规范化使用长沙市政府信息依申请公开网上受理平台，严格按照全市统一要求</w:t>
      </w:r>
      <w:r>
        <w:rPr>
          <w:rFonts w:hint="eastAsia" w:ascii="Times New Roman" w:hAnsi="Times New Roman" w:eastAsia="仿宋_GB2312"/>
          <w:sz w:val="32"/>
          <w:szCs w:val="32"/>
          <w:lang w:eastAsia="zh-CN"/>
        </w:rPr>
        <w:t>，将</w:t>
      </w:r>
      <w:r>
        <w:rPr>
          <w:rFonts w:hint="eastAsia" w:ascii="Times New Roman" w:hAnsi="Times New Roman" w:eastAsia="仿宋_GB2312"/>
          <w:sz w:val="32"/>
          <w:szCs w:val="32"/>
        </w:rPr>
        <w:t>线下</w:t>
      </w:r>
      <w:r>
        <w:rPr>
          <w:rFonts w:hint="eastAsia" w:ascii="Times New Roman" w:hAnsi="Times New Roman" w:eastAsia="仿宋_GB2312"/>
          <w:sz w:val="32"/>
          <w:szCs w:val="32"/>
          <w:lang w:eastAsia="zh-CN"/>
        </w:rPr>
        <w:t>等</w:t>
      </w:r>
      <w:r>
        <w:rPr>
          <w:rFonts w:hint="eastAsia" w:ascii="Times New Roman" w:hAnsi="Times New Roman" w:eastAsia="仿宋_GB2312"/>
          <w:sz w:val="32"/>
          <w:szCs w:val="32"/>
        </w:rPr>
        <w:t>其他渠道受理的申请件录入网上受理平台，不断提升政府信息公开申请办理的规范性。</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ascii="Times New Roman" w:hAnsi="Times New Roman" w:eastAsia="仿宋_GB2312"/>
          <w:sz w:val="32"/>
          <w:szCs w:val="32"/>
        </w:rPr>
      </w:pPr>
      <w:r>
        <w:rPr>
          <w:rFonts w:hint="eastAsia" w:ascii="Times New Roman" w:hAnsi="Times New Roman" w:eastAsia="楷体"/>
          <w:b/>
          <w:sz w:val="32"/>
          <w:szCs w:val="32"/>
        </w:rPr>
        <w:t>（五）加大政府信息公开监督保障力度。</w:t>
      </w:r>
      <w:r>
        <w:rPr>
          <w:rFonts w:hint="eastAsia" w:ascii="Times New Roman" w:hAnsi="Times New Roman" w:eastAsia="仿宋_GB2312"/>
          <w:sz w:val="32"/>
          <w:szCs w:val="32"/>
          <w:lang w:eastAsia="zh-CN"/>
        </w:rPr>
        <w:t>我委</w:t>
      </w:r>
      <w:r>
        <w:rPr>
          <w:rFonts w:hint="eastAsia" w:ascii="Times New Roman" w:hAnsi="Times New Roman" w:eastAsia="仿宋_GB2312"/>
          <w:sz w:val="32"/>
          <w:szCs w:val="32"/>
        </w:rPr>
        <w:t>明确网站管理处室为委办公室，负责网站政府信息发布内容的监管，严格落实政府信息公开相关规定和网站信息发布相关要求</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明确</w:t>
      </w:r>
      <w:r>
        <w:rPr>
          <w:rFonts w:hint="eastAsia" w:ascii="Times New Roman" w:hAnsi="Times New Roman" w:eastAsia="仿宋_GB2312"/>
          <w:color w:val="auto"/>
          <w:sz w:val="32"/>
          <w:szCs w:val="32"/>
        </w:rPr>
        <w:t>“长沙发改”微信公众号</w:t>
      </w:r>
      <w:r>
        <w:rPr>
          <w:rFonts w:hint="eastAsia" w:ascii="Times New Roman" w:hAnsi="Times New Roman" w:eastAsia="仿宋_GB2312"/>
          <w:color w:val="auto"/>
          <w:sz w:val="32"/>
          <w:szCs w:val="32"/>
          <w:lang w:eastAsia="zh-CN"/>
        </w:rPr>
        <w:t>管理处室为国民经济综合与运行调节处，负责微信公众号信息发布内容的监管，严格落实微信公众号发布相关要求</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我委充分</w:t>
      </w:r>
      <w:r>
        <w:rPr>
          <w:rFonts w:hint="eastAsia" w:ascii="Times New Roman" w:hAnsi="Times New Roman" w:eastAsia="仿宋_GB2312"/>
          <w:sz w:val="32"/>
          <w:szCs w:val="32"/>
        </w:rPr>
        <w:t>利用网站</w:t>
      </w:r>
      <w:r>
        <w:rPr>
          <w:rFonts w:hint="eastAsia" w:ascii="Times New Roman" w:hAnsi="Times New Roman" w:eastAsia="仿宋_GB2312"/>
          <w:sz w:val="32"/>
          <w:szCs w:val="32"/>
          <w:lang w:eastAsia="zh-CN"/>
        </w:rPr>
        <w:t>和微信公众号等</w:t>
      </w:r>
      <w:r>
        <w:rPr>
          <w:rFonts w:hint="eastAsia" w:ascii="Times New Roman" w:hAnsi="Times New Roman" w:eastAsia="仿宋_GB2312"/>
          <w:sz w:val="32"/>
          <w:szCs w:val="32"/>
        </w:rPr>
        <w:t>平台，及时主动发布各类政府信息，充分保障人民群众的知情权、监督权和参与权。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b w:val="0"/>
          <w:bCs/>
          <w:sz w:val="32"/>
          <w:szCs w:val="32"/>
        </w:rPr>
      </w:pPr>
      <w:r>
        <w:rPr>
          <w:rFonts w:hint="eastAsia" w:ascii="Times New Roman" w:hAnsi="Times New Roman" w:eastAsia="黑体"/>
          <w:b w:val="0"/>
          <w:bCs/>
          <w:sz w:val="32"/>
          <w:szCs w:val="32"/>
        </w:rPr>
        <w:t>二、主动公开政府信息情况</w:t>
      </w:r>
    </w:p>
    <w:tbl>
      <w:tblPr>
        <w:tblStyle w:val="5"/>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435"/>
        <w:gridCol w:w="2435"/>
        <w:gridCol w:w="2435"/>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15" w:type="dxa"/>
            <w:gridSpan w:val="4"/>
            <w:shd w:val="clear" w:color="auto" w:fill="C6D9F1"/>
            <w:noWrap/>
            <w:tcMar>
              <w:left w:w="57" w:type="dxa"/>
              <w:right w:w="57" w:type="dxa"/>
            </w:tcMar>
            <w:vAlign w:val="center"/>
          </w:tcPr>
          <w:p>
            <w:pPr>
              <w:widowControl/>
              <w:spacing w:before="100" w:beforeAutospacing="1"/>
              <w:ind w:firstLine="420"/>
              <w:jc w:val="center"/>
              <w:rPr>
                <w:rFonts w:ascii="Times New Roman" w:hAnsi="Times New Roman" w:eastAsia="黑体"/>
                <w:sz w:val="21"/>
              </w:rPr>
            </w:pPr>
            <w:r>
              <w:rPr>
                <w:rFonts w:hint="eastAsia" w:ascii="Times New Roman" w:hAnsi="Times New Roman" w:eastAsia="黑体" w:cs="宋体"/>
                <w:kern w:val="0"/>
                <w:sz w:val="21"/>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信息内容</w:t>
            </w:r>
          </w:p>
        </w:tc>
        <w:tc>
          <w:tcPr>
            <w:tcW w:w="2435" w:type="dxa"/>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本年制发件数</w:t>
            </w:r>
          </w:p>
        </w:tc>
        <w:tc>
          <w:tcPr>
            <w:tcW w:w="2435" w:type="dxa"/>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本年废止件数</w:t>
            </w:r>
          </w:p>
        </w:tc>
        <w:tc>
          <w:tcPr>
            <w:tcW w:w="1510" w:type="dxa"/>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规章</w:t>
            </w:r>
          </w:p>
        </w:tc>
        <w:tc>
          <w:tcPr>
            <w:tcW w:w="2435" w:type="dxa"/>
            <w:noWrap/>
            <w:tcMar>
              <w:left w:w="57" w:type="dxa"/>
              <w:right w:w="57" w:type="dxa"/>
            </w:tcMar>
            <w:vAlign w:val="center"/>
          </w:tcPr>
          <w:p>
            <w:pPr>
              <w:widowControl/>
              <w:spacing w:before="100" w:beforeAutospacing="1"/>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0</w:t>
            </w:r>
          </w:p>
        </w:tc>
        <w:tc>
          <w:tcPr>
            <w:tcW w:w="2435" w:type="dxa"/>
            <w:noWrap/>
            <w:tcMar>
              <w:left w:w="57" w:type="dxa"/>
              <w:right w:w="57" w:type="dxa"/>
            </w:tcMar>
            <w:vAlign w:val="center"/>
          </w:tcPr>
          <w:p>
            <w:pPr>
              <w:widowControl/>
              <w:spacing w:before="100" w:beforeAutospacing="1"/>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0</w:t>
            </w:r>
          </w:p>
        </w:tc>
        <w:tc>
          <w:tcPr>
            <w:tcW w:w="1510" w:type="dxa"/>
            <w:noWrap/>
            <w:tcMar>
              <w:left w:w="57" w:type="dxa"/>
              <w:right w:w="57" w:type="dxa"/>
            </w:tcMar>
            <w:vAlign w:val="center"/>
          </w:tcPr>
          <w:p>
            <w:pPr>
              <w:widowControl/>
              <w:spacing w:before="100" w:beforeAutospacing="1"/>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行政规范性文件</w:t>
            </w:r>
          </w:p>
        </w:tc>
        <w:tc>
          <w:tcPr>
            <w:tcW w:w="2435" w:type="dxa"/>
            <w:noWrap/>
            <w:tcMar>
              <w:left w:w="57" w:type="dxa"/>
              <w:right w:w="57" w:type="dxa"/>
            </w:tcMar>
            <w:vAlign w:val="center"/>
          </w:tcPr>
          <w:p>
            <w:pPr>
              <w:widowControl/>
              <w:spacing w:before="100" w:beforeAutospacing="1"/>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10</w:t>
            </w:r>
          </w:p>
        </w:tc>
        <w:tc>
          <w:tcPr>
            <w:tcW w:w="2435" w:type="dxa"/>
            <w:noWrap/>
            <w:tcMar>
              <w:left w:w="57" w:type="dxa"/>
              <w:right w:w="57" w:type="dxa"/>
            </w:tcMar>
            <w:vAlign w:val="center"/>
          </w:tcPr>
          <w:p>
            <w:pPr>
              <w:widowControl/>
              <w:spacing w:before="100" w:beforeAutospacing="1"/>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6</w:t>
            </w:r>
          </w:p>
        </w:tc>
        <w:tc>
          <w:tcPr>
            <w:tcW w:w="1510" w:type="dxa"/>
            <w:noWrap/>
            <w:tcMar>
              <w:left w:w="57" w:type="dxa"/>
              <w:right w:w="57" w:type="dxa"/>
            </w:tcMar>
            <w:vAlign w:val="center"/>
          </w:tcPr>
          <w:p>
            <w:pPr>
              <w:widowControl/>
              <w:spacing w:before="100" w:beforeAutospacing="1"/>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15" w:type="dxa"/>
            <w:gridSpan w:val="4"/>
            <w:shd w:val="clear" w:color="auto" w:fill="C6D9F1"/>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信息内容</w:t>
            </w:r>
          </w:p>
        </w:tc>
        <w:tc>
          <w:tcPr>
            <w:tcW w:w="6380" w:type="dxa"/>
            <w:gridSpan w:val="3"/>
            <w:noWrap/>
            <w:tcMar>
              <w:left w:w="57" w:type="dxa"/>
              <w:right w:w="57" w:type="dxa"/>
            </w:tcMar>
            <w:vAlign w:val="center"/>
          </w:tcPr>
          <w:p>
            <w:pPr>
              <w:widowControl/>
              <w:spacing w:before="100" w:beforeAutospacing="1"/>
              <w:jc w:val="center"/>
              <w:rPr>
                <w:rFonts w:ascii="Times New Roman" w:hAnsi="Times New Roman" w:eastAsia="仿宋_GB2312"/>
              </w:rPr>
            </w:pPr>
            <w:r>
              <w:rPr>
                <w:rFonts w:hint="eastAsia" w:ascii="Times New Roman" w:hAnsi="Times New Roman" w:eastAsia="黑体" w:cs="宋体"/>
                <w:kern w:val="0"/>
                <w:sz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行政许可</w:t>
            </w:r>
          </w:p>
        </w:tc>
        <w:tc>
          <w:tcPr>
            <w:tcW w:w="6380" w:type="dxa"/>
            <w:gridSpan w:val="3"/>
            <w:noWrap/>
            <w:tcMar>
              <w:left w:w="57" w:type="dxa"/>
              <w:right w:w="57" w:type="dxa"/>
            </w:tcMar>
            <w:vAlign w:val="center"/>
          </w:tcPr>
          <w:p>
            <w:pPr>
              <w:widowControl/>
              <w:spacing w:before="100" w:beforeAutospacing="1"/>
              <w:jc w:val="center"/>
              <w:rPr>
                <w:rFonts w:hint="default" w:ascii="Times New Roman" w:hAnsi="Times New Roman" w:eastAsia="仿宋_GB2312"/>
                <w:lang w:val="en-US" w:eastAsia="zh-CN"/>
              </w:rPr>
            </w:pPr>
            <w:r>
              <w:rPr>
                <w:rFonts w:hint="eastAsia" w:ascii="Times New Roman" w:hAnsi="Times New Roman" w:eastAsia="仿宋_GB2312"/>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15" w:type="dxa"/>
            <w:gridSpan w:val="4"/>
            <w:shd w:val="clear" w:color="auto" w:fill="C6D9F1"/>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信息内容</w:t>
            </w:r>
          </w:p>
        </w:tc>
        <w:tc>
          <w:tcPr>
            <w:tcW w:w="6380" w:type="dxa"/>
            <w:gridSpan w:val="3"/>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行政处罚</w:t>
            </w:r>
          </w:p>
        </w:tc>
        <w:tc>
          <w:tcPr>
            <w:tcW w:w="6380" w:type="dxa"/>
            <w:gridSpan w:val="3"/>
            <w:noWrap/>
            <w:tcMar>
              <w:left w:w="57" w:type="dxa"/>
              <w:right w:w="57" w:type="dxa"/>
            </w:tcMar>
            <w:vAlign w:val="center"/>
          </w:tcPr>
          <w:p>
            <w:pPr>
              <w:widowControl/>
              <w:spacing w:before="100" w:beforeAutospacing="1"/>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行政强制</w:t>
            </w:r>
          </w:p>
        </w:tc>
        <w:tc>
          <w:tcPr>
            <w:tcW w:w="6380" w:type="dxa"/>
            <w:gridSpan w:val="3"/>
            <w:noWrap/>
            <w:tcMar>
              <w:left w:w="57" w:type="dxa"/>
              <w:right w:w="57" w:type="dxa"/>
            </w:tcMar>
            <w:vAlign w:val="center"/>
          </w:tcPr>
          <w:p>
            <w:pPr>
              <w:widowControl/>
              <w:spacing w:before="100" w:beforeAutospacing="1"/>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815" w:type="dxa"/>
            <w:gridSpan w:val="4"/>
            <w:shd w:val="clear" w:color="auto" w:fill="C6D9F1"/>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信息内容</w:t>
            </w:r>
          </w:p>
        </w:tc>
        <w:tc>
          <w:tcPr>
            <w:tcW w:w="6380" w:type="dxa"/>
            <w:gridSpan w:val="3"/>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35" w:type="dxa"/>
            <w:noWrap/>
            <w:tcMar>
              <w:left w:w="57" w:type="dxa"/>
              <w:right w:w="57" w:type="dxa"/>
            </w:tcMar>
            <w:vAlign w:val="center"/>
          </w:tcPr>
          <w:p>
            <w:pPr>
              <w:widowControl/>
              <w:spacing w:before="100" w:beforeAutospacing="1"/>
              <w:jc w:val="center"/>
              <w:rPr>
                <w:rFonts w:ascii="Times New Roman" w:hAnsi="Times New Roman" w:eastAsia="黑体"/>
                <w:sz w:val="21"/>
              </w:rPr>
            </w:pPr>
            <w:r>
              <w:rPr>
                <w:rFonts w:hint="eastAsia" w:ascii="Times New Roman" w:hAnsi="Times New Roman" w:eastAsia="黑体" w:cs="宋体"/>
                <w:kern w:val="0"/>
                <w:sz w:val="21"/>
              </w:rPr>
              <w:t>行政事业性收费</w:t>
            </w:r>
          </w:p>
        </w:tc>
        <w:tc>
          <w:tcPr>
            <w:tcW w:w="6380" w:type="dxa"/>
            <w:gridSpan w:val="3"/>
            <w:noWrap/>
            <w:tcMar>
              <w:left w:w="57" w:type="dxa"/>
              <w:right w:w="57" w:type="dxa"/>
            </w:tcMar>
            <w:vAlign w:val="center"/>
          </w:tcPr>
          <w:p>
            <w:pPr>
              <w:jc w:val="center"/>
              <w:rPr>
                <w:rFonts w:hint="eastAsia" w:ascii="Times New Roman" w:hAnsi="Times New Roman" w:eastAsia="仿宋_GB2312"/>
                <w:lang w:val="en-US" w:eastAsia="zh-CN"/>
              </w:rPr>
            </w:pPr>
            <w:r>
              <w:rPr>
                <w:rFonts w:hint="eastAsia" w:ascii="Times New Roman" w:hAnsi="Times New Roman" w:eastAsia="仿宋_GB2312"/>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p>
    <w:p>
      <w:pPr>
        <w:spacing w:line="560" w:lineRule="exact"/>
        <w:ind w:firstLine="640" w:firstLineChars="200"/>
        <w:rPr>
          <w:rFonts w:hint="eastAsia" w:ascii="Times New Roman" w:hAnsi="Times New Roman" w:eastAsia="黑体"/>
          <w:b w:val="0"/>
          <w:bCs/>
          <w:sz w:val="32"/>
          <w:szCs w:val="32"/>
        </w:rPr>
      </w:pPr>
      <w:r>
        <w:rPr>
          <w:rFonts w:hint="eastAsia" w:ascii="Times New Roman" w:hAnsi="Times New Roman" w:eastAsia="黑体"/>
          <w:b w:val="0"/>
          <w:bCs/>
          <w:sz w:val="32"/>
          <w:szCs w:val="32"/>
        </w:rPr>
        <w:t>三、收到和处理政府信息公开申请情况</w:t>
      </w:r>
    </w:p>
    <w:tbl>
      <w:tblPr>
        <w:tblStyle w:val="5"/>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754"/>
        <w:gridCol w:w="921"/>
        <w:gridCol w:w="3271"/>
        <w:gridCol w:w="685"/>
        <w:gridCol w:w="685"/>
        <w:gridCol w:w="685"/>
        <w:gridCol w:w="685"/>
        <w:gridCol w:w="685"/>
        <w:gridCol w:w="685"/>
        <w:gridCol w:w="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946" w:type="dxa"/>
            <w:gridSpan w:val="3"/>
            <w:vMerge w:val="restart"/>
            <w:noWrap/>
            <w:tcMar>
              <w:left w:w="108" w:type="dxa"/>
              <w:right w:w="108" w:type="dxa"/>
            </w:tcMar>
            <w:vAlign w:val="center"/>
          </w:tcPr>
          <w:p>
            <w:pPr>
              <w:jc w:val="left"/>
              <w:rPr>
                <w:rFonts w:ascii="Times New Roman" w:hAnsi="Times New Roman" w:eastAsia="黑体" w:cs="仿宋_GB2312"/>
                <w:sz w:val="21"/>
              </w:rPr>
            </w:pPr>
            <w:r>
              <w:rPr>
                <w:rFonts w:hint="eastAsia" w:ascii="Times New Roman" w:hAnsi="仿宋_GB2312" w:eastAsia="黑体" w:cs="仿宋_GB2312"/>
                <w:b w:val="0"/>
                <w:bCs w:val="0"/>
                <w:sz w:val="21"/>
              </w:rPr>
              <w:t>（本列数据的勾稽关系为：第一项加第二项之和，等于第三项加第四项之和）</w:t>
            </w:r>
          </w:p>
        </w:tc>
        <w:tc>
          <w:tcPr>
            <w:tcW w:w="4795" w:type="dxa"/>
            <w:gridSpan w:val="7"/>
            <w:noWrap/>
            <w:vAlign w:val="center"/>
          </w:tcPr>
          <w:p>
            <w:pPr>
              <w:jc w:val="center"/>
              <w:rPr>
                <w:rFonts w:ascii="Times New Roman" w:hAnsi="Times New Roman" w:eastAsia="黑体" w:cs="仿宋_GB2312"/>
                <w:sz w:val="21"/>
              </w:rPr>
            </w:pPr>
            <w:r>
              <w:rPr>
                <w:rFonts w:hint="eastAsia" w:ascii="Times New Roman" w:hAnsi="仿宋_GB2312" w:eastAsia="黑体" w:cs="仿宋_GB2312"/>
                <w:sz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946" w:type="dxa"/>
            <w:gridSpan w:val="3"/>
            <w:vMerge w:val="continue"/>
            <w:noWrap/>
            <w:tcMar>
              <w:left w:w="108" w:type="dxa"/>
              <w:right w:w="108" w:type="dxa"/>
            </w:tcMar>
            <w:vAlign w:val="center"/>
          </w:tcPr>
          <w:p>
            <w:pPr>
              <w:jc w:val="left"/>
              <w:rPr>
                <w:rFonts w:ascii="Times New Roman" w:hAnsi="Times New Roman" w:eastAsia="黑体" w:cs="仿宋_GB2312"/>
                <w:sz w:val="21"/>
              </w:rPr>
            </w:pPr>
          </w:p>
        </w:tc>
        <w:tc>
          <w:tcPr>
            <w:tcW w:w="685" w:type="dxa"/>
            <w:vMerge w:val="restart"/>
            <w:noWrap/>
            <w:vAlign w:val="center"/>
          </w:tcPr>
          <w:p>
            <w:pPr>
              <w:jc w:val="center"/>
              <w:rPr>
                <w:rFonts w:ascii="Times New Roman" w:hAnsi="Times New Roman" w:eastAsia="黑体" w:cs="仿宋_GB2312"/>
                <w:sz w:val="21"/>
              </w:rPr>
            </w:pPr>
            <w:r>
              <w:rPr>
                <w:rFonts w:hint="eastAsia" w:ascii="Times New Roman" w:hAnsi="仿宋_GB2312" w:eastAsia="黑体" w:cs="仿宋_GB2312"/>
                <w:sz w:val="21"/>
              </w:rPr>
              <w:t>自</w:t>
            </w:r>
          </w:p>
          <w:p>
            <w:pPr>
              <w:jc w:val="center"/>
              <w:rPr>
                <w:rFonts w:ascii="Times New Roman" w:hAnsi="Times New Roman" w:eastAsia="黑体" w:cs="仿宋_GB2312"/>
                <w:sz w:val="21"/>
              </w:rPr>
            </w:pPr>
            <w:r>
              <w:rPr>
                <w:rFonts w:hint="eastAsia" w:ascii="Times New Roman" w:hAnsi="仿宋_GB2312" w:eastAsia="黑体" w:cs="仿宋_GB2312"/>
                <w:sz w:val="21"/>
              </w:rPr>
              <w:t>然</w:t>
            </w:r>
          </w:p>
          <w:p>
            <w:pPr>
              <w:jc w:val="center"/>
              <w:rPr>
                <w:rFonts w:ascii="Times New Roman" w:hAnsi="Times New Roman" w:eastAsia="黑体" w:cs="仿宋_GB2312"/>
                <w:sz w:val="21"/>
              </w:rPr>
            </w:pPr>
            <w:r>
              <w:rPr>
                <w:rFonts w:hint="eastAsia" w:ascii="Times New Roman" w:hAnsi="仿宋_GB2312" w:eastAsia="黑体" w:cs="仿宋_GB2312"/>
                <w:sz w:val="21"/>
              </w:rPr>
              <w:t>人</w:t>
            </w:r>
          </w:p>
        </w:tc>
        <w:tc>
          <w:tcPr>
            <w:tcW w:w="3425" w:type="dxa"/>
            <w:gridSpan w:val="5"/>
            <w:noWrap/>
            <w:vAlign w:val="center"/>
          </w:tcPr>
          <w:p>
            <w:pPr>
              <w:jc w:val="center"/>
              <w:rPr>
                <w:rFonts w:ascii="Times New Roman" w:hAnsi="Times New Roman" w:eastAsia="黑体" w:cs="仿宋_GB2312"/>
                <w:sz w:val="21"/>
              </w:rPr>
            </w:pPr>
            <w:r>
              <w:rPr>
                <w:rFonts w:hint="eastAsia" w:ascii="Times New Roman" w:hAnsi="仿宋_GB2312" w:eastAsia="黑体" w:cs="仿宋_GB2312"/>
                <w:sz w:val="21"/>
              </w:rPr>
              <w:t>法人或其他组织</w:t>
            </w:r>
          </w:p>
        </w:tc>
        <w:tc>
          <w:tcPr>
            <w:tcW w:w="685" w:type="dxa"/>
            <w:vMerge w:val="restart"/>
            <w:noWrap/>
            <w:vAlign w:val="center"/>
          </w:tcPr>
          <w:p>
            <w:pPr>
              <w:jc w:val="center"/>
              <w:rPr>
                <w:rFonts w:ascii="Times New Roman" w:hAnsi="Times New Roman" w:eastAsia="黑体" w:cs="仿宋_GB2312"/>
                <w:sz w:val="21"/>
              </w:rPr>
            </w:pPr>
            <w:r>
              <w:rPr>
                <w:rFonts w:hint="eastAsia" w:ascii="Times New Roman" w:hAnsi="仿宋_GB2312" w:eastAsia="黑体" w:cs="仿宋_GB2312"/>
                <w:sz w:val="21"/>
              </w:rPr>
              <w:t>总</w:t>
            </w:r>
          </w:p>
          <w:p>
            <w:pPr>
              <w:jc w:val="center"/>
              <w:rPr>
                <w:rFonts w:ascii="Times New Roman" w:hAnsi="Times New Roman" w:eastAsia="仿宋_GB2312" w:cs="仿宋_GB2312"/>
              </w:rPr>
            </w:pPr>
            <w:r>
              <w:rPr>
                <w:rFonts w:hint="eastAsia" w:ascii="Times New Roman" w:hAnsi="仿宋_GB2312" w:eastAsia="黑体" w:cs="仿宋_GB2312"/>
                <w:sz w:val="21"/>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4946" w:type="dxa"/>
            <w:gridSpan w:val="3"/>
            <w:vMerge w:val="continue"/>
            <w:noWrap/>
            <w:tcMar>
              <w:left w:w="108" w:type="dxa"/>
              <w:right w:w="108" w:type="dxa"/>
            </w:tcMar>
            <w:vAlign w:val="center"/>
          </w:tcPr>
          <w:p>
            <w:pPr>
              <w:jc w:val="left"/>
              <w:rPr>
                <w:rFonts w:ascii="Times New Roman" w:hAnsi="Times New Roman" w:eastAsia="黑体" w:cs="仿宋_GB2312"/>
                <w:sz w:val="21"/>
              </w:rPr>
            </w:pPr>
          </w:p>
        </w:tc>
        <w:tc>
          <w:tcPr>
            <w:tcW w:w="685" w:type="dxa"/>
            <w:vMerge w:val="continue"/>
            <w:noWrap/>
            <w:vAlign w:val="center"/>
          </w:tcPr>
          <w:p>
            <w:pPr>
              <w:jc w:val="center"/>
              <w:rPr>
                <w:rFonts w:ascii="Times New Roman" w:hAnsi="Times New Roman" w:eastAsia="黑体" w:cs="仿宋_GB2312"/>
                <w:sz w:val="21"/>
              </w:rPr>
            </w:pPr>
          </w:p>
        </w:tc>
        <w:tc>
          <w:tcPr>
            <w:tcW w:w="685" w:type="dxa"/>
            <w:noWrap/>
            <w:vAlign w:val="center"/>
          </w:tcPr>
          <w:p>
            <w:pPr>
              <w:jc w:val="center"/>
              <w:rPr>
                <w:rFonts w:ascii="Times New Roman" w:hAnsi="Times New Roman" w:eastAsia="黑体" w:cs="仿宋_GB2312"/>
                <w:sz w:val="21"/>
              </w:rPr>
            </w:pPr>
            <w:r>
              <w:rPr>
                <w:rFonts w:hint="eastAsia" w:ascii="Times New Roman" w:hAnsi="仿宋_GB2312" w:eastAsia="黑体" w:cs="仿宋_GB2312"/>
                <w:sz w:val="21"/>
              </w:rPr>
              <w:t>商业</w:t>
            </w:r>
          </w:p>
          <w:p>
            <w:pPr>
              <w:jc w:val="center"/>
              <w:rPr>
                <w:rFonts w:ascii="Times New Roman" w:hAnsi="Times New Roman" w:eastAsia="黑体" w:cs="仿宋_GB2312"/>
                <w:sz w:val="21"/>
              </w:rPr>
            </w:pPr>
            <w:r>
              <w:rPr>
                <w:rFonts w:hint="eastAsia" w:ascii="Times New Roman" w:hAnsi="仿宋_GB2312" w:eastAsia="黑体" w:cs="仿宋_GB2312"/>
                <w:sz w:val="21"/>
              </w:rPr>
              <w:t>企业</w:t>
            </w:r>
          </w:p>
        </w:tc>
        <w:tc>
          <w:tcPr>
            <w:tcW w:w="685" w:type="dxa"/>
            <w:noWrap/>
            <w:vAlign w:val="center"/>
          </w:tcPr>
          <w:p>
            <w:pPr>
              <w:jc w:val="center"/>
              <w:rPr>
                <w:rFonts w:ascii="Times New Roman" w:hAnsi="Times New Roman" w:eastAsia="黑体" w:cs="仿宋_GB2312"/>
                <w:sz w:val="21"/>
              </w:rPr>
            </w:pPr>
            <w:r>
              <w:rPr>
                <w:rFonts w:hint="eastAsia" w:ascii="Times New Roman" w:hAnsi="仿宋_GB2312" w:eastAsia="黑体" w:cs="仿宋_GB2312"/>
                <w:sz w:val="21"/>
              </w:rPr>
              <w:t>科研</w:t>
            </w:r>
          </w:p>
          <w:p>
            <w:pPr>
              <w:jc w:val="center"/>
              <w:rPr>
                <w:rFonts w:ascii="Times New Roman" w:hAnsi="Times New Roman" w:eastAsia="黑体" w:cs="仿宋_GB2312"/>
                <w:sz w:val="21"/>
              </w:rPr>
            </w:pPr>
            <w:r>
              <w:rPr>
                <w:rFonts w:hint="eastAsia" w:ascii="Times New Roman" w:hAnsi="仿宋_GB2312" w:eastAsia="黑体" w:cs="仿宋_GB2312"/>
                <w:sz w:val="21"/>
              </w:rPr>
              <w:t>机构</w:t>
            </w:r>
          </w:p>
        </w:tc>
        <w:tc>
          <w:tcPr>
            <w:tcW w:w="685" w:type="dxa"/>
            <w:noWrap/>
            <w:vAlign w:val="center"/>
          </w:tcPr>
          <w:p>
            <w:pPr>
              <w:jc w:val="center"/>
              <w:rPr>
                <w:rFonts w:ascii="Times New Roman" w:hAnsi="Times New Roman" w:eastAsia="黑体" w:cs="仿宋_GB2312"/>
                <w:sz w:val="21"/>
              </w:rPr>
            </w:pPr>
            <w:r>
              <w:rPr>
                <w:rFonts w:hint="eastAsia" w:ascii="Times New Roman" w:hAnsi="仿宋_GB2312" w:eastAsia="黑体" w:cs="仿宋_GB2312"/>
                <w:sz w:val="21"/>
              </w:rPr>
              <w:t>社会公益组织</w:t>
            </w:r>
          </w:p>
        </w:tc>
        <w:tc>
          <w:tcPr>
            <w:tcW w:w="685" w:type="dxa"/>
            <w:noWrap/>
            <w:vAlign w:val="center"/>
          </w:tcPr>
          <w:p>
            <w:pPr>
              <w:jc w:val="center"/>
              <w:rPr>
                <w:rFonts w:ascii="Times New Roman" w:hAnsi="Times New Roman" w:eastAsia="黑体" w:cs="仿宋_GB2312"/>
                <w:sz w:val="21"/>
              </w:rPr>
            </w:pPr>
            <w:r>
              <w:rPr>
                <w:rFonts w:hint="eastAsia" w:ascii="Times New Roman" w:hAnsi="仿宋_GB2312" w:eastAsia="黑体" w:cs="仿宋_GB2312"/>
                <w:sz w:val="21"/>
              </w:rPr>
              <w:t>法律服务机构</w:t>
            </w:r>
          </w:p>
        </w:tc>
        <w:tc>
          <w:tcPr>
            <w:tcW w:w="685" w:type="dxa"/>
            <w:noWrap/>
            <w:vAlign w:val="center"/>
          </w:tcPr>
          <w:p>
            <w:pPr>
              <w:jc w:val="center"/>
              <w:rPr>
                <w:rFonts w:ascii="Times New Roman" w:hAnsi="Times New Roman" w:eastAsia="黑体" w:cs="仿宋_GB2312"/>
                <w:sz w:val="21"/>
              </w:rPr>
            </w:pPr>
            <w:r>
              <w:rPr>
                <w:rFonts w:hint="eastAsia" w:ascii="Times New Roman" w:hAnsi="仿宋_GB2312" w:eastAsia="黑体" w:cs="仿宋_GB2312"/>
                <w:sz w:val="21"/>
              </w:rPr>
              <w:t>其他</w:t>
            </w:r>
          </w:p>
        </w:tc>
        <w:tc>
          <w:tcPr>
            <w:tcW w:w="685" w:type="dxa"/>
            <w:vMerge w:val="continue"/>
            <w:noWrap/>
            <w:vAlign w:val="center"/>
          </w:tcPr>
          <w:p>
            <w:pPr>
              <w:jc w:val="center"/>
              <w:rPr>
                <w:rFonts w:ascii="Times New Roman" w:hAnsi="Times New Roman"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946" w:type="dxa"/>
            <w:gridSpan w:val="3"/>
            <w:noWrap/>
            <w:vAlign w:val="center"/>
          </w:tcPr>
          <w:p>
            <w:pPr>
              <w:jc w:val="left"/>
              <w:rPr>
                <w:rFonts w:ascii="Times New Roman" w:hAnsi="Times New Roman" w:eastAsia="仿宋_GB2312" w:cs="仿宋_GB2312"/>
              </w:rPr>
            </w:pPr>
            <w:r>
              <w:rPr>
                <w:rFonts w:hint="eastAsia" w:ascii="Times New Roman" w:hAnsi="仿宋_GB2312" w:eastAsia="仿宋_GB2312" w:cs="仿宋_GB2312"/>
              </w:rPr>
              <w:t>一、本年新收政府信息公开申请数量</w:t>
            </w:r>
          </w:p>
        </w:tc>
        <w:tc>
          <w:tcPr>
            <w:tcW w:w="685" w:type="dxa"/>
            <w:noWrap/>
            <w:vAlign w:val="center"/>
          </w:tcPr>
          <w:p>
            <w:pPr>
              <w:jc w:val="center"/>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171</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5</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1</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1</w:t>
            </w:r>
          </w:p>
        </w:tc>
        <w:tc>
          <w:tcPr>
            <w:tcW w:w="685" w:type="dxa"/>
            <w:noWrap/>
            <w:vAlign w:val="center"/>
          </w:tcPr>
          <w:p>
            <w:pPr>
              <w:jc w:val="center"/>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946" w:type="dxa"/>
            <w:gridSpan w:val="3"/>
            <w:noWrap/>
            <w:vAlign w:val="center"/>
          </w:tcPr>
          <w:p>
            <w:pPr>
              <w:jc w:val="left"/>
              <w:rPr>
                <w:rFonts w:ascii="Times New Roman" w:hAnsi="Times New Roman" w:eastAsia="仿宋_GB2312" w:cs="仿宋_GB2312"/>
              </w:rPr>
            </w:pPr>
            <w:r>
              <w:rPr>
                <w:rFonts w:hint="eastAsia" w:ascii="Times New Roman" w:hAnsi="仿宋_GB2312" w:eastAsia="仿宋_GB2312" w:cs="仿宋_GB2312"/>
              </w:rPr>
              <w:t>二、上年结转政府信息公开申请数量</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2</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6" w:hRule="atLeast"/>
          <w:jc w:val="center"/>
        </w:trPr>
        <w:tc>
          <w:tcPr>
            <w:tcW w:w="754" w:type="dxa"/>
            <w:vMerge w:val="restart"/>
            <w:noWrap/>
            <w:vAlign w:val="center"/>
          </w:tcPr>
          <w:p>
            <w:pPr>
              <w:jc w:val="center"/>
              <w:rPr>
                <w:rFonts w:ascii="Times New Roman" w:hAnsi="Times New Roman" w:eastAsia="仿宋_GB2312" w:cs="仿宋_GB2312"/>
              </w:rPr>
            </w:pPr>
            <w:r>
              <w:rPr>
                <w:rFonts w:hint="eastAsia" w:ascii="Times New Roman" w:hAnsi="仿宋_GB2312" w:eastAsia="仿宋_GB2312" w:cs="仿宋_GB2312"/>
              </w:rPr>
              <w:t>三、本年度办理结果</w:t>
            </w:r>
          </w:p>
        </w:tc>
        <w:tc>
          <w:tcPr>
            <w:tcW w:w="4192" w:type="dxa"/>
            <w:gridSpan w:val="2"/>
            <w:noWrap/>
            <w:vAlign w:val="center"/>
          </w:tcPr>
          <w:p>
            <w:pPr>
              <w:jc w:val="left"/>
              <w:rPr>
                <w:rFonts w:ascii="Times New Roman" w:hAnsi="Times New Roman" w:eastAsia="仿宋_GB2312" w:cs="仿宋_GB2312"/>
              </w:rPr>
            </w:pPr>
            <w:r>
              <w:rPr>
                <w:rFonts w:hint="eastAsia" w:ascii="Times New Roman" w:hAnsi="仿宋_GB2312" w:eastAsia="仿宋_GB2312" w:cs="仿宋_GB2312"/>
              </w:rPr>
              <w:t>（一）予以公开</w:t>
            </w:r>
          </w:p>
        </w:tc>
        <w:tc>
          <w:tcPr>
            <w:tcW w:w="685" w:type="dxa"/>
            <w:noWrap/>
            <w:vAlign w:val="center"/>
          </w:tcPr>
          <w:p>
            <w:pPr>
              <w:jc w:val="center"/>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21</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4</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54" w:type="dxa"/>
            <w:vMerge w:val="continue"/>
            <w:noWrap/>
            <w:vAlign w:val="center"/>
          </w:tcPr>
          <w:p>
            <w:pPr>
              <w:jc w:val="center"/>
              <w:rPr>
                <w:rFonts w:ascii="Times New Roman" w:hAnsi="Times New Roman" w:eastAsia="仿宋_GB2312" w:cs="仿宋_GB2312"/>
              </w:rPr>
            </w:pPr>
          </w:p>
        </w:tc>
        <w:tc>
          <w:tcPr>
            <w:tcW w:w="4192" w:type="dxa"/>
            <w:gridSpan w:val="2"/>
            <w:noWrap/>
            <w:vAlign w:val="center"/>
          </w:tcPr>
          <w:p>
            <w:pPr>
              <w:jc w:val="left"/>
              <w:rPr>
                <w:rFonts w:ascii="Times New Roman" w:hAnsi="Times New Roman" w:eastAsia="仿宋_GB2312" w:cs="仿宋_GB2312"/>
              </w:rPr>
            </w:pPr>
            <w:r>
              <w:rPr>
                <w:rFonts w:hint="eastAsia" w:ascii="Times New Roman" w:hAnsi="仿宋_GB2312" w:eastAsia="仿宋_GB2312" w:cs="仿宋_GB2312"/>
              </w:rPr>
              <w:t>（二）部分公开（区分处理的，只计这一情形，不计其他情形）</w:t>
            </w:r>
          </w:p>
        </w:tc>
        <w:tc>
          <w:tcPr>
            <w:tcW w:w="685" w:type="dxa"/>
            <w:noWrap/>
            <w:vAlign w:val="center"/>
          </w:tcPr>
          <w:p>
            <w:pPr>
              <w:jc w:val="center"/>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17</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2"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restart"/>
            <w:noWrap/>
            <w:vAlign w:val="center"/>
          </w:tcPr>
          <w:p>
            <w:pPr>
              <w:jc w:val="center"/>
              <w:rPr>
                <w:rFonts w:ascii="Times New Roman" w:hAnsi="Times New Roman" w:eastAsia="仿宋_GB2312" w:cs="仿宋_GB2312"/>
              </w:rPr>
            </w:pPr>
            <w:r>
              <w:rPr>
                <w:rFonts w:hint="eastAsia" w:ascii="Times New Roman" w:hAnsi="仿宋_GB2312" w:eastAsia="仿宋_GB2312" w:cs="仿宋_GB2312"/>
              </w:rPr>
              <w:t>（三）不予公开</w:t>
            </w: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1.</w:t>
            </w:r>
            <w:r>
              <w:rPr>
                <w:rFonts w:hint="eastAsia" w:ascii="Times New Roman" w:hAnsi="仿宋_GB2312" w:eastAsia="仿宋_GB2312" w:cs="仿宋_GB2312"/>
              </w:rPr>
              <w:t>属于国家秘密</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3</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2"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2.</w:t>
            </w:r>
            <w:r>
              <w:rPr>
                <w:rFonts w:hint="eastAsia" w:ascii="Times New Roman" w:hAnsi="仿宋_GB2312" w:eastAsia="仿宋_GB2312" w:cs="仿宋_GB2312"/>
              </w:rPr>
              <w:t>其他法律行政法规禁止公开</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5"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3.</w:t>
            </w:r>
            <w:r>
              <w:rPr>
                <w:rFonts w:hint="eastAsia" w:ascii="Times New Roman" w:hAnsi="仿宋_GB2312" w:eastAsia="仿宋_GB2312" w:cs="仿宋_GB2312"/>
              </w:rPr>
              <w:t>危及</w:t>
            </w:r>
            <w:r>
              <w:rPr>
                <w:rFonts w:hint="eastAsia" w:ascii="Times New Roman" w:hAnsi="Times New Roman" w:eastAsia="仿宋_GB2312" w:cs="仿宋_GB2312"/>
              </w:rPr>
              <w:t>“</w:t>
            </w:r>
            <w:r>
              <w:rPr>
                <w:rFonts w:hint="eastAsia" w:ascii="Times New Roman" w:hAnsi="仿宋_GB2312" w:eastAsia="仿宋_GB2312" w:cs="仿宋_GB2312"/>
              </w:rPr>
              <w:t>三安全一稳定</w:t>
            </w:r>
            <w:r>
              <w:rPr>
                <w:rFonts w:hint="eastAsia" w:ascii="Times New Roman" w:hAnsi="Times New Roman" w:eastAsia="仿宋_GB2312" w:cs="仿宋_GB2312"/>
              </w:rPr>
              <w:t>”</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4.</w:t>
            </w:r>
            <w:r>
              <w:rPr>
                <w:rFonts w:hint="eastAsia" w:ascii="Times New Roman" w:hAnsi="仿宋_GB2312" w:eastAsia="仿宋_GB2312" w:cs="仿宋_GB2312"/>
              </w:rPr>
              <w:t>保护第三方合法权益</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5.</w:t>
            </w:r>
            <w:r>
              <w:rPr>
                <w:rFonts w:hint="eastAsia" w:ascii="Times New Roman" w:hAnsi="仿宋_GB2312" w:eastAsia="仿宋_GB2312" w:cs="仿宋_GB2312"/>
              </w:rPr>
              <w:t>属于三类内部事务信息</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9"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6.</w:t>
            </w:r>
            <w:r>
              <w:rPr>
                <w:rFonts w:hint="eastAsia" w:ascii="Times New Roman" w:hAnsi="仿宋_GB2312" w:eastAsia="仿宋_GB2312" w:cs="仿宋_GB2312"/>
              </w:rPr>
              <w:t>属于四类过程性信息</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7.</w:t>
            </w:r>
            <w:r>
              <w:rPr>
                <w:rFonts w:hint="eastAsia" w:ascii="Times New Roman" w:hAnsi="仿宋_GB2312" w:eastAsia="仿宋_GB2312" w:cs="仿宋_GB2312"/>
              </w:rPr>
              <w:t>属于行政执法案卷</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8.</w:t>
            </w:r>
            <w:r>
              <w:rPr>
                <w:rFonts w:hint="eastAsia" w:ascii="Times New Roman" w:hAnsi="仿宋_GB2312" w:eastAsia="仿宋_GB2312" w:cs="仿宋_GB2312"/>
              </w:rPr>
              <w:t>属于行政查询事项</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6"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restart"/>
            <w:noWrap/>
            <w:vAlign w:val="center"/>
          </w:tcPr>
          <w:p>
            <w:pPr>
              <w:jc w:val="center"/>
              <w:rPr>
                <w:rFonts w:ascii="Times New Roman" w:hAnsi="Times New Roman" w:eastAsia="仿宋_GB2312" w:cs="仿宋_GB2312"/>
              </w:rPr>
            </w:pPr>
            <w:r>
              <w:rPr>
                <w:rFonts w:hint="eastAsia" w:ascii="Times New Roman" w:hAnsi="仿宋_GB2312" w:eastAsia="仿宋_GB2312" w:cs="仿宋_GB2312"/>
              </w:rPr>
              <w:t>（四）无法提供</w:t>
            </w: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1.</w:t>
            </w:r>
            <w:r>
              <w:rPr>
                <w:rFonts w:hint="eastAsia" w:ascii="Times New Roman" w:hAnsi="仿宋_GB2312" w:eastAsia="仿宋_GB2312" w:cs="仿宋_GB2312"/>
              </w:rPr>
              <w:t>本机关不掌握相关政府信息</w:t>
            </w:r>
          </w:p>
        </w:tc>
        <w:tc>
          <w:tcPr>
            <w:tcW w:w="685" w:type="dxa"/>
            <w:noWrap/>
            <w:vAlign w:val="center"/>
          </w:tcPr>
          <w:p>
            <w:pPr>
              <w:jc w:val="center"/>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84</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1</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6"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2.</w:t>
            </w:r>
            <w:r>
              <w:rPr>
                <w:rFonts w:hint="eastAsia" w:ascii="Times New Roman" w:hAnsi="仿宋_GB2312" w:eastAsia="仿宋_GB2312" w:cs="仿宋_GB2312"/>
              </w:rPr>
              <w:t>没有现成信息需要另行制作</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6"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3.</w:t>
            </w:r>
            <w:r>
              <w:rPr>
                <w:rFonts w:hint="eastAsia" w:ascii="Times New Roman" w:hAnsi="仿宋_GB2312" w:eastAsia="仿宋_GB2312" w:cs="仿宋_GB2312"/>
              </w:rPr>
              <w:t>补正后申请内容仍不明确</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2"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restart"/>
            <w:noWrap/>
            <w:vAlign w:val="center"/>
          </w:tcPr>
          <w:p>
            <w:pPr>
              <w:jc w:val="center"/>
              <w:rPr>
                <w:rFonts w:ascii="Times New Roman" w:hAnsi="Times New Roman" w:eastAsia="仿宋_GB2312" w:cs="仿宋_GB2312"/>
              </w:rPr>
            </w:pPr>
            <w:r>
              <w:rPr>
                <w:rFonts w:hint="eastAsia" w:ascii="Times New Roman" w:hAnsi="仿宋_GB2312" w:eastAsia="仿宋_GB2312" w:cs="仿宋_GB2312"/>
              </w:rPr>
              <w:t>（五）不予处理</w:t>
            </w: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1.</w:t>
            </w:r>
            <w:r>
              <w:rPr>
                <w:rFonts w:hint="eastAsia" w:ascii="Times New Roman" w:hAnsi="仿宋_GB2312" w:eastAsia="仿宋_GB2312" w:cs="仿宋_GB2312"/>
              </w:rPr>
              <w:t>信访举报投诉类申请</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02"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2.</w:t>
            </w:r>
            <w:r>
              <w:rPr>
                <w:rFonts w:hint="eastAsia" w:ascii="Times New Roman" w:hAnsi="仿宋_GB2312" w:eastAsia="仿宋_GB2312" w:cs="仿宋_GB2312"/>
              </w:rPr>
              <w:t>重复申请</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3.</w:t>
            </w:r>
            <w:r>
              <w:rPr>
                <w:rFonts w:hint="eastAsia" w:ascii="Times New Roman" w:hAnsi="仿宋_GB2312" w:eastAsia="仿宋_GB2312" w:cs="仿宋_GB2312"/>
              </w:rPr>
              <w:t>要求提供公开出版物</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38"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top"/>
          </w:tcPr>
          <w:p>
            <w:pPr>
              <w:jc w:val="left"/>
              <w:rPr>
                <w:rFonts w:ascii="Times New Roman" w:hAnsi="Times New Roman" w:eastAsia="仿宋_GB2312" w:cs="仿宋_GB2312"/>
              </w:rPr>
            </w:pPr>
            <w:r>
              <w:rPr>
                <w:rFonts w:hint="eastAsia" w:ascii="Times New Roman" w:hAnsi="Times New Roman" w:eastAsia="仿宋_GB2312" w:cs="仿宋_GB2312"/>
              </w:rPr>
              <w:t>4.</w:t>
            </w:r>
            <w:r>
              <w:rPr>
                <w:rFonts w:hint="eastAsia" w:ascii="Times New Roman" w:hAnsi="仿宋_GB2312" w:eastAsia="仿宋_GB2312" w:cs="仿宋_GB2312"/>
              </w:rPr>
              <w:t>无正当理由大量反复申请</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center"/>
          </w:tcPr>
          <w:p>
            <w:pPr>
              <w:jc w:val="left"/>
              <w:rPr>
                <w:rFonts w:ascii="Times New Roman" w:hAnsi="Times New Roman" w:eastAsia="仿宋_GB2312" w:cs="仿宋_GB2312"/>
              </w:rPr>
            </w:pPr>
            <w:r>
              <w:rPr>
                <w:rFonts w:hint="eastAsia" w:ascii="Times New Roman" w:hAnsi="Times New Roman" w:eastAsia="仿宋_GB2312" w:cs="仿宋_GB2312"/>
              </w:rPr>
              <w:t>5.</w:t>
            </w:r>
            <w:r>
              <w:rPr>
                <w:rFonts w:hint="eastAsia" w:ascii="Times New Roman" w:hAnsi="仿宋_GB2312" w:eastAsia="仿宋_GB2312" w:cs="仿宋_GB2312"/>
              </w:rPr>
              <w:t>要求行政机关确认或重新出具已获取信息</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1</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restart"/>
            <w:noWrap/>
            <w:vAlign w:val="center"/>
          </w:tcPr>
          <w:p>
            <w:pPr>
              <w:jc w:val="center"/>
              <w:rPr>
                <w:rFonts w:ascii="Times New Roman" w:hAnsi="Times New Roman" w:eastAsia="仿宋_GB2312" w:cs="仿宋_GB2312"/>
              </w:rPr>
            </w:pPr>
            <w:r>
              <w:rPr>
                <w:rFonts w:hint="eastAsia" w:ascii="Times New Roman" w:hAnsi="仿宋_GB2312" w:eastAsia="仿宋_GB2312" w:cs="仿宋_GB2312"/>
              </w:rPr>
              <w:t>（六）其他处理</w:t>
            </w:r>
          </w:p>
        </w:tc>
        <w:tc>
          <w:tcPr>
            <w:tcW w:w="3271" w:type="dxa"/>
            <w:noWrap/>
            <w:vAlign w:val="center"/>
          </w:tcPr>
          <w:p>
            <w:pPr>
              <w:jc w:val="left"/>
              <w:rPr>
                <w:rFonts w:ascii="Times New Roman" w:hAnsi="Times New Roman" w:eastAsia="仿宋_GB2312" w:cs="仿宋_GB2312"/>
              </w:rPr>
            </w:pPr>
            <w:r>
              <w:rPr>
                <w:rFonts w:hint="eastAsia" w:ascii="Times New Roman" w:hAnsi="Times New Roman" w:eastAsia="仿宋_GB2312" w:cs="仿宋_GB2312"/>
              </w:rPr>
              <w:t>1.</w:t>
            </w:r>
            <w:r>
              <w:rPr>
                <w:rFonts w:hint="eastAsia" w:ascii="Times New Roman" w:hAnsi="仿宋_GB2312" w:eastAsia="仿宋_GB2312" w:cs="仿宋_GB2312"/>
              </w:rPr>
              <w:t>申请人无正当理由逾期不补正、行政机关不再处理其政府信息公开申请</w:t>
            </w:r>
          </w:p>
        </w:tc>
        <w:tc>
          <w:tcPr>
            <w:tcW w:w="685" w:type="dxa"/>
            <w:noWrap/>
            <w:vAlign w:val="center"/>
          </w:tcPr>
          <w:p>
            <w:pPr>
              <w:jc w:val="center"/>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4</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5"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center"/>
          </w:tcPr>
          <w:p>
            <w:pPr>
              <w:jc w:val="left"/>
              <w:rPr>
                <w:rFonts w:ascii="Times New Roman" w:hAnsi="Times New Roman" w:eastAsia="仿宋_GB2312" w:cs="仿宋_GB2312"/>
              </w:rPr>
            </w:pPr>
            <w:r>
              <w:rPr>
                <w:rFonts w:hint="eastAsia" w:ascii="Times New Roman" w:hAnsi="Times New Roman" w:eastAsia="仿宋_GB2312" w:cs="仿宋_GB2312"/>
              </w:rPr>
              <w:t>2.</w:t>
            </w:r>
            <w:r>
              <w:rPr>
                <w:rFonts w:hint="eastAsia" w:ascii="Times New Roman" w:hAnsi="仿宋_GB2312" w:eastAsia="仿宋_GB2312" w:cs="仿宋_GB2312"/>
              </w:rPr>
              <w:t>申请人逾期未按收费通知要求缴纳费用、行政机关不再处理其政府信息公开申请</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54" w:type="dxa"/>
            <w:vMerge w:val="continue"/>
            <w:noWrap/>
            <w:vAlign w:val="center"/>
          </w:tcPr>
          <w:p>
            <w:pPr>
              <w:jc w:val="center"/>
              <w:rPr>
                <w:rFonts w:ascii="Times New Roman" w:hAnsi="Times New Roman" w:eastAsia="仿宋_GB2312" w:cs="仿宋_GB2312"/>
              </w:rPr>
            </w:pPr>
          </w:p>
        </w:tc>
        <w:tc>
          <w:tcPr>
            <w:tcW w:w="921" w:type="dxa"/>
            <w:vMerge w:val="continue"/>
            <w:noWrap/>
            <w:vAlign w:val="center"/>
          </w:tcPr>
          <w:p>
            <w:pPr>
              <w:jc w:val="center"/>
              <w:rPr>
                <w:rFonts w:ascii="Times New Roman" w:hAnsi="Times New Roman" w:eastAsia="仿宋_GB2312" w:cs="仿宋_GB2312"/>
              </w:rPr>
            </w:pPr>
          </w:p>
        </w:tc>
        <w:tc>
          <w:tcPr>
            <w:tcW w:w="3271" w:type="dxa"/>
            <w:noWrap/>
            <w:vAlign w:val="center"/>
          </w:tcPr>
          <w:p>
            <w:pPr>
              <w:jc w:val="left"/>
              <w:rPr>
                <w:rFonts w:ascii="Times New Roman" w:hAnsi="Times New Roman" w:eastAsia="仿宋_GB2312" w:cs="仿宋_GB2312"/>
              </w:rPr>
            </w:pPr>
            <w:r>
              <w:rPr>
                <w:rFonts w:hint="eastAsia" w:ascii="Times New Roman" w:hAnsi="Times New Roman" w:eastAsia="仿宋_GB2312" w:cs="仿宋_GB2312"/>
              </w:rPr>
              <w:t>3.</w:t>
            </w:r>
            <w:r>
              <w:rPr>
                <w:rFonts w:hint="eastAsia" w:ascii="Times New Roman" w:hAnsi="仿宋_GB2312" w:eastAsia="仿宋_GB2312" w:cs="仿宋_GB2312"/>
              </w:rPr>
              <w:t>其他</w:t>
            </w:r>
          </w:p>
        </w:tc>
        <w:tc>
          <w:tcPr>
            <w:tcW w:w="685" w:type="dxa"/>
            <w:noWrap/>
            <w:vAlign w:val="center"/>
          </w:tcPr>
          <w:p>
            <w:pPr>
              <w:jc w:val="center"/>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39</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1</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754" w:type="dxa"/>
            <w:vMerge w:val="continue"/>
            <w:noWrap/>
            <w:vAlign w:val="center"/>
          </w:tcPr>
          <w:p>
            <w:pPr>
              <w:jc w:val="left"/>
              <w:rPr>
                <w:rFonts w:ascii="Times New Roman" w:hAnsi="Times New Roman" w:eastAsia="仿宋_GB2312" w:cs="仿宋_GB2312"/>
              </w:rPr>
            </w:pPr>
          </w:p>
        </w:tc>
        <w:tc>
          <w:tcPr>
            <w:tcW w:w="4192" w:type="dxa"/>
            <w:gridSpan w:val="2"/>
            <w:noWrap/>
            <w:vAlign w:val="center"/>
          </w:tcPr>
          <w:p>
            <w:pPr>
              <w:jc w:val="left"/>
              <w:rPr>
                <w:rFonts w:ascii="Times New Roman" w:hAnsi="Times New Roman" w:eastAsia="仿宋_GB2312" w:cs="仿宋_GB2312"/>
              </w:rPr>
            </w:pPr>
            <w:r>
              <w:rPr>
                <w:rFonts w:hint="eastAsia" w:ascii="Times New Roman" w:hAnsi="仿宋_GB2312" w:eastAsia="仿宋_GB2312" w:cs="仿宋_GB2312"/>
              </w:rPr>
              <w:t>（七）总计</w:t>
            </w:r>
          </w:p>
        </w:tc>
        <w:tc>
          <w:tcPr>
            <w:tcW w:w="685" w:type="dxa"/>
            <w:noWrap/>
            <w:vAlign w:val="center"/>
          </w:tcPr>
          <w:p>
            <w:pPr>
              <w:jc w:val="center"/>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169</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5</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1</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4946" w:type="dxa"/>
            <w:gridSpan w:val="3"/>
            <w:noWrap/>
            <w:vAlign w:val="center"/>
          </w:tcPr>
          <w:p>
            <w:pPr>
              <w:jc w:val="left"/>
              <w:rPr>
                <w:rFonts w:ascii="Times New Roman" w:hAnsi="Times New Roman" w:eastAsia="仿宋_GB2312" w:cs="仿宋_GB2312"/>
              </w:rPr>
            </w:pPr>
            <w:r>
              <w:rPr>
                <w:rFonts w:hint="eastAsia" w:ascii="Times New Roman" w:hAnsi="仿宋_GB2312" w:eastAsia="仿宋_GB2312" w:cs="仿宋_GB2312"/>
              </w:rPr>
              <w:t>四、结转下年度继续办理</w:t>
            </w:r>
          </w:p>
        </w:tc>
        <w:tc>
          <w:tcPr>
            <w:tcW w:w="685" w:type="dxa"/>
            <w:noWrap/>
            <w:vAlign w:val="center"/>
          </w:tcPr>
          <w:p>
            <w:pPr>
              <w:jc w:val="center"/>
              <w:rPr>
                <w:rFonts w:hint="default" w:ascii="Times New Roman" w:hAnsi="Times New Roman" w:eastAsia="仿宋_GB2312" w:cs="仿宋_GB2312"/>
                <w:lang w:val="en-US" w:eastAsia="zh-CN"/>
              </w:rPr>
            </w:pPr>
            <w:r>
              <w:rPr>
                <w:rFonts w:hint="eastAsia" w:ascii="Times New Roman" w:hAnsi="Times New Roman" w:eastAsia="仿宋_GB2312" w:cs="仿宋_GB2312"/>
                <w:lang w:val="en-US" w:eastAsia="zh-CN"/>
              </w:rPr>
              <w:t>4</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0</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1</w:t>
            </w:r>
          </w:p>
        </w:tc>
        <w:tc>
          <w:tcPr>
            <w:tcW w:w="685" w:type="dxa"/>
            <w:noWrap/>
            <w:vAlign w:val="center"/>
          </w:tcPr>
          <w:p>
            <w:pPr>
              <w:jc w:val="center"/>
              <w:rPr>
                <w:rFonts w:hint="eastAsia" w:ascii="Times New Roman" w:hAnsi="Times New Roman" w:eastAsia="仿宋_GB2312" w:cs="仿宋_GB2312"/>
                <w:lang w:val="en-US" w:eastAsia="zh-CN"/>
              </w:rPr>
            </w:pPr>
            <w:r>
              <w:rPr>
                <w:rFonts w:hint="eastAsia" w:ascii="Times New Roman" w:hAnsi="Times New Roman" w:eastAsia="仿宋_GB2312" w:cs="仿宋_GB2312"/>
                <w:lang w:val="en-US" w:eastAsia="zh-CN"/>
              </w:rPr>
              <w:t>5</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rPr>
      </w:pPr>
    </w:p>
    <w:p>
      <w:pPr>
        <w:spacing w:line="560" w:lineRule="exact"/>
        <w:ind w:firstLine="640" w:firstLineChars="200"/>
        <w:rPr>
          <w:rFonts w:hint="eastAsia" w:ascii="Times New Roman" w:hAnsi="Times New Roman" w:eastAsia="黑体"/>
          <w:b w:val="0"/>
          <w:bCs/>
          <w:sz w:val="32"/>
          <w:szCs w:val="32"/>
        </w:rPr>
      </w:pPr>
      <w:r>
        <w:rPr>
          <w:rFonts w:hint="eastAsia" w:ascii="Times New Roman" w:hAnsi="Times New Roman" w:eastAsia="黑体"/>
          <w:b w:val="0"/>
          <w:bCs/>
          <w:sz w:val="32"/>
          <w:szCs w:val="32"/>
        </w:rPr>
        <w:t>四、政府信息公开行政复议、行政诉讼情况</w:t>
      </w:r>
    </w:p>
    <w:tbl>
      <w:tblPr>
        <w:tblStyle w:val="5"/>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0" w:type="dxa"/>
            <w:gridSpan w:val="5"/>
            <w:noWrap/>
            <w:vAlign w:val="center"/>
          </w:tcPr>
          <w:p>
            <w:pPr>
              <w:spacing w:line="50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行政复议</w:t>
            </w:r>
          </w:p>
        </w:tc>
        <w:tc>
          <w:tcPr>
            <w:tcW w:w="6498" w:type="dxa"/>
            <w:gridSpan w:val="10"/>
            <w:noWrap/>
            <w:vAlign w:val="center"/>
          </w:tcPr>
          <w:p>
            <w:pPr>
              <w:spacing w:line="50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restart"/>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结果</w:t>
            </w:r>
          </w:p>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维持</w:t>
            </w:r>
          </w:p>
        </w:tc>
        <w:tc>
          <w:tcPr>
            <w:tcW w:w="650" w:type="dxa"/>
            <w:vMerge w:val="restart"/>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结果</w:t>
            </w:r>
          </w:p>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纠正</w:t>
            </w:r>
          </w:p>
        </w:tc>
        <w:tc>
          <w:tcPr>
            <w:tcW w:w="650" w:type="dxa"/>
            <w:vMerge w:val="restart"/>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其他</w:t>
            </w:r>
          </w:p>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结果</w:t>
            </w:r>
          </w:p>
        </w:tc>
        <w:tc>
          <w:tcPr>
            <w:tcW w:w="650" w:type="dxa"/>
            <w:vMerge w:val="restart"/>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尚未</w:t>
            </w:r>
          </w:p>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审结</w:t>
            </w:r>
          </w:p>
        </w:tc>
        <w:tc>
          <w:tcPr>
            <w:tcW w:w="650" w:type="dxa"/>
            <w:vMerge w:val="restart"/>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总计</w:t>
            </w:r>
          </w:p>
        </w:tc>
        <w:tc>
          <w:tcPr>
            <w:tcW w:w="3248" w:type="dxa"/>
            <w:gridSpan w:val="5"/>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未经复议直接起诉</w:t>
            </w:r>
          </w:p>
        </w:tc>
        <w:tc>
          <w:tcPr>
            <w:tcW w:w="3250" w:type="dxa"/>
            <w:gridSpan w:val="5"/>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0" w:type="dxa"/>
            <w:vMerge w:val="continue"/>
            <w:noWrap/>
            <w:vAlign w:val="center"/>
          </w:tcPr>
          <w:p>
            <w:pPr>
              <w:spacing w:line="360" w:lineRule="exact"/>
              <w:jc w:val="center"/>
              <w:textAlignment w:val="center"/>
              <w:rPr>
                <w:rFonts w:ascii="Times New Roman" w:hAnsi="Times New Roman" w:eastAsia="黑体" w:cs="仿宋_GB2312"/>
                <w:kern w:val="0"/>
                <w:sz w:val="21"/>
              </w:rPr>
            </w:pPr>
          </w:p>
        </w:tc>
        <w:tc>
          <w:tcPr>
            <w:tcW w:w="650" w:type="dxa"/>
            <w:vMerge w:val="continue"/>
            <w:noWrap/>
            <w:vAlign w:val="center"/>
          </w:tcPr>
          <w:p>
            <w:pPr>
              <w:spacing w:line="360" w:lineRule="exact"/>
              <w:jc w:val="center"/>
              <w:textAlignment w:val="center"/>
              <w:rPr>
                <w:rFonts w:ascii="Times New Roman" w:hAnsi="Times New Roman" w:eastAsia="黑体" w:cs="仿宋_GB2312"/>
                <w:kern w:val="0"/>
                <w:sz w:val="21"/>
              </w:rPr>
            </w:pPr>
          </w:p>
        </w:tc>
        <w:tc>
          <w:tcPr>
            <w:tcW w:w="650" w:type="dxa"/>
            <w:vMerge w:val="continue"/>
            <w:noWrap/>
            <w:vAlign w:val="center"/>
          </w:tcPr>
          <w:p>
            <w:pPr>
              <w:spacing w:line="360" w:lineRule="exact"/>
              <w:jc w:val="center"/>
              <w:textAlignment w:val="center"/>
              <w:rPr>
                <w:rFonts w:ascii="Times New Roman" w:hAnsi="Times New Roman" w:eastAsia="黑体" w:cs="仿宋_GB2312"/>
                <w:kern w:val="0"/>
                <w:sz w:val="21"/>
              </w:rPr>
            </w:pPr>
          </w:p>
        </w:tc>
        <w:tc>
          <w:tcPr>
            <w:tcW w:w="650" w:type="dxa"/>
            <w:vMerge w:val="continue"/>
            <w:noWrap/>
            <w:vAlign w:val="center"/>
          </w:tcPr>
          <w:p>
            <w:pPr>
              <w:spacing w:line="360" w:lineRule="exact"/>
              <w:jc w:val="center"/>
              <w:textAlignment w:val="center"/>
              <w:rPr>
                <w:rFonts w:ascii="Times New Roman" w:hAnsi="Times New Roman" w:eastAsia="黑体" w:cs="仿宋_GB2312"/>
                <w:kern w:val="0"/>
                <w:sz w:val="21"/>
              </w:rPr>
            </w:pPr>
          </w:p>
        </w:tc>
        <w:tc>
          <w:tcPr>
            <w:tcW w:w="650" w:type="dxa"/>
            <w:vMerge w:val="continue"/>
            <w:noWrap/>
            <w:vAlign w:val="center"/>
          </w:tcPr>
          <w:p>
            <w:pPr>
              <w:spacing w:line="360" w:lineRule="exact"/>
              <w:jc w:val="center"/>
              <w:textAlignment w:val="center"/>
              <w:rPr>
                <w:rFonts w:ascii="Times New Roman" w:hAnsi="Times New Roman" w:eastAsia="黑体" w:cs="仿宋_GB2312"/>
                <w:kern w:val="0"/>
                <w:sz w:val="21"/>
              </w:rPr>
            </w:pPr>
          </w:p>
        </w:tc>
        <w:tc>
          <w:tcPr>
            <w:tcW w:w="649" w:type="dxa"/>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结果</w:t>
            </w:r>
          </w:p>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维持</w:t>
            </w:r>
          </w:p>
        </w:tc>
        <w:tc>
          <w:tcPr>
            <w:tcW w:w="649" w:type="dxa"/>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结果</w:t>
            </w:r>
          </w:p>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纠正</w:t>
            </w:r>
          </w:p>
        </w:tc>
        <w:tc>
          <w:tcPr>
            <w:tcW w:w="650" w:type="dxa"/>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其他</w:t>
            </w:r>
          </w:p>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结果</w:t>
            </w:r>
          </w:p>
        </w:tc>
        <w:tc>
          <w:tcPr>
            <w:tcW w:w="650" w:type="dxa"/>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尚未</w:t>
            </w:r>
          </w:p>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审结</w:t>
            </w:r>
          </w:p>
        </w:tc>
        <w:tc>
          <w:tcPr>
            <w:tcW w:w="650" w:type="dxa"/>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总计</w:t>
            </w:r>
          </w:p>
        </w:tc>
        <w:tc>
          <w:tcPr>
            <w:tcW w:w="650" w:type="dxa"/>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结果</w:t>
            </w:r>
          </w:p>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维持</w:t>
            </w:r>
          </w:p>
        </w:tc>
        <w:tc>
          <w:tcPr>
            <w:tcW w:w="650" w:type="dxa"/>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结果</w:t>
            </w:r>
          </w:p>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纠正</w:t>
            </w:r>
          </w:p>
        </w:tc>
        <w:tc>
          <w:tcPr>
            <w:tcW w:w="650" w:type="dxa"/>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其他</w:t>
            </w:r>
          </w:p>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结果</w:t>
            </w:r>
          </w:p>
        </w:tc>
        <w:tc>
          <w:tcPr>
            <w:tcW w:w="650" w:type="dxa"/>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尚未</w:t>
            </w:r>
          </w:p>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审结</w:t>
            </w:r>
          </w:p>
        </w:tc>
        <w:tc>
          <w:tcPr>
            <w:tcW w:w="650" w:type="dxa"/>
            <w:noWrap/>
            <w:vAlign w:val="center"/>
          </w:tcPr>
          <w:p>
            <w:pPr>
              <w:spacing w:line="360" w:lineRule="exact"/>
              <w:jc w:val="center"/>
              <w:textAlignment w:val="center"/>
              <w:rPr>
                <w:rFonts w:ascii="Times New Roman" w:hAnsi="Times New Roman" w:eastAsia="黑体" w:cs="仿宋_GB2312"/>
                <w:kern w:val="0"/>
                <w:sz w:val="21"/>
              </w:rPr>
            </w:pPr>
            <w:r>
              <w:rPr>
                <w:rFonts w:hint="eastAsia" w:ascii="Times New Roman" w:hAnsi="仿宋_GB2312" w:eastAsia="黑体" w:cs="仿宋_GB2312"/>
                <w:kern w:val="0"/>
                <w:sz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50"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1</w:t>
            </w:r>
          </w:p>
        </w:tc>
        <w:tc>
          <w:tcPr>
            <w:tcW w:w="650"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0</w:t>
            </w:r>
          </w:p>
        </w:tc>
        <w:tc>
          <w:tcPr>
            <w:tcW w:w="650"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1</w:t>
            </w:r>
          </w:p>
        </w:tc>
        <w:tc>
          <w:tcPr>
            <w:tcW w:w="650"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0</w:t>
            </w:r>
          </w:p>
        </w:tc>
        <w:tc>
          <w:tcPr>
            <w:tcW w:w="650"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2</w:t>
            </w:r>
          </w:p>
        </w:tc>
        <w:tc>
          <w:tcPr>
            <w:tcW w:w="649"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0</w:t>
            </w:r>
          </w:p>
        </w:tc>
        <w:tc>
          <w:tcPr>
            <w:tcW w:w="649"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0</w:t>
            </w:r>
          </w:p>
        </w:tc>
        <w:tc>
          <w:tcPr>
            <w:tcW w:w="650"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0</w:t>
            </w:r>
          </w:p>
        </w:tc>
        <w:tc>
          <w:tcPr>
            <w:tcW w:w="650"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0</w:t>
            </w:r>
          </w:p>
        </w:tc>
        <w:tc>
          <w:tcPr>
            <w:tcW w:w="650"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0</w:t>
            </w:r>
          </w:p>
        </w:tc>
        <w:tc>
          <w:tcPr>
            <w:tcW w:w="650"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0</w:t>
            </w:r>
          </w:p>
        </w:tc>
        <w:tc>
          <w:tcPr>
            <w:tcW w:w="650"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0</w:t>
            </w:r>
          </w:p>
        </w:tc>
        <w:tc>
          <w:tcPr>
            <w:tcW w:w="650"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0</w:t>
            </w:r>
          </w:p>
        </w:tc>
        <w:tc>
          <w:tcPr>
            <w:tcW w:w="650"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0</w:t>
            </w:r>
          </w:p>
        </w:tc>
        <w:tc>
          <w:tcPr>
            <w:tcW w:w="650" w:type="dxa"/>
            <w:noWrap/>
            <w:vAlign w:val="center"/>
          </w:tcPr>
          <w:p>
            <w:pPr>
              <w:spacing w:line="500" w:lineRule="exact"/>
              <w:jc w:val="center"/>
              <w:textAlignment w:val="center"/>
              <w:rPr>
                <w:rFonts w:hint="eastAsia" w:ascii="Times New Roman" w:hAnsi="Times New Roman" w:eastAsia="仿宋_GB2312" w:cs="仿宋_GB2312"/>
                <w:kern w:val="0"/>
                <w:lang w:val="en-US" w:eastAsia="zh-CN"/>
              </w:rPr>
            </w:pPr>
            <w:r>
              <w:rPr>
                <w:rFonts w:hint="eastAsia" w:ascii="Times New Roman" w:hAnsi="Times New Roman" w:eastAsia="仿宋_GB2312" w:cs="仿宋_GB2312"/>
                <w:kern w:val="0"/>
                <w:lang w:val="en-US" w:eastAsia="zh-CN"/>
              </w:rPr>
              <w:t>0</w:t>
            </w:r>
          </w:p>
        </w:tc>
      </w:tr>
    </w:tbl>
    <w:p>
      <w:pPr>
        <w:spacing w:line="560" w:lineRule="exact"/>
        <w:ind w:firstLine="640" w:firstLineChars="200"/>
        <w:rPr>
          <w:rFonts w:hint="eastAsia" w:ascii="Times New Roman" w:hAnsi="Times New Roman" w:eastAsia="黑体"/>
          <w:b w:val="0"/>
          <w:bCs/>
          <w:sz w:val="32"/>
          <w:szCs w:val="32"/>
        </w:rPr>
      </w:pPr>
      <w:r>
        <w:rPr>
          <w:rFonts w:hint="eastAsia" w:ascii="Times New Roman" w:hAnsi="Times New Roman" w:eastAsia="黑体"/>
          <w:b w:val="0"/>
          <w:bCs/>
          <w:sz w:val="32"/>
          <w:szCs w:val="32"/>
        </w:rPr>
        <w:t>五、存在的主要问题及改进情况</w:t>
      </w:r>
    </w:p>
    <w:p>
      <w:pPr>
        <w:spacing w:line="560" w:lineRule="exact"/>
        <w:ind w:firstLine="640" w:firstLineChars="200"/>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年，我委严格按照《中华人民共和国政府信息公开条例》各项工作要求做好政府信息公开工作，取得一定成效，但是面临新</w:t>
      </w:r>
      <w:r>
        <w:rPr>
          <w:rFonts w:hint="eastAsia" w:ascii="Times New Roman" w:hAnsi="Times New Roman" w:eastAsia="仿宋_GB2312"/>
          <w:sz w:val="32"/>
          <w:szCs w:val="32"/>
          <w:lang w:eastAsia="zh-CN"/>
        </w:rPr>
        <w:t>形势下的</w:t>
      </w:r>
      <w:r>
        <w:rPr>
          <w:rFonts w:hint="eastAsia" w:ascii="Times New Roman" w:hAnsi="Times New Roman" w:eastAsia="仿宋_GB2312"/>
          <w:sz w:val="32"/>
          <w:szCs w:val="32"/>
        </w:rPr>
        <w:t>新</w:t>
      </w:r>
      <w:r>
        <w:rPr>
          <w:rFonts w:hint="eastAsia" w:ascii="Times New Roman" w:hAnsi="Times New Roman" w:eastAsia="仿宋_GB2312"/>
          <w:sz w:val="32"/>
          <w:szCs w:val="32"/>
          <w:lang w:eastAsia="zh-CN"/>
        </w:rPr>
        <w:t>任务</w:t>
      </w:r>
      <w:r>
        <w:rPr>
          <w:rFonts w:hint="eastAsia" w:ascii="Times New Roman" w:hAnsi="Times New Roman" w:eastAsia="仿宋_GB2312"/>
          <w:sz w:val="32"/>
          <w:szCs w:val="32"/>
        </w:rPr>
        <w:t>和新</w:t>
      </w:r>
      <w:r>
        <w:rPr>
          <w:rFonts w:hint="eastAsia" w:ascii="Times New Roman" w:hAnsi="Times New Roman" w:eastAsia="仿宋_GB2312"/>
          <w:sz w:val="32"/>
          <w:szCs w:val="32"/>
          <w:lang w:eastAsia="zh-CN"/>
        </w:rPr>
        <w:t>要求，仍然存在一些不足：</w:t>
      </w:r>
      <w:r>
        <w:rPr>
          <w:rFonts w:hint="eastAsia" w:ascii="Times New Roman" w:hAnsi="Times New Roman" w:eastAsia="仿宋_GB2312"/>
          <w:sz w:val="32"/>
          <w:szCs w:val="32"/>
        </w:rPr>
        <w:t>政务公开意识有待</w:t>
      </w:r>
      <w:r>
        <w:rPr>
          <w:rFonts w:hint="eastAsia" w:ascii="Times New Roman" w:hAnsi="Times New Roman" w:eastAsia="仿宋_GB2312"/>
          <w:sz w:val="32"/>
          <w:szCs w:val="32"/>
          <w:lang w:eastAsia="zh-CN"/>
        </w:rPr>
        <w:t>进一步</w:t>
      </w:r>
      <w:r>
        <w:rPr>
          <w:rFonts w:hint="eastAsia" w:ascii="Times New Roman" w:hAnsi="Times New Roman" w:eastAsia="仿宋_GB2312"/>
          <w:sz w:val="32"/>
          <w:szCs w:val="32"/>
        </w:rPr>
        <w:t>加强</w:t>
      </w:r>
      <w:r>
        <w:rPr>
          <w:rFonts w:hint="eastAsia" w:ascii="Times New Roman" w:hAnsi="Times New Roman" w:eastAsia="仿宋_GB2312"/>
          <w:sz w:val="32"/>
          <w:szCs w:val="32"/>
          <w:lang w:eastAsia="zh-CN"/>
        </w:rPr>
        <w:t>，信息公开形式有待进一步丰富。</w:t>
      </w:r>
      <w:r>
        <w:rPr>
          <w:rFonts w:hint="eastAsia" w:ascii="Times New Roman" w:hAnsi="Times New Roman" w:eastAsia="仿宋_GB2312"/>
          <w:sz w:val="32"/>
          <w:szCs w:val="32"/>
        </w:rPr>
        <w:t>下一步，我</w:t>
      </w:r>
      <w:r>
        <w:rPr>
          <w:rFonts w:hint="eastAsia" w:ascii="Times New Roman" w:hAnsi="Times New Roman" w:eastAsia="仿宋_GB2312"/>
          <w:sz w:val="32"/>
          <w:szCs w:val="32"/>
          <w:lang w:eastAsia="zh-CN"/>
        </w:rPr>
        <w:t>委</w:t>
      </w:r>
      <w:r>
        <w:rPr>
          <w:rFonts w:hint="eastAsia" w:ascii="Times New Roman" w:hAnsi="Times New Roman" w:eastAsia="仿宋_GB2312"/>
          <w:sz w:val="32"/>
          <w:szCs w:val="32"/>
        </w:rPr>
        <w:t>将深入贯彻落实《中华人民共和国政府信息公开条例》，严格按照国家、省、市政务公开工作相关</w:t>
      </w:r>
      <w:bookmarkStart w:id="0" w:name="_GoBack"/>
      <w:bookmarkEnd w:id="0"/>
      <w:r>
        <w:rPr>
          <w:rFonts w:hint="eastAsia" w:ascii="Times New Roman" w:hAnsi="Times New Roman" w:eastAsia="仿宋_GB2312"/>
          <w:sz w:val="32"/>
          <w:szCs w:val="32"/>
        </w:rPr>
        <w:t>要求，坚持以人民为中心的服务理念，</w:t>
      </w:r>
      <w:r>
        <w:rPr>
          <w:rFonts w:hint="eastAsia" w:ascii="Times New Roman" w:hAnsi="Times New Roman" w:eastAsia="仿宋_GB2312"/>
          <w:sz w:val="32"/>
          <w:szCs w:val="32"/>
          <w:lang w:eastAsia="zh-CN"/>
        </w:rPr>
        <w:t>强化</w:t>
      </w:r>
      <w:r>
        <w:rPr>
          <w:rFonts w:hint="eastAsia" w:ascii="Times New Roman" w:hAnsi="Times New Roman" w:eastAsia="仿宋_GB2312"/>
          <w:sz w:val="32"/>
          <w:szCs w:val="32"/>
        </w:rPr>
        <w:t>政务公开意识，加强</w:t>
      </w:r>
      <w:r>
        <w:rPr>
          <w:rFonts w:hint="eastAsia" w:ascii="Times New Roman" w:hAnsi="Times New Roman" w:eastAsia="仿宋_GB2312"/>
          <w:sz w:val="32"/>
          <w:szCs w:val="32"/>
          <w:lang w:eastAsia="zh-CN"/>
        </w:rPr>
        <w:t>政务公开</w:t>
      </w:r>
      <w:r>
        <w:rPr>
          <w:rFonts w:hint="eastAsia" w:ascii="Times New Roman" w:hAnsi="Times New Roman" w:eastAsia="仿宋_GB2312"/>
          <w:sz w:val="32"/>
          <w:szCs w:val="32"/>
        </w:rPr>
        <w:t>培训学习</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提升</w:t>
      </w:r>
      <w:r>
        <w:rPr>
          <w:rFonts w:hint="eastAsia" w:ascii="Times New Roman" w:hAnsi="Times New Roman" w:eastAsia="仿宋_GB2312"/>
          <w:sz w:val="32"/>
          <w:szCs w:val="32"/>
          <w:lang w:eastAsia="zh-CN"/>
        </w:rPr>
        <w:t>政务公开</w:t>
      </w:r>
      <w:r>
        <w:rPr>
          <w:rFonts w:hint="eastAsia" w:ascii="Times New Roman" w:hAnsi="Times New Roman" w:eastAsia="仿宋_GB2312"/>
          <w:sz w:val="32"/>
          <w:szCs w:val="32"/>
        </w:rPr>
        <w:t>业务能力</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加强网站栏目建设，</w:t>
      </w:r>
      <w:r>
        <w:rPr>
          <w:rFonts w:hint="eastAsia" w:ascii="Times New Roman" w:hAnsi="Times New Roman" w:eastAsia="仿宋_GB2312"/>
          <w:sz w:val="32"/>
          <w:szCs w:val="32"/>
          <w:lang w:eastAsia="zh-CN"/>
        </w:rPr>
        <w:t>丰富信息公开形式，</w:t>
      </w:r>
      <w:r>
        <w:rPr>
          <w:rFonts w:hint="eastAsia" w:ascii="Times New Roman" w:hAnsi="Times New Roman" w:eastAsia="仿宋_GB2312"/>
          <w:sz w:val="32"/>
          <w:szCs w:val="32"/>
        </w:rPr>
        <w:t>不断</w:t>
      </w:r>
      <w:r>
        <w:rPr>
          <w:rFonts w:hint="eastAsia" w:ascii="Times New Roman" w:hAnsi="Times New Roman" w:eastAsia="仿宋_GB2312"/>
          <w:sz w:val="32"/>
          <w:szCs w:val="32"/>
          <w:lang w:eastAsia="zh-CN"/>
        </w:rPr>
        <w:t>提升</w:t>
      </w:r>
      <w:r>
        <w:rPr>
          <w:rFonts w:hint="eastAsia" w:ascii="Times New Roman" w:hAnsi="Times New Roman" w:eastAsia="仿宋_GB2312"/>
          <w:sz w:val="32"/>
          <w:szCs w:val="32"/>
        </w:rPr>
        <w:t>人民群众获取政府信息的便捷度和满意度。</w:t>
      </w:r>
    </w:p>
    <w:p>
      <w:pPr>
        <w:spacing w:line="560" w:lineRule="exact"/>
        <w:ind w:firstLine="640" w:firstLineChars="200"/>
        <w:rPr>
          <w:rFonts w:hint="eastAsia" w:ascii="Times New Roman" w:hAnsi="Times New Roman" w:eastAsia="黑体"/>
          <w:b w:val="0"/>
          <w:bCs/>
          <w:sz w:val="32"/>
          <w:szCs w:val="32"/>
        </w:rPr>
      </w:pPr>
      <w:r>
        <w:rPr>
          <w:rFonts w:hint="eastAsia" w:ascii="Times New Roman" w:hAnsi="Times New Roman" w:eastAsia="黑体"/>
          <w:b w:val="0"/>
          <w:bCs/>
          <w:sz w:val="32"/>
          <w:szCs w:val="32"/>
        </w:rPr>
        <w:t>六、其他需要报告的事项</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长沙市发展和改革委员会本年度未收取政府信息处理费。本年报中所列数据的统计期限自202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年1月1日起至202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年12月31日止。如对本年报有疑义，请与</w:t>
      </w:r>
      <w:r>
        <w:rPr>
          <w:rFonts w:hint="eastAsia" w:ascii="Times New Roman" w:hAnsi="仿宋" w:eastAsia="仿宋_GB2312"/>
          <w:sz w:val="32"/>
          <w:szCs w:val="32"/>
        </w:rPr>
        <w:t>长沙市发展和改革委员会</w:t>
      </w:r>
      <w:r>
        <w:rPr>
          <w:rFonts w:hint="eastAsia" w:ascii="Times New Roman" w:hAnsi="Times New Roman" w:eastAsia="仿宋_GB2312"/>
          <w:sz w:val="32"/>
          <w:szCs w:val="32"/>
        </w:rPr>
        <w:t>联系（联系电话：0731-8866</w:t>
      </w:r>
      <w:r>
        <w:rPr>
          <w:rFonts w:hint="eastAsia" w:ascii="Times New Roman" w:hAnsi="Times New Roman" w:eastAsia="仿宋_GB2312"/>
          <w:sz w:val="32"/>
          <w:szCs w:val="32"/>
          <w:lang w:val="en-US" w:eastAsia="zh-CN"/>
        </w:rPr>
        <w:t>6367）</w:t>
      </w:r>
      <w:r>
        <w:rPr>
          <w:rFonts w:hint="eastAsia"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jc w:val="right"/>
        <w:rPr>
          <w:rFonts w:ascii="Times New Roman" w:hAnsi="Times New Roman" w:eastAsia="仿宋_GB2312"/>
          <w:sz w:val="32"/>
          <w:szCs w:val="32"/>
        </w:rPr>
      </w:pPr>
      <w:r>
        <w:rPr>
          <w:rFonts w:hint="eastAsia" w:ascii="Times New Roman" w:hAnsi="仿宋" w:eastAsia="仿宋_GB2312"/>
          <w:sz w:val="32"/>
          <w:szCs w:val="32"/>
        </w:rPr>
        <w:t>长沙市发展和改革委员会</w:t>
      </w:r>
    </w:p>
    <w:p>
      <w:pPr>
        <w:spacing w:line="560" w:lineRule="exact"/>
        <w:ind w:firstLine="640" w:firstLineChars="200"/>
      </w:pPr>
      <w:r>
        <w:rPr>
          <w:rFonts w:hint="eastAsia" w:ascii="Times New Roman" w:hAnsi="Times New Roman" w:eastAsia="仿宋_GB2312"/>
          <w:sz w:val="32"/>
          <w:szCs w:val="32"/>
        </w:rPr>
        <w:t xml:space="preserve">                               </w:t>
      </w:r>
      <w:r>
        <w:rPr>
          <w:rFonts w:ascii="Times New Roman" w:hAnsi="Times New Roman" w:eastAsia="仿宋_GB2312"/>
          <w:sz w:val="32"/>
          <w:szCs w:val="32"/>
        </w:rPr>
        <w:t>20</w:t>
      </w:r>
      <w:r>
        <w:rPr>
          <w:rFonts w:hint="eastAsia" w:ascii="Times New Roman" w:hAnsi="Times New Roman" w:eastAsia="仿宋_GB2312"/>
          <w:sz w:val="32"/>
          <w:szCs w:val="32"/>
        </w:rPr>
        <w:t>2</w:t>
      </w:r>
      <w:r>
        <w:rPr>
          <w:rFonts w:hint="eastAsia" w:ascii="Times New Roman" w:hAnsi="Times New Roman" w:eastAsia="仿宋_GB2312"/>
          <w:sz w:val="32"/>
          <w:szCs w:val="32"/>
          <w:lang w:val="en-US" w:eastAsia="zh-CN"/>
        </w:rPr>
        <w:t>4</w:t>
      </w:r>
      <w:r>
        <w:rPr>
          <w:rFonts w:hint="eastAsia" w:ascii="Times New Roman" w:hAnsi="仿宋" w:eastAsia="仿宋_GB2312"/>
          <w:sz w:val="32"/>
          <w:szCs w:val="32"/>
        </w:rPr>
        <w:t>年</w:t>
      </w:r>
      <w:r>
        <w:rPr>
          <w:rFonts w:ascii="Times New Roman" w:hAnsi="Times New Roman" w:eastAsia="仿宋_GB2312"/>
          <w:sz w:val="32"/>
          <w:szCs w:val="32"/>
        </w:rPr>
        <w:t>1</w:t>
      </w:r>
      <w:r>
        <w:rPr>
          <w:rFonts w:hint="eastAsia" w:ascii="Times New Roman" w:hAnsi="仿宋" w:eastAsia="仿宋_GB2312"/>
          <w:sz w:val="32"/>
          <w:szCs w:val="32"/>
        </w:rPr>
        <w:t>月</w:t>
      </w:r>
      <w:r>
        <w:rPr>
          <w:rFonts w:hint="eastAsia" w:ascii="Times New Roman" w:hAnsi="Times New Roman" w:eastAsia="仿宋_GB2312"/>
          <w:sz w:val="32"/>
          <w:szCs w:val="32"/>
          <w:lang w:val="en-US" w:eastAsia="zh-CN"/>
        </w:rPr>
        <w:t>11</w:t>
      </w:r>
      <w:r>
        <w:rPr>
          <w:rFonts w:hint="eastAsia" w:ascii="Times New Roman" w:hAnsi="仿宋" w:eastAsia="仿宋_GB2312"/>
          <w:sz w:val="32"/>
          <w:szCs w:val="32"/>
        </w:rPr>
        <w:t>日</w:t>
      </w:r>
    </w:p>
    <w:sectPr>
      <w:footerReference r:id="rId3" w:type="default"/>
      <w:footerReference r:id="rId4" w:type="even"/>
      <w:pgSz w:w="11906" w:h="16838"/>
      <w:pgMar w:top="1440" w:right="1701" w:bottom="1440"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180"/>
      <w:jc w:val="right"/>
      <w:rPr>
        <w:rFonts w:ascii="Times New Roman" w:hAnsi="Times New Roman" w:cs="Times New Roman"/>
      </w:rPr>
    </w:pPr>
    <w:r>
      <w:rPr>
        <w:rStyle w:val="7"/>
        <w:rFonts w:ascii="Times New Roman" w:hAnsi="Times New Roman" w:cs="Times New Roman"/>
        <w:sz w:val="28"/>
        <w:szCs w:val="28"/>
      </w:rPr>
      <w:fldChar w:fldCharType="begin"/>
    </w:r>
    <w:r>
      <w:rPr>
        <w:rStyle w:val="7"/>
        <w:rFonts w:ascii="Times New Roman" w:hAnsi="Times New Roman" w:cs="Times New Roman"/>
        <w:sz w:val="28"/>
        <w:szCs w:val="28"/>
      </w:rPr>
      <w:instrText xml:space="preserve">PAGE  </w:instrText>
    </w:r>
    <w:r>
      <w:rPr>
        <w:rStyle w:val="7"/>
        <w:rFonts w:ascii="Times New Roman" w:hAnsi="Times New Roman" w:cs="Times New Roman"/>
        <w:sz w:val="28"/>
        <w:szCs w:val="28"/>
      </w:rPr>
      <w:fldChar w:fldCharType="separate"/>
    </w:r>
    <w:r>
      <w:rPr>
        <w:rStyle w:val="7"/>
        <w:rFonts w:ascii="Times New Roman" w:hAnsi="Times New Roman" w:cs="Times New Roman"/>
        <w:sz w:val="28"/>
        <w:szCs w:val="28"/>
      </w:rPr>
      <w:t>- 3 -</w:t>
    </w:r>
    <w:r>
      <w:rPr>
        <w:rStyle w:val="7"/>
        <w:rFonts w:ascii="Times New Roman" w:hAnsi="Times New Roman" w:cs="Times New Roman"/>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imes New Roman" w:hAnsi="Times New Roman" w:cs="Times New Roman"/>
      </w:rPr>
    </w:pPr>
    <w:r>
      <w:rPr>
        <w:rStyle w:val="7"/>
        <w:rFonts w:ascii="Times New Roman" w:hAnsi="Times New Roman" w:cs="Times New Roman"/>
        <w:sz w:val="28"/>
        <w:szCs w:val="28"/>
      </w:rPr>
      <w:fldChar w:fldCharType="begin"/>
    </w:r>
    <w:r>
      <w:rPr>
        <w:rStyle w:val="7"/>
        <w:rFonts w:ascii="Times New Roman" w:hAnsi="Times New Roman" w:cs="Times New Roman"/>
        <w:sz w:val="28"/>
        <w:szCs w:val="28"/>
      </w:rPr>
      <w:instrText xml:space="preserve">PAGE  </w:instrText>
    </w:r>
    <w:r>
      <w:rPr>
        <w:rStyle w:val="7"/>
        <w:rFonts w:ascii="Times New Roman" w:hAnsi="Times New Roman" w:cs="Times New Roman"/>
        <w:sz w:val="28"/>
        <w:szCs w:val="28"/>
      </w:rPr>
      <w:fldChar w:fldCharType="separate"/>
    </w:r>
    <w:r>
      <w:rPr>
        <w:rStyle w:val="7"/>
        <w:rFonts w:ascii="Times New Roman" w:hAnsi="Times New Roman" w:cs="Times New Roman"/>
        <w:sz w:val="28"/>
        <w:szCs w:val="28"/>
      </w:rPr>
      <w:t>- 4 -</w:t>
    </w:r>
    <w:r>
      <w:rPr>
        <w:rStyle w:val="7"/>
        <w:rFonts w:ascii="Times New Roman" w:hAnsi="Times New Roman" w:cs="Times New Roman"/>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evenAndOddHeaders w:val="true"/>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427CE0"/>
    <w:rsid w:val="0000488F"/>
    <w:rsid w:val="00004C2A"/>
    <w:rsid w:val="00005065"/>
    <w:rsid w:val="000078B2"/>
    <w:rsid w:val="00015847"/>
    <w:rsid w:val="00022693"/>
    <w:rsid w:val="00045F76"/>
    <w:rsid w:val="000507B0"/>
    <w:rsid w:val="00053AEB"/>
    <w:rsid w:val="0005473C"/>
    <w:rsid w:val="00055E08"/>
    <w:rsid w:val="00057DA0"/>
    <w:rsid w:val="0006084E"/>
    <w:rsid w:val="000645C9"/>
    <w:rsid w:val="00065BB7"/>
    <w:rsid w:val="00067BB4"/>
    <w:rsid w:val="00071A68"/>
    <w:rsid w:val="00074F35"/>
    <w:rsid w:val="00080035"/>
    <w:rsid w:val="0008014E"/>
    <w:rsid w:val="00087F71"/>
    <w:rsid w:val="00090330"/>
    <w:rsid w:val="00090337"/>
    <w:rsid w:val="00094482"/>
    <w:rsid w:val="0009514B"/>
    <w:rsid w:val="000A2BCF"/>
    <w:rsid w:val="000A2FA5"/>
    <w:rsid w:val="000B0753"/>
    <w:rsid w:val="000B15C6"/>
    <w:rsid w:val="000B5AFB"/>
    <w:rsid w:val="000D78E5"/>
    <w:rsid w:val="000E0D27"/>
    <w:rsid w:val="000E2930"/>
    <w:rsid w:val="000E3204"/>
    <w:rsid w:val="000E5E1E"/>
    <w:rsid w:val="000F3144"/>
    <w:rsid w:val="000F4FA9"/>
    <w:rsid w:val="0010670F"/>
    <w:rsid w:val="00107580"/>
    <w:rsid w:val="00107AC2"/>
    <w:rsid w:val="001103D4"/>
    <w:rsid w:val="001117E3"/>
    <w:rsid w:val="0012737E"/>
    <w:rsid w:val="00127B5E"/>
    <w:rsid w:val="001308D9"/>
    <w:rsid w:val="001319C4"/>
    <w:rsid w:val="00132453"/>
    <w:rsid w:val="00134A72"/>
    <w:rsid w:val="00136DEE"/>
    <w:rsid w:val="00137CF2"/>
    <w:rsid w:val="0014075A"/>
    <w:rsid w:val="001426CB"/>
    <w:rsid w:val="00143B80"/>
    <w:rsid w:val="00143E72"/>
    <w:rsid w:val="00145674"/>
    <w:rsid w:val="00147302"/>
    <w:rsid w:val="00151074"/>
    <w:rsid w:val="00151C38"/>
    <w:rsid w:val="0015532A"/>
    <w:rsid w:val="00157187"/>
    <w:rsid w:val="00164C0E"/>
    <w:rsid w:val="00183E2A"/>
    <w:rsid w:val="00184F2E"/>
    <w:rsid w:val="00191234"/>
    <w:rsid w:val="00193198"/>
    <w:rsid w:val="00193B4C"/>
    <w:rsid w:val="001A0A35"/>
    <w:rsid w:val="001A3456"/>
    <w:rsid w:val="001A579F"/>
    <w:rsid w:val="001B430F"/>
    <w:rsid w:val="001B76D0"/>
    <w:rsid w:val="001B7745"/>
    <w:rsid w:val="001B7B8D"/>
    <w:rsid w:val="001D157A"/>
    <w:rsid w:val="001D353D"/>
    <w:rsid w:val="001D70E8"/>
    <w:rsid w:val="001D7D47"/>
    <w:rsid w:val="001E47AF"/>
    <w:rsid w:val="001F69D9"/>
    <w:rsid w:val="001F772B"/>
    <w:rsid w:val="00200F35"/>
    <w:rsid w:val="00200FB4"/>
    <w:rsid w:val="00202D06"/>
    <w:rsid w:val="00203741"/>
    <w:rsid w:val="00206FFE"/>
    <w:rsid w:val="00215922"/>
    <w:rsid w:val="00215E96"/>
    <w:rsid w:val="00216A1E"/>
    <w:rsid w:val="0022002C"/>
    <w:rsid w:val="00223971"/>
    <w:rsid w:val="00224E30"/>
    <w:rsid w:val="00227D5D"/>
    <w:rsid w:val="00231F62"/>
    <w:rsid w:val="00232E4D"/>
    <w:rsid w:val="00232F74"/>
    <w:rsid w:val="00236903"/>
    <w:rsid w:val="00240D19"/>
    <w:rsid w:val="00241D46"/>
    <w:rsid w:val="00247BCE"/>
    <w:rsid w:val="002606F4"/>
    <w:rsid w:val="00260993"/>
    <w:rsid w:val="00260B43"/>
    <w:rsid w:val="00273435"/>
    <w:rsid w:val="00294448"/>
    <w:rsid w:val="002A2498"/>
    <w:rsid w:val="002A2BFC"/>
    <w:rsid w:val="002A7E35"/>
    <w:rsid w:val="002B0C7F"/>
    <w:rsid w:val="002C450D"/>
    <w:rsid w:val="002C57E2"/>
    <w:rsid w:val="002C6589"/>
    <w:rsid w:val="002C6AA8"/>
    <w:rsid w:val="002D16AB"/>
    <w:rsid w:val="002D7529"/>
    <w:rsid w:val="002E2E20"/>
    <w:rsid w:val="002F044A"/>
    <w:rsid w:val="002F08FE"/>
    <w:rsid w:val="002F1FE1"/>
    <w:rsid w:val="00300EB6"/>
    <w:rsid w:val="003106AB"/>
    <w:rsid w:val="003165FB"/>
    <w:rsid w:val="00317275"/>
    <w:rsid w:val="00317E09"/>
    <w:rsid w:val="00324A84"/>
    <w:rsid w:val="00330A4B"/>
    <w:rsid w:val="00330D15"/>
    <w:rsid w:val="00336C9C"/>
    <w:rsid w:val="00343F30"/>
    <w:rsid w:val="003545ED"/>
    <w:rsid w:val="0035479F"/>
    <w:rsid w:val="00357A67"/>
    <w:rsid w:val="0037030C"/>
    <w:rsid w:val="00374B57"/>
    <w:rsid w:val="003838A3"/>
    <w:rsid w:val="00386E10"/>
    <w:rsid w:val="003905E6"/>
    <w:rsid w:val="00390B69"/>
    <w:rsid w:val="00392C99"/>
    <w:rsid w:val="003966B7"/>
    <w:rsid w:val="003A5321"/>
    <w:rsid w:val="003A535D"/>
    <w:rsid w:val="003A55B8"/>
    <w:rsid w:val="003A594D"/>
    <w:rsid w:val="003A71E9"/>
    <w:rsid w:val="003A78DE"/>
    <w:rsid w:val="003B5F81"/>
    <w:rsid w:val="003C1B37"/>
    <w:rsid w:val="003C1C6C"/>
    <w:rsid w:val="003C2B40"/>
    <w:rsid w:val="003C31F8"/>
    <w:rsid w:val="003C3EE3"/>
    <w:rsid w:val="003D046B"/>
    <w:rsid w:val="003D0B73"/>
    <w:rsid w:val="003D661E"/>
    <w:rsid w:val="003E35DF"/>
    <w:rsid w:val="003F702D"/>
    <w:rsid w:val="0040201C"/>
    <w:rsid w:val="004043B6"/>
    <w:rsid w:val="00406C37"/>
    <w:rsid w:val="004072E5"/>
    <w:rsid w:val="00407742"/>
    <w:rsid w:val="004107C9"/>
    <w:rsid w:val="00424D19"/>
    <w:rsid w:val="004260E0"/>
    <w:rsid w:val="00427A95"/>
    <w:rsid w:val="00427CE0"/>
    <w:rsid w:val="00430283"/>
    <w:rsid w:val="004307D6"/>
    <w:rsid w:val="00436BCD"/>
    <w:rsid w:val="00440113"/>
    <w:rsid w:val="00441D2F"/>
    <w:rsid w:val="0044350F"/>
    <w:rsid w:val="00443BB0"/>
    <w:rsid w:val="00444941"/>
    <w:rsid w:val="0044579C"/>
    <w:rsid w:val="00445A68"/>
    <w:rsid w:val="0044659B"/>
    <w:rsid w:val="00446AD6"/>
    <w:rsid w:val="00450969"/>
    <w:rsid w:val="0045296C"/>
    <w:rsid w:val="00453332"/>
    <w:rsid w:val="004557B8"/>
    <w:rsid w:val="00456F68"/>
    <w:rsid w:val="00461418"/>
    <w:rsid w:val="00467749"/>
    <w:rsid w:val="004719C1"/>
    <w:rsid w:val="00472E3C"/>
    <w:rsid w:val="00475A7E"/>
    <w:rsid w:val="00480487"/>
    <w:rsid w:val="00484D9C"/>
    <w:rsid w:val="004A2C91"/>
    <w:rsid w:val="004A571F"/>
    <w:rsid w:val="004B1E69"/>
    <w:rsid w:val="004B7801"/>
    <w:rsid w:val="004C1DE5"/>
    <w:rsid w:val="004D76A3"/>
    <w:rsid w:val="004D7879"/>
    <w:rsid w:val="004D7E33"/>
    <w:rsid w:val="004E5FB4"/>
    <w:rsid w:val="004E7E6C"/>
    <w:rsid w:val="004F4317"/>
    <w:rsid w:val="004F6F98"/>
    <w:rsid w:val="0050060E"/>
    <w:rsid w:val="00502C5F"/>
    <w:rsid w:val="005201B2"/>
    <w:rsid w:val="00520D53"/>
    <w:rsid w:val="00523949"/>
    <w:rsid w:val="0052595D"/>
    <w:rsid w:val="00530E03"/>
    <w:rsid w:val="00536C3D"/>
    <w:rsid w:val="0054029C"/>
    <w:rsid w:val="00541B43"/>
    <w:rsid w:val="0054244F"/>
    <w:rsid w:val="00550DF2"/>
    <w:rsid w:val="0056426F"/>
    <w:rsid w:val="00565285"/>
    <w:rsid w:val="00566B24"/>
    <w:rsid w:val="00570772"/>
    <w:rsid w:val="00570D92"/>
    <w:rsid w:val="005758F4"/>
    <w:rsid w:val="005805C9"/>
    <w:rsid w:val="00583346"/>
    <w:rsid w:val="00583A10"/>
    <w:rsid w:val="0058521E"/>
    <w:rsid w:val="00590AE8"/>
    <w:rsid w:val="00591FBE"/>
    <w:rsid w:val="005A0C24"/>
    <w:rsid w:val="005A4009"/>
    <w:rsid w:val="005A4317"/>
    <w:rsid w:val="005A5E11"/>
    <w:rsid w:val="005A6313"/>
    <w:rsid w:val="005B381D"/>
    <w:rsid w:val="005C049E"/>
    <w:rsid w:val="005C79F8"/>
    <w:rsid w:val="005D2D97"/>
    <w:rsid w:val="005D30B1"/>
    <w:rsid w:val="005E1ED5"/>
    <w:rsid w:val="005E284C"/>
    <w:rsid w:val="005E3A55"/>
    <w:rsid w:val="005F2DE3"/>
    <w:rsid w:val="005F655C"/>
    <w:rsid w:val="006013F2"/>
    <w:rsid w:val="00603E69"/>
    <w:rsid w:val="006068B8"/>
    <w:rsid w:val="00611A58"/>
    <w:rsid w:val="00614AD2"/>
    <w:rsid w:val="00623B24"/>
    <w:rsid w:val="00623B80"/>
    <w:rsid w:val="00626BBC"/>
    <w:rsid w:val="00634BCF"/>
    <w:rsid w:val="0064417C"/>
    <w:rsid w:val="00645E60"/>
    <w:rsid w:val="00652763"/>
    <w:rsid w:val="006528FF"/>
    <w:rsid w:val="00654529"/>
    <w:rsid w:val="00661BC0"/>
    <w:rsid w:val="00662DC5"/>
    <w:rsid w:val="0067049F"/>
    <w:rsid w:val="00673330"/>
    <w:rsid w:val="0067779B"/>
    <w:rsid w:val="00680806"/>
    <w:rsid w:val="006814FB"/>
    <w:rsid w:val="00692137"/>
    <w:rsid w:val="006946A5"/>
    <w:rsid w:val="00694EE8"/>
    <w:rsid w:val="00694F75"/>
    <w:rsid w:val="006A00EB"/>
    <w:rsid w:val="006A0AC9"/>
    <w:rsid w:val="006A1A79"/>
    <w:rsid w:val="006A2CF7"/>
    <w:rsid w:val="006A3F96"/>
    <w:rsid w:val="006A418F"/>
    <w:rsid w:val="006A5B9C"/>
    <w:rsid w:val="006B11C8"/>
    <w:rsid w:val="006B2F56"/>
    <w:rsid w:val="006B49DD"/>
    <w:rsid w:val="006B73DE"/>
    <w:rsid w:val="006C196B"/>
    <w:rsid w:val="006C3F83"/>
    <w:rsid w:val="006C44DB"/>
    <w:rsid w:val="006C5103"/>
    <w:rsid w:val="006C7F2A"/>
    <w:rsid w:val="006D05CD"/>
    <w:rsid w:val="006D6619"/>
    <w:rsid w:val="006E0243"/>
    <w:rsid w:val="006E10BF"/>
    <w:rsid w:val="006E187C"/>
    <w:rsid w:val="006E4AEF"/>
    <w:rsid w:val="006E60EB"/>
    <w:rsid w:val="006F272B"/>
    <w:rsid w:val="007056DD"/>
    <w:rsid w:val="0070657E"/>
    <w:rsid w:val="007108FE"/>
    <w:rsid w:val="00714053"/>
    <w:rsid w:val="007179B5"/>
    <w:rsid w:val="007214A9"/>
    <w:rsid w:val="00740D78"/>
    <w:rsid w:val="0074530A"/>
    <w:rsid w:val="0074636E"/>
    <w:rsid w:val="00746841"/>
    <w:rsid w:val="007522D5"/>
    <w:rsid w:val="007577BA"/>
    <w:rsid w:val="00763B99"/>
    <w:rsid w:val="0077294E"/>
    <w:rsid w:val="007758C2"/>
    <w:rsid w:val="0078317F"/>
    <w:rsid w:val="00786D79"/>
    <w:rsid w:val="00786FA7"/>
    <w:rsid w:val="00796A90"/>
    <w:rsid w:val="007A0BF5"/>
    <w:rsid w:val="007A142B"/>
    <w:rsid w:val="007A1697"/>
    <w:rsid w:val="007A415C"/>
    <w:rsid w:val="007A493A"/>
    <w:rsid w:val="007A4DA0"/>
    <w:rsid w:val="007B1255"/>
    <w:rsid w:val="007C3AE6"/>
    <w:rsid w:val="007D17E4"/>
    <w:rsid w:val="007E29F4"/>
    <w:rsid w:val="007E4A9C"/>
    <w:rsid w:val="00801FD3"/>
    <w:rsid w:val="00805AEB"/>
    <w:rsid w:val="00807347"/>
    <w:rsid w:val="008103AA"/>
    <w:rsid w:val="00813EA2"/>
    <w:rsid w:val="00815F96"/>
    <w:rsid w:val="0081746F"/>
    <w:rsid w:val="00817B03"/>
    <w:rsid w:val="008234F7"/>
    <w:rsid w:val="008257F4"/>
    <w:rsid w:val="00825D10"/>
    <w:rsid w:val="00832F3B"/>
    <w:rsid w:val="008334D0"/>
    <w:rsid w:val="008354A5"/>
    <w:rsid w:val="00835BF9"/>
    <w:rsid w:val="00835F97"/>
    <w:rsid w:val="008422F9"/>
    <w:rsid w:val="00846F8D"/>
    <w:rsid w:val="00851427"/>
    <w:rsid w:val="00854B44"/>
    <w:rsid w:val="008617F3"/>
    <w:rsid w:val="008656D8"/>
    <w:rsid w:val="00866C4D"/>
    <w:rsid w:val="008678B3"/>
    <w:rsid w:val="00872210"/>
    <w:rsid w:val="00872EE2"/>
    <w:rsid w:val="00873FEF"/>
    <w:rsid w:val="0087401F"/>
    <w:rsid w:val="0087714B"/>
    <w:rsid w:val="0087743C"/>
    <w:rsid w:val="00881BCE"/>
    <w:rsid w:val="00881E9A"/>
    <w:rsid w:val="008847F6"/>
    <w:rsid w:val="00886DA4"/>
    <w:rsid w:val="00886E5C"/>
    <w:rsid w:val="0088791B"/>
    <w:rsid w:val="00887ACE"/>
    <w:rsid w:val="00887E53"/>
    <w:rsid w:val="008912C0"/>
    <w:rsid w:val="008919B9"/>
    <w:rsid w:val="008953DB"/>
    <w:rsid w:val="00896F15"/>
    <w:rsid w:val="008A2EAD"/>
    <w:rsid w:val="008A3231"/>
    <w:rsid w:val="008A4E80"/>
    <w:rsid w:val="008A5C83"/>
    <w:rsid w:val="008A5E6A"/>
    <w:rsid w:val="008A65D8"/>
    <w:rsid w:val="008A6A3B"/>
    <w:rsid w:val="008A7B0D"/>
    <w:rsid w:val="008A7C57"/>
    <w:rsid w:val="008B4EE1"/>
    <w:rsid w:val="008C0C42"/>
    <w:rsid w:val="008C6BB7"/>
    <w:rsid w:val="008D0034"/>
    <w:rsid w:val="008D2456"/>
    <w:rsid w:val="008D2F8D"/>
    <w:rsid w:val="008D5107"/>
    <w:rsid w:val="008D5E5C"/>
    <w:rsid w:val="008D6B23"/>
    <w:rsid w:val="008D7C59"/>
    <w:rsid w:val="008F120C"/>
    <w:rsid w:val="008F5EAB"/>
    <w:rsid w:val="00903BCD"/>
    <w:rsid w:val="0090758A"/>
    <w:rsid w:val="00910027"/>
    <w:rsid w:val="0091193A"/>
    <w:rsid w:val="009122AA"/>
    <w:rsid w:val="0091593B"/>
    <w:rsid w:val="00915AE4"/>
    <w:rsid w:val="00917122"/>
    <w:rsid w:val="00922430"/>
    <w:rsid w:val="00924B26"/>
    <w:rsid w:val="00926A5F"/>
    <w:rsid w:val="00927612"/>
    <w:rsid w:val="00931257"/>
    <w:rsid w:val="009356ED"/>
    <w:rsid w:val="009404C9"/>
    <w:rsid w:val="00947F18"/>
    <w:rsid w:val="00952179"/>
    <w:rsid w:val="00955857"/>
    <w:rsid w:val="00956A4A"/>
    <w:rsid w:val="0095748D"/>
    <w:rsid w:val="00962398"/>
    <w:rsid w:val="009623F0"/>
    <w:rsid w:val="00980EDA"/>
    <w:rsid w:val="00983E86"/>
    <w:rsid w:val="00994A60"/>
    <w:rsid w:val="00996522"/>
    <w:rsid w:val="009A1B6B"/>
    <w:rsid w:val="009A43E3"/>
    <w:rsid w:val="009A498E"/>
    <w:rsid w:val="009A54A3"/>
    <w:rsid w:val="009A62F6"/>
    <w:rsid w:val="009B3B7D"/>
    <w:rsid w:val="009B4A88"/>
    <w:rsid w:val="009C4525"/>
    <w:rsid w:val="009C7F30"/>
    <w:rsid w:val="009D4BEA"/>
    <w:rsid w:val="009E245A"/>
    <w:rsid w:val="009E3B7E"/>
    <w:rsid w:val="009E4F39"/>
    <w:rsid w:val="009E70CC"/>
    <w:rsid w:val="009E7747"/>
    <w:rsid w:val="009E79D6"/>
    <w:rsid w:val="009F6FDE"/>
    <w:rsid w:val="00A03C61"/>
    <w:rsid w:val="00A055C2"/>
    <w:rsid w:val="00A06952"/>
    <w:rsid w:val="00A10905"/>
    <w:rsid w:val="00A13041"/>
    <w:rsid w:val="00A16699"/>
    <w:rsid w:val="00A22D1A"/>
    <w:rsid w:val="00A2396F"/>
    <w:rsid w:val="00A27999"/>
    <w:rsid w:val="00A3151E"/>
    <w:rsid w:val="00A36499"/>
    <w:rsid w:val="00A37F7E"/>
    <w:rsid w:val="00A43666"/>
    <w:rsid w:val="00A46C12"/>
    <w:rsid w:val="00A54329"/>
    <w:rsid w:val="00A555FC"/>
    <w:rsid w:val="00A571AD"/>
    <w:rsid w:val="00A60A50"/>
    <w:rsid w:val="00A7094D"/>
    <w:rsid w:val="00A7384A"/>
    <w:rsid w:val="00A74731"/>
    <w:rsid w:val="00A819CB"/>
    <w:rsid w:val="00A85D8B"/>
    <w:rsid w:val="00A87296"/>
    <w:rsid w:val="00A911D1"/>
    <w:rsid w:val="00A923AA"/>
    <w:rsid w:val="00A94CD0"/>
    <w:rsid w:val="00A954DA"/>
    <w:rsid w:val="00AA473A"/>
    <w:rsid w:val="00AA797E"/>
    <w:rsid w:val="00AC5A84"/>
    <w:rsid w:val="00AC6D24"/>
    <w:rsid w:val="00AD419B"/>
    <w:rsid w:val="00AD4B3F"/>
    <w:rsid w:val="00AD72B4"/>
    <w:rsid w:val="00AE2391"/>
    <w:rsid w:val="00AE2B0B"/>
    <w:rsid w:val="00AE571A"/>
    <w:rsid w:val="00AE6B9B"/>
    <w:rsid w:val="00AE7056"/>
    <w:rsid w:val="00AF0800"/>
    <w:rsid w:val="00AF1572"/>
    <w:rsid w:val="00AF4D9C"/>
    <w:rsid w:val="00AF76E9"/>
    <w:rsid w:val="00B0058C"/>
    <w:rsid w:val="00B07E03"/>
    <w:rsid w:val="00B1056A"/>
    <w:rsid w:val="00B15812"/>
    <w:rsid w:val="00B20490"/>
    <w:rsid w:val="00B25C3C"/>
    <w:rsid w:val="00B31D68"/>
    <w:rsid w:val="00B31DB3"/>
    <w:rsid w:val="00B323EE"/>
    <w:rsid w:val="00B3511B"/>
    <w:rsid w:val="00B35F50"/>
    <w:rsid w:val="00B367DE"/>
    <w:rsid w:val="00B37B7A"/>
    <w:rsid w:val="00B37D83"/>
    <w:rsid w:val="00B43088"/>
    <w:rsid w:val="00B45705"/>
    <w:rsid w:val="00B472DF"/>
    <w:rsid w:val="00B50ECC"/>
    <w:rsid w:val="00B6007C"/>
    <w:rsid w:val="00B75960"/>
    <w:rsid w:val="00B825D9"/>
    <w:rsid w:val="00B82644"/>
    <w:rsid w:val="00B84242"/>
    <w:rsid w:val="00B85C74"/>
    <w:rsid w:val="00B862D7"/>
    <w:rsid w:val="00B92FB0"/>
    <w:rsid w:val="00B93A88"/>
    <w:rsid w:val="00BA3712"/>
    <w:rsid w:val="00BA373F"/>
    <w:rsid w:val="00BA623F"/>
    <w:rsid w:val="00BB45BC"/>
    <w:rsid w:val="00BB4FD7"/>
    <w:rsid w:val="00BB63A9"/>
    <w:rsid w:val="00BB6582"/>
    <w:rsid w:val="00BB73EA"/>
    <w:rsid w:val="00BD348D"/>
    <w:rsid w:val="00BD619D"/>
    <w:rsid w:val="00BD6822"/>
    <w:rsid w:val="00BD6E5C"/>
    <w:rsid w:val="00BE3072"/>
    <w:rsid w:val="00BF4DED"/>
    <w:rsid w:val="00C0389A"/>
    <w:rsid w:val="00C06615"/>
    <w:rsid w:val="00C079BA"/>
    <w:rsid w:val="00C10EDC"/>
    <w:rsid w:val="00C20CB6"/>
    <w:rsid w:val="00C22EA6"/>
    <w:rsid w:val="00C2784B"/>
    <w:rsid w:val="00C31BB8"/>
    <w:rsid w:val="00C357CB"/>
    <w:rsid w:val="00C35ED7"/>
    <w:rsid w:val="00C47998"/>
    <w:rsid w:val="00C50531"/>
    <w:rsid w:val="00C505CE"/>
    <w:rsid w:val="00C606C8"/>
    <w:rsid w:val="00C625AA"/>
    <w:rsid w:val="00C62833"/>
    <w:rsid w:val="00C629D2"/>
    <w:rsid w:val="00C636CB"/>
    <w:rsid w:val="00C65B9B"/>
    <w:rsid w:val="00C65FA9"/>
    <w:rsid w:val="00C668D8"/>
    <w:rsid w:val="00C747E7"/>
    <w:rsid w:val="00C768F0"/>
    <w:rsid w:val="00C77055"/>
    <w:rsid w:val="00C83BE5"/>
    <w:rsid w:val="00C86F6C"/>
    <w:rsid w:val="00C87379"/>
    <w:rsid w:val="00C96C15"/>
    <w:rsid w:val="00C9710A"/>
    <w:rsid w:val="00CA0D96"/>
    <w:rsid w:val="00CA2CD1"/>
    <w:rsid w:val="00CA36B5"/>
    <w:rsid w:val="00CA4852"/>
    <w:rsid w:val="00CA6392"/>
    <w:rsid w:val="00CA6BDB"/>
    <w:rsid w:val="00CB35A2"/>
    <w:rsid w:val="00CB4824"/>
    <w:rsid w:val="00CB568D"/>
    <w:rsid w:val="00CB7479"/>
    <w:rsid w:val="00CC138A"/>
    <w:rsid w:val="00CC3408"/>
    <w:rsid w:val="00CC4ECB"/>
    <w:rsid w:val="00CD03BC"/>
    <w:rsid w:val="00CD0490"/>
    <w:rsid w:val="00CD0725"/>
    <w:rsid w:val="00CD1497"/>
    <w:rsid w:val="00CD21FA"/>
    <w:rsid w:val="00CD701E"/>
    <w:rsid w:val="00CD7B8B"/>
    <w:rsid w:val="00CD7E48"/>
    <w:rsid w:val="00CE0456"/>
    <w:rsid w:val="00CF1BE8"/>
    <w:rsid w:val="00CF2698"/>
    <w:rsid w:val="00CF5288"/>
    <w:rsid w:val="00D04FD8"/>
    <w:rsid w:val="00D108CF"/>
    <w:rsid w:val="00D137A6"/>
    <w:rsid w:val="00D14B75"/>
    <w:rsid w:val="00D167DD"/>
    <w:rsid w:val="00D20BC6"/>
    <w:rsid w:val="00D26346"/>
    <w:rsid w:val="00D27D5F"/>
    <w:rsid w:val="00D310CB"/>
    <w:rsid w:val="00D41D0A"/>
    <w:rsid w:val="00D429F1"/>
    <w:rsid w:val="00D446F8"/>
    <w:rsid w:val="00D44FA6"/>
    <w:rsid w:val="00D46DD7"/>
    <w:rsid w:val="00D6418C"/>
    <w:rsid w:val="00D646B1"/>
    <w:rsid w:val="00D6608D"/>
    <w:rsid w:val="00D66F03"/>
    <w:rsid w:val="00D6743B"/>
    <w:rsid w:val="00D70D55"/>
    <w:rsid w:val="00D75A84"/>
    <w:rsid w:val="00D75B76"/>
    <w:rsid w:val="00D801A8"/>
    <w:rsid w:val="00D80212"/>
    <w:rsid w:val="00D8059A"/>
    <w:rsid w:val="00D925C2"/>
    <w:rsid w:val="00D9260C"/>
    <w:rsid w:val="00D938BF"/>
    <w:rsid w:val="00D951DC"/>
    <w:rsid w:val="00D96461"/>
    <w:rsid w:val="00D970D8"/>
    <w:rsid w:val="00DA0C5B"/>
    <w:rsid w:val="00DA44AA"/>
    <w:rsid w:val="00DA6711"/>
    <w:rsid w:val="00DA7BED"/>
    <w:rsid w:val="00DB2515"/>
    <w:rsid w:val="00DB5DD8"/>
    <w:rsid w:val="00DC1C60"/>
    <w:rsid w:val="00DC2054"/>
    <w:rsid w:val="00DD0E02"/>
    <w:rsid w:val="00DD3926"/>
    <w:rsid w:val="00DD3A53"/>
    <w:rsid w:val="00DE3ADD"/>
    <w:rsid w:val="00DE65CE"/>
    <w:rsid w:val="00DE6B97"/>
    <w:rsid w:val="00DF01A0"/>
    <w:rsid w:val="00DF04D7"/>
    <w:rsid w:val="00DF1E88"/>
    <w:rsid w:val="00DF379B"/>
    <w:rsid w:val="00E03746"/>
    <w:rsid w:val="00E0397D"/>
    <w:rsid w:val="00E0559F"/>
    <w:rsid w:val="00E1398B"/>
    <w:rsid w:val="00E24994"/>
    <w:rsid w:val="00E25E3A"/>
    <w:rsid w:val="00E270B6"/>
    <w:rsid w:val="00E312F7"/>
    <w:rsid w:val="00E353B3"/>
    <w:rsid w:val="00E35A62"/>
    <w:rsid w:val="00E37373"/>
    <w:rsid w:val="00E40813"/>
    <w:rsid w:val="00E4153D"/>
    <w:rsid w:val="00E41EBC"/>
    <w:rsid w:val="00E45052"/>
    <w:rsid w:val="00E465E0"/>
    <w:rsid w:val="00E51D42"/>
    <w:rsid w:val="00E54738"/>
    <w:rsid w:val="00E61273"/>
    <w:rsid w:val="00E661B7"/>
    <w:rsid w:val="00E66874"/>
    <w:rsid w:val="00E71D5A"/>
    <w:rsid w:val="00E75087"/>
    <w:rsid w:val="00E75A00"/>
    <w:rsid w:val="00E81460"/>
    <w:rsid w:val="00E91312"/>
    <w:rsid w:val="00E9240C"/>
    <w:rsid w:val="00EA0963"/>
    <w:rsid w:val="00EA20C4"/>
    <w:rsid w:val="00EA2445"/>
    <w:rsid w:val="00EA5871"/>
    <w:rsid w:val="00EA5BC0"/>
    <w:rsid w:val="00EA6122"/>
    <w:rsid w:val="00EB235E"/>
    <w:rsid w:val="00EB260E"/>
    <w:rsid w:val="00EC177D"/>
    <w:rsid w:val="00EC1919"/>
    <w:rsid w:val="00EC2B0B"/>
    <w:rsid w:val="00ED2403"/>
    <w:rsid w:val="00ED2D6D"/>
    <w:rsid w:val="00ED343F"/>
    <w:rsid w:val="00ED3F84"/>
    <w:rsid w:val="00EE20E8"/>
    <w:rsid w:val="00EE660E"/>
    <w:rsid w:val="00EF3A29"/>
    <w:rsid w:val="00EF51D5"/>
    <w:rsid w:val="00F07392"/>
    <w:rsid w:val="00F073D9"/>
    <w:rsid w:val="00F177D4"/>
    <w:rsid w:val="00F2005D"/>
    <w:rsid w:val="00F20B62"/>
    <w:rsid w:val="00F258BB"/>
    <w:rsid w:val="00F25D05"/>
    <w:rsid w:val="00F46A9E"/>
    <w:rsid w:val="00F51BEC"/>
    <w:rsid w:val="00F52661"/>
    <w:rsid w:val="00F54CA8"/>
    <w:rsid w:val="00F56EE4"/>
    <w:rsid w:val="00F6441C"/>
    <w:rsid w:val="00F6566E"/>
    <w:rsid w:val="00F72C3A"/>
    <w:rsid w:val="00F770F9"/>
    <w:rsid w:val="00F86EE9"/>
    <w:rsid w:val="00F871E0"/>
    <w:rsid w:val="00F910F1"/>
    <w:rsid w:val="00F9258D"/>
    <w:rsid w:val="00F92B6C"/>
    <w:rsid w:val="00F955C4"/>
    <w:rsid w:val="00F95DD7"/>
    <w:rsid w:val="00FA44FA"/>
    <w:rsid w:val="00FB0869"/>
    <w:rsid w:val="00FB12F1"/>
    <w:rsid w:val="00FB3CAD"/>
    <w:rsid w:val="00FB5152"/>
    <w:rsid w:val="00FB5CB4"/>
    <w:rsid w:val="00FB5E15"/>
    <w:rsid w:val="00FC5404"/>
    <w:rsid w:val="00FC5E32"/>
    <w:rsid w:val="00FD0598"/>
    <w:rsid w:val="00FE05B3"/>
    <w:rsid w:val="00FE490B"/>
    <w:rsid w:val="00FE75CF"/>
    <w:rsid w:val="00FE79BD"/>
    <w:rsid w:val="0FD72F65"/>
    <w:rsid w:val="179F0475"/>
    <w:rsid w:val="17F7ED40"/>
    <w:rsid w:val="1991EBC6"/>
    <w:rsid w:val="1A3EE8E5"/>
    <w:rsid w:val="1AFEF234"/>
    <w:rsid w:val="1DE3674D"/>
    <w:rsid w:val="1F3FF27F"/>
    <w:rsid w:val="1FBE2D59"/>
    <w:rsid w:val="1FBF4407"/>
    <w:rsid w:val="1FFE8B15"/>
    <w:rsid w:val="20BB1D34"/>
    <w:rsid w:val="20F46465"/>
    <w:rsid w:val="23CA17DB"/>
    <w:rsid w:val="25D67256"/>
    <w:rsid w:val="2ACACC95"/>
    <w:rsid w:val="2CB91271"/>
    <w:rsid w:val="2DBBC237"/>
    <w:rsid w:val="2DBDC32E"/>
    <w:rsid w:val="2DD40824"/>
    <w:rsid w:val="2EBE1511"/>
    <w:rsid w:val="35FE53C7"/>
    <w:rsid w:val="37270292"/>
    <w:rsid w:val="37D92B4E"/>
    <w:rsid w:val="39F9810C"/>
    <w:rsid w:val="3B9DDD64"/>
    <w:rsid w:val="3BFE50BC"/>
    <w:rsid w:val="3CBFD3F5"/>
    <w:rsid w:val="3D2FC9DC"/>
    <w:rsid w:val="3D7DE61A"/>
    <w:rsid w:val="3EFBD8DB"/>
    <w:rsid w:val="3EFE9896"/>
    <w:rsid w:val="3F3FC222"/>
    <w:rsid w:val="3F7B686F"/>
    <w:rsid w:val="3F7F80E2"/>
    <w:rsid w:val="3FB6D8BD"/>
    <w:rsid w:val="3FB7553F"/>
    <w:rsid w:val="3FC9ABB0"/>
    <w:rsid w:val="3FCFBA5C"/>
    <w:rsid w:val="3FDF9FB0"/>
    <w:rsid w:val="3FED6809"/>
    <w:rsid w:val="3FFF1AD0"/>
    <w:rsid w:val="3FFF3C67"/>
    <w:rsid w:val="3FFF4B6A"/>
    <w:rsid w:val="40FCE701"/>
    <w:rsid w:val="4BFF947A"/>
    <w:rsid w:val="4DDD1843"/>
    <w:rsid w:val="4DDF20A7"/>
    <w:rsid w:val="4FEEFCB7"/>
    <w:rsid w:val="4FFDB067"/>
    <w:rsid w:val="50C51976"/>
    <w:rsid w:val="57132B71"/>
    <w:rsid w:val="57B94536"/>
    <w:rsid w:val="5B4D3961"/>
    <w:rsid w:val="5BA96D03"/>
    <w:rsid w:val="5D3DC984"/>
    <w:rsid w:val="5DDF0020"/>
    <w:rsid w:val="5E590A59"/>
    <w:rsid w:val="5EA45AD3"/>
    <w:rsid w:val="5EEED275"/>
    <w:rsid w:val="5EFF2181"/>
    <w:rsid w:val="5F1A3A0B"/>
    <w:rsid w:val="5F2F3467"/>
    <w:rsid w:val="5F9BEE11"/>
    <w:rsid w:val="5FAF9554"/>
    <w:rsid w:val="5FCB9354"/>
    <w:rsid w:val="5FDB8F3B"/>
    <w:rsid w:val="5FED0778"/>
    <w:rsid w:val="5FF9092C"/>
    <w:rsid w:val="5FFD267A"/>
    <w:rsid w:val="5FFDF6B5"/>
    <w:rsid w:val="5FFE8F2B"/>
    <w:rsid w:val="5FFF69AD"/>
    <w:rsid w:val="5FFF7512"/>
    <w:rsid w:val="65EDB04B"/>
    <w:rsid w:val="67770333"/>
    <w:rsid w:val="67870E0F"/>
    <w:rsid w:val="67FB77FB"/>
    <w:rsid w:val="69BD3591"/>
    <w:rsid w:val="69F80D07"/>
    <w:rsid w:val="6A585B5C"/>
    <w:rsid w:val="6AFB7860"/>
    <w:rsid w:val="6DFB2957"/>
    <w:rsid w:val="6EFF056B"/>
    <w:rsid w:val="6EFFBF66"/>
    <w:rsid w:val="6FB627AF"/>
    <w:rsid w:val="6FDFE27D"/>
    <w:rsid w:val="6FFB5C69"/>
    <w:rsid w:val="6FFE9004"/>
    <w:rsid w:val="723F57FE"/>
    <w:rsid w:val="72E55C9C"/>
    <w:rsid w:val="72FE3FF2"/>
    <w:rsid w:val="73BD3A25"/>
    <w:rsid w:val="73FC5118"/>
    <w:rsid w:val="747FD0DC"/>
    <w:rsid w:val="759A338A"/>
    <w:rsid w:val="759B4395"/>
    <w:rsid w:val="7658C9FB"/>
    <w:rsid w:val="76F9E57E"/>
    <w:rsid w:val="7775493C"/>
    <w:rsid w:val="777FFD41"/>
    <w:rsid w:val="77A1CD9B"/>
    <w:rsid w:val="77C7FADB"/>
    <w:rsid w:val="77FF0136"/>
    <w:rsid w:val="77FFAB89"/>
    <w:rsid w:val="77FFE0F5"/>
    <w:rsid w:val="7873D23E"/>
    <w:rsid w:val="79DFC267"/>
    <w:rsid w:val="79F39418"/>
    <w:rsid w:val="7BDB086F"/>
    <w:rsid w:val="7BDF03A8"/>
    <w:rsid w:val="7BDF3310"/>
    <w:rsid w:val="7BFDB649"/>
    <w:rsid w:val="7CFA1259"/>
    <w:rsid w:val="7D7F0AAC"/>
    <w:rsid w:val="7DFF7AEE"/>
    <w:rsid w:val="7E998A2D"/>
    <w:rsid w:val="7ECBD07B"/>
    <w:rsid w:val="7ED66945"/>
    <w:rsid w:val="7EEFBA38"/>
    <w:rsid w:val="7F0FE19B"/>
    <w:rsid w:val="7F26F99F"/>
    <w:rsid w:val="7F5EEED9"/>
    <w:rsid w:val="7F7545C4"/>
    <w:rsid w:val="7F77C246"/>
    <w:rsid w:val="7F7E9A69"/>
    <w:rsid w:val="7F7FDF88"/>
    <w:rsid w:val="7F83A41C"/>
    <w:rsid w:val="7F95E095"/>
    <w:rsid w:val="7FA68D2A"/>
    <w:rsid w:val="7FBE632E"/>
    <w:rsid w:val="7FCFFF1D"/>
    <w:rsid w:val="7FDF9D20"/>
    <w:rsid w:val="7FF560DB"/>
    <w:rsid w:val="7FFE9503"/>
    <w:rsid w:val="7FFFAC8C"/>
    <w:rsid w:val="7FFFC3AF"/>
    <w:rsid w:val="7FFFDCBD"/>
    <w:rsid w:val="8F7F0F7A"/>
    <w:rsid w:val="93FFD804"/>
    <w:rsid w:val="993FCE23"/>
    <w:rsid w:val="9EEBD2ED"/>
    <w:rsid w:val="9FABFED4"/>
    <w:rsid w:val="A1BF8C5C"/>
    <w:rsid w:val="A1FE8992"/>
    <w:rsid w:val="A35ECB9B"/>
    <w:rsid w:val="AFAFD40B"/>
    <w:rsid w:val="B5FD634C"/>
    <w:rsid w:val="B5FFA57C"/>
    <w:rsid w:val="B6E7C46C"/>
    <w:rsid w:val="B75FCF86"/>
    <w:rsid w:val="B7FD2E5A"/>
    <w:rsid w:val="B9B3D013"/>
    <w:rsid w:val="BA7BA17A"/>
    <w:rsid w:val="BCDFA47C"/>
    <w:rsid w:val="BCFBCA68"/>
    <w:rsid w:val="BD7FF481"/>
    <w:rsid w:val="BDED5B7C"/>
    <w:rsid w:val="BDFC7C3D"/>
    <w:rsid w:val="BE79BEBD"/>
    <w:rsid w:val="BE8FE04C"/>
    <w:rsid w:val="BEED7D8E"/>
    <w:rsid w:val="BEFB5770"/>
    <w:rsid w:val="BF072957"/>
    <w:rsid w:val="BF7B3031"/>
    <w:rsid w:val="BFCF916E"/>
    <w:rsid w:val="BFDF3C36"/>
    <w:rsid w:val="BFDFAC57"/>
    <w:rsid w:val="C67D094A"/>
    <w:rsid w:val="C6FF51DB"/>
    <w:rsid w:val="CBDFABB1"/>
    <w:rsid w:val="CCFB6221"/>
    <w:rsid w:val="CEDA65EE"/>
    <w:rsid w:val="D5FF0AB0"/>
    <w:rsid w:val="D6CFAD13"/>
    <w:rsid w:val="D75210F5"/>
    <w:rsid w:val="D9AB1F58"/>
    <w:rsid w:val="DBDF0BBC"/>
    <w:rsid w:val="DC7F8C1D"/>
    <w:rsid w:val="DF7F5A04"/>
    <w:rsid w:val="DFCC7B8C"/>
    <w:rsid w:val="DFDD88C8"/>
    <w:rsid w:val="DFF7DA61"/>
    <w:rsid w:val="DFFBB200"/>
    <w:rsid w:val="DFFF4C6F"/>
    <w:rsid w:val="E4FB00D3"/>
    <w:rsid w:val="EB76FBCD"/>
    <w:rsid w:val="EBFDB6FD"/>
    <w:rsid w:val="ED1BD962"/>
    <w:rsid w:val="ED7FCBCA"/>
    <w:rsid w:val="EDF1EF91"/>
    <w:rsid w:val="EDF70FD7"/>
    <w:rsid w:val="EE35EBB5"/>
    <w:rsid w:val="EFA76889"/>
    <w:rsid w:val="EFBB0409"/>
    <w:rsid w:val="EFCF60EC"/>
    <w:rsid w:val="EFED2B93"/>
    <w:rsid w:val="EFF7E5BA"/>
    <w:rsid w:val="F23F3BCD"/>
    <w:rsid w:val="F53F2EF0"/>
    <w:rsid w:val="F566ABD3"/>
    <w:rsid w:val="F75FEB26"/>
    <w:rsid w:val="F77F26C4"/>
    <w:rsid w:val="F77F8DCB"/>
    <w:rsid w:val="F7EFFA88"/>
    <w:rsid w:val="F7F32D0C"/>
    <w:rsid w:val="F7FFB1D2"/>
    <w:rsid w:val="F96DC4F9"/>
    <w:rsid w:val="F9BAFC95"/>
    <w:rsid w:val="FA9FDB52"/>
    <w:rsid w:val="FABF0188"/>
    <w:rsid w:val="FAFE3E47"/>
    <w:rsid w:val="FCBDF111"/>
    <w:rsid w:val="FCED1D48"/>
    <w:rsid w:val="FCFF8815"/>
    <w:rsid w:val="FDDC027E"/>
    <w:rsid w:val="FDDE9616"/>
    <w:rsid w:val="FDF76BD9"/>
    <w:rsid w:val="FDFBE859"/>
    <w:rsid w:val="FDFD603F"/>
    <w:rsid w:val="FDFF55F0"/>
    <w:rsid w:val="FEBBFCE4"/>
    <w:rsid w:val="FEE7CAE8"/>
    <w:rsid w:val="FEF0C7F1"/>
    <w:rsid w:val="FEFE0BFF"/>
    <w:rsid w:val="FF631B61"/>
    <w:rsid w:val="FF8F05A4"/>
    <w:rsid w:val="FFAE0EFE"/>
    <w:rsid w:val="FFBF17FF"/>
    <w:rsid w:val="FFCE4DB4"/>
    <w:rsid w:val="FFDC74A5"/>
    <w:rsid w:val="FFEFE4F5"/>
    <w:rsid w:val="FFF82286"/>
    <w:rsid w:val="FFFE78CC"/>
    <w:rsid w:val="FFFF8B5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style>
  <w:style w:type="character" w:customStyle="1" w:styleId="8">
    <w:name w:val="页眉 Char"/>
    <w:basedOn w:val="6"/>
    <w:link w:val="3"/>
    <w:semiHidden/>
    <w:qFormat/>
    <w:locked/>
    <w:uiPriority w:val="99"/>
    <w:rPr>
      <w:sz w:val="18"/>
      <w:szCs w:val="18"/>
    </w:rPr>
  </w:style>
  <w:style w:type="character" w:customStyle="1" w:styleId="9">
    <w:name w:val="页脚 Char"/>
    <w:basedOn w:val="6"/>
    <w:link w:val="2"/>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WRGHO.COM</Company>
  <Pages>5</Pages>
  <Words>408</Words>
  <Characters>2326</Characters>
  <Lines>19</Lines>
  <Paragraphs>5</Paragraphs>
  <TotalTime>20</TotalTime>
  <ScaleCrop>false</ScaleCrop>
  <LinksUpToDate>false</LinksUpToDate>
  <CharactersWithSpaces>2729</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2021-01-27T17:42:00Z</dcterms:created>
  <dc:creator>汪  岑</dc:creator>
  <cp:lastModifiedBy>kylin</cp:lastModifiedBy>
  <cp:lastPrinted>2022-01-29T11:50:00Z</cp:lastPrinted>
  <dcterms:modified xsi:type="dcterms:W3CDTF">2024-01-16T10:45:37Z</dcterms:modified>
  <cp:revision>590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6CFE2B0563BE495BAEED32219A8CBF97</vt:lpwstr>
  </property>
</Properties>
</file>