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大标宋简体" w:hAnsi="宋体" w:eastAsia="方正大标宋简体" w:cs="宋体"/>
          <w:bCs/>
          <w:color w:val="FF0000"/>
          <w:spacing w:val="20"/>
          <w:w w:val="90"/>
          <w:kern w:val="0"/>
          <w:sz w:val="100"/>
          <w:szCs w:val="100"/>
        </w:rPr>
      </w:pPr>
      <w:bookmarkStart w:id="0" w:name="_GoBack"/>
      <w:bookmarkEnd w:id="0"/>
      <w:r>
        <w:pict>
          <v:shape id="_x0000_s1026" o:spid="_x0000_s1026" o:spt="202" type="#_x0000_t202" style="position:absolute;left:0pt;margin-left:0pt;margin-top:83.55pt;height:31.15pt;width:450pt;z-index:251661312;mso-width-relative:page;mso-height-relative:page;" fillcolor="#9CBEE0" filled="f" stroked="f" coordsize="21600,21600">
            <v:path/>
            <v:fill on="f" color2="#BBD5F0" focussize="0,0"/>
            <v:stroke on="f" weight="1.25pt" color="#739CC3"/>
            <v:imagedata o:title=""/>
            <o:lock v:ext="edit"/>
            <v:textbox>
              <w:txbxContent>
                <w:p>
                  <w:pPr>
                    <w:jc w:val="center"/>
                    <w:rPr>
                      <w:rFonts w:hint="eastAsia"/>
                      <w:sz w:val="28"/>
                      <w:szCs w:val="28"/>
                    </w:rPr>
                  </w:pPr>
                </w:p>
              </w:txbxContent>
            </v:textbox>
          </v:shape>
        </w:pict>
      </w:r>
      <w:r>
        <w:pict>
          <v:shape id="_x0000_s1027" o:spid="_x0000_s1027" o:spt="202" type="#_x0000_t202" style="position:absolute;left:0pt;margin-left:0pt;margin-top:-23.4pt;height:31.35pt;width:135pt;z-index:251660288;mso-width-relative:page;mso-height-relative:page;" fillcolor="#9CBEE0" filled="f" stroked="f" coordsize="21600,21600">
            <v:path/>
            <v:fill on="f" color2="#BBD5F0" focussize="0,0"/>
            <v:stroke on="f" weight="1.25pt" color="#739CC3"/>
            <v:imagedata o:title=""/>
            <o:lock v:ext="edit"/>
            <v:textbox>
              <w:txbxContent>
                <w:p>
                  <w:pPr>
                    <w:rPr>
                      <w:rFonts w:hint="eastAsia"/>
                      <w:sz w:val="28"/>
                      <w:szCs w:val="28"/>
                    </w:rPr>
                  </w:pPr>
                </w:p>
              </w:txbxContent>
            </v:textbox>
          </v:shape>
        </w:pict>
      </w:r>
      <w:r>
        <w:rPr>
          <w:rFonts w:hint="eastAsia" w:ascii="方正大标宋简体" w:hAnsi="宋体" w:eastAsia="方正大标宋简体" w:cs="宋体"/>
          <w:bCs/>
          <w:color w:val="FF0000"/>
          <w:spacing w:val="20"/>
          <w:w w:val="90"/>
          <w:kern w:val="0"/>
          <w:sz w:val="100"/>
          <w:szCs w:val="100"/>
        </w:rPr>
        <w:t>长 沙 市 教 育 局</w:t>
      </w:r>
    </w:p>
    <w:p>
      <w:pPr>
        <w:spacing w:before="312" w:beforeLines="100"/>
        <w:rPr>
          <w:rFonts w:ascii="仿宋_GB2312" w:hAnsi="宋体" w:eastAsia="仿宋_GB2312" w:cs="宋体"/>
          <w:bCs/>
          <w:kern w:val="0"/>
          <w:sz w:val="30"/>
          <w:szCs w:val="30"/>
        </w:rPr>
      </w:pPr>
      <w:r>
        <w:rPr>
          <w:rFonts w:hint="eastAsia" w:ascii="仿宋_GB2312" w:hAnsi="宋体" w:eastAsia="仿宋_GB2312" w:cs="宋体"/>
          <w:bCs/>
          <w:kern w:val="0"/>
          <w:sz w:val="30"/>
          <w:szCs w:val="30"/>
        </w:rPr>
        <w:pict>
          <v:line id="Line 2" o:spid="_x0000_s1028" o:spt="20" style="position:absolute;left:0pt;margin-left:5.8pt;margin-top:14.25pt;height:0pt;width:441pt;z-index:251659264;mso-width-relative:page;mso-height-relative:page;" filled="f" stroked="t" coordsize="21600,21600">
            <v:path arrowok="t"/>
            <v:fill on="f" focussize="0,0"/>
            <v:stroke weight="3pt" color="#FF0000"/>
            <v:imagedata o:title=""/>
            <o:lock v:ext="edit" grouping="f" rotation="f" text="f" aspectratio="f"/>
          </v:line>
        </w:pict>
      </w:r>
      <w:r>
        <w:rPr>
          <w:rFonts w:hint="eastAsia" w:ascii="仿宋_GB2312" w:hAnsi="宋体" w:eastAsia="仿宋_GB2312" w:cs="宋体"/>
          <w:bCs/>
          <w:kern w:val="0"/>
          <w:sz w:val="30"/>
          <w:szCs w:val="30"/>
        </w:rPr>
        <w:t xml:space="preserve">  </w:t>
      </w:r>
    </w:p>
    <w:p/>
    <w:p>
      <w:pPr>
        <w:autoSpaceDE/>
        <w:spacing w:line="640" w:lineRule="exact"/>
        <w:jc w:val="center"/>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长沙市教育局202</w:t>
      </w:r>
      <w:r>
        <w:rPr>
          <w:rFonts w:hint="eastAsia" w:ascii="方正小标宋简体" w:hAnsi="方正小标宋简体" w:eastAsia="方正小标宋简体" w:cs="方正小标宋简体"/>
          <w:b w:val="0"/>
          <w:bCs/>
          <w:sz w:val="44"/>
          <w:szCs w:val="44"/>
          <w:lang w:val="en-US" w:eastAsia="zh-CN"/>
        </w:rPr>
        <w:t>4</w:t>
      </w:r>
      <w:r>
        <w:rPr>
          <w:rFonts w:hint="eastAsia" w:ascii="方正小标宋简体" w:hAnsi="方正小标宋简体" w:eastAsia="方正小标宋简体" w:cs="方正小标宋简体"/>
          <w:b w:val="0"/>
          <w:bCs/>
          <w:sz w:val="44"/>
          <w:szCs w:val="44"/>
        </w:rPr>
        <w:t>年政府信息公开</w:t>
      </w:r>
    </w:p>
    <w:p>
      <w:pPr>
        <w:autoSpaceDE/>
        <w:spacing w:line="640" w:lineRule="exact"/>
        <w:jc w:val="center"/>
        <w:rPr>
          <w:rFonts w:hint="eastAsia" w:ascii="方正小标宋简体" w:hAnsi="方正小标宋简体" w:eastAsia="方正小标宋简体" w:cs="方正小标宋简体"/>
          <w:b/>
          <w:sz w:val="44"/>
          <w:szCs w:val="44"/>
        </w:rPr>
      </w:pPr>
      <w:r>
        <w:rPr>
          <w:rFonts w:hint="eastAsia" w:ascii="方正小标宋简体" w:hAnsi="方正小标宋简体" w:eastAsia="方正小标宋简体" w:cs="方正小标宋简体"/>
          <w:b w:val="0"/>
          <w:bCs/>
          <w:sz w:val="44"/>
          <w:szCs w:val="44"/>
          <w:lang w:eastAsia="zh-CN"/>
        </w:rPr>
        <w:t>工作</w:t>
      </w:r>
      <w:r>
        <w:rPr>
          <w:rFonts w:hint="eastAsia" w:ascii="方正小标宋简体" w:hAnsi="方正小标宋简体" w:eastAsia="方正小标宋简体" w:cs="方正小标宋简体"/>
          <w:b w:val="0"/>
          <w:bCs/>
          <w:sz w:val="44"/>
          <w:szCs w:val="44"/>
        </w:rPr>
        <w:t>年度报告</w:t>
      </w:r>
    </w:p>
    <w:p>
      <w:pPr>
        <w:pStyle w:val="4"/>
        <w:widowControl w:val="0"/>
        <w:spacing w:before="0" w:beforeAutospacing="0" w:after="0" w:afterAutospacing="0" w:line="580" w:lineRule="exact"/>
        <w:ind w:firstLine="643" w:firstLineChars="200"/>
        <w:jc w:val="both"/>
        <w:rPr>
          <w:rFonts w:hint="default" w:ascii="Times New Roman" w:hAnsi="Times New Roman" w:eastAsia="仿宋_GB2312" w:cs="Times New Roman"/>
          <w:b/>
          <w:sz w:val="32"/>
          <w:szCs w:val="32"/>
        </w:rPr>
      </w:pPr>
      <w:r>
        <w:rPr>
          <w:rFonts w:hint="eastAsia" w:ascii="Times New Roman" w:hAnsi="Times New Roman" w:eastAsia="仿宋_GB2312" w:cs="仿宋_GB2312"/>
          <w:b/>
          <w:sz w:val="32"/>
          <w:szCs w:val="32"/>
        </w:rPr>
        <w:t xml:space="preserve"> </w:t>
      </w:r>
    </w:p>
    <w:p>
      <w:pPr>
        <w:pStyle w:val="4"/>
        <w:widowControl w:val="0"/>
        <w:snapToGrid/>
        <w:spacing w:before="0" w:beforeAutospacing="0" w:after="0" w:afterAutospacing="0" w:line="580" w:lineRule="exact"/>
        <w:ind w:firstLine="640"/>
        <w:jc w:val="both"/>
        <w:rPr>
          <w:rFonts w:hint="default" w:ascii="Times New Roman" w:hAnsi="Times New Roman" w:eastAsia="仿宋_GB2312" w:cs="Times New Roman"/>
          <w:bCs/>
          <w:sz w:val="32"/>
          <w:szCs w:val="32"/>
        </w:rPr>
      </w:pPr>
      <w:r>
        <w:rPr>
          <w:rFonts w:hint="default" w:ascii="Times New Roman" w:hAnsi="Times New Roman" w:eastAsia="仿宋_GB2312" w:cs="Times New Roman"/>
          <w:sz w:val="32"/>
          <w:szCs w:val="32"/>
        </w:rPr>
        <w:t>本年度报告根据《中华人民共和国政府信息公开条例》</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以下简称《条例》</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和《国务院办公厅政府信息与政务公开办公室关于印发</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中华人民共和国政府信息公开工作年度报告格式</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的通知》（国办公开办函﹝2021﹞30号）的要求编制。全文包括总体情况、主动公开政府信息情况、依申请公开政府信息情况、复议诉讼情况、主要问题及改进措施、其他需要报告的事项等六个部分。</w:t>
      </w:r>
    </w:p>
    <w:p>
      <w:pPr>
        <w:pStyle w:val="4"/>
        <w:widowControl w:val="0"/>
        <w:snapToGrid/>
        <w:spacing w:before="0" w:beforeAutospacing="0" w:after="0" w:afterAutospacing="0" w:line="580" w:lineRule="exact"/>
        <w:ind w:firstLine="640"/>
        <w:jc w:val="both"/>
        <w:rPr>
          <w:rFonts w:hint="eastAsia" w:ascii="黑体" w:hAnsi="黑体" w:eastAsia="黑体" w:cs="黑体"/>
          <w:bCs/>
          <w:sz w:val="32"/>
          <w:szCs w:val="32"/>
        </w:rPr>
      </w:pPr>
      <w:r>
        <w:rPr>
          <w:rFonts w:hint="eastAsia" w:ascii="黑体" w:hAnsi="黑体" w:eastAsia="黑体" w:cs="黑体"/>
          <w:bCs/>
          <w:sz w:val="32"/>
          <w:szCs w:val="32"/>
        </w:rPr>
        <w:t>一、总体情况</w:t>
      </w:r>
    </w:p>
    <w:p>
      <w:pPr>
        <w:pStyle w:val="4"/>
        <w:widowControl w:val="0"/>
        <w:snapToGrid/>
        <w:spacing w:before="0" w:beforeAutospacing="0" w:after="0" w:afterAutospacing="0" w:line="580" w:lineRule="exact"/>
        <w:ind w:firstLine="640"/>
        <w:jc w:val="both"/>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年</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长沙市教育局坚持以习近平新时代中国特色社会主义思想为指导，深入贯彻落实教育部和市政府关于政务公开工作的部署和要求，将政府信息公开作为密切联系群众的重要桥梁，坚持</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bCs/>
          <w:color w:val="auto"/>
          <w:sz w:val="32"/>
          <w:szCs w:val="32"/>
          <w:lang w:val="en-US" w:eastAsia="zh-CN"/>
        </w:rPr>
        <w:t>以公开为常态，不公开为例外。</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，遵循合法、及时、真实、公正、便民的原则。通过政府信息公开，尤其是积极主动公开政府信息的方式，形成沟通政府与群众的桥梁，将误解与风险化解在初始阶段，不断提升本市教育系统政务公开工作水平。</w:t>
      </w:r>
    </w:p>
    <w:p>
      <w:pPr>
        <w:pStyle w:val="4"/>
        <w:widowControl w:val="0"/>
        <w:snapToGrid/>
        <w:spacing w:before="0" w:beforeAutospacing="0" w:after="0" w:afterAutospacing="0" w:line="580" w:lineRule="exact"/>
        <w:ind w:firstLine="640"/>
        <w:jc w:val="both"/>
        <w:rPr>
          <w:rFonts w:hint="default" w:ascii="Times New Roman" w:hAnsi="Times New Roman" w:eastAsia="仿宋_GB2312" w:cs="Times New Roman"/>
          <w:sz w:val="32"/>
          <w:szCs w:val="32"/>
        </w:rPr>
      </w:pPr>
      <w:r>
        <w:rPr>
          <w:rFonts w:hint="eastAsia" w:ascii="楷体_GB2312" w:hAnsi="楷体_GB2312" w:eastAsia="楷体_GB2312" w:cs="楷体_GB2312"/>
          <w:b/>
          <w:bCs/>
          <w:kern w:val="0"/>
          <w:sz w:val="32"/>
          <w:szCs w:val="32"/>
        </w:rPr>
        <w:t>（一）政府信息主动公开及时准确。</w:t>
      </w:r>
      <w:r>
        <w:rPr>
          <w:rFonts w:hint="default" w:ascii="Times New Roman" w:hAnsi="Times New Roman" w:eastAsia="仿宋_GB2312" w:cs="Times New Roman"/>
          <w:sz w:val="32"/>
          <w:szCs w:val="32"/>
          <w:lang w:val="en-US" w:eastAsia="zh-CN"/>
        </w:rPr>
        <w:t>在所有法定公开内容全部公开到位的同时，大力聚焦升学考试、综合素质评定、规范学生平安保险等方面相关政策进行宣传解读，2024年长沙市教育局网站共发布政策解读资料8篇，其中文字解读6篇、图片解读2篇。回应信息2篇，积极回应</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义务教育阶段作业管理</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食品安全宣传教育培训</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等热点问题。2024年，市教育局官网总发布信息2035条，访问量达到270万人次，成为公众获取教育信息的重要渠道。2024年，长沙教育与多家主流媒体合作，定期发布教育政策解读、教育工作动态等信息，全年在省级以上媒体发布重点稿件115条，一般稿件8646条。2024年，长沙市教育局进一步加强了政务自媒体的建设和管理，长沙教育微信公众号全年共发布信息602条，原创策划100余篇稿件，内容涵盖政策解读、工作动态、校园生活等多个方面，粉丝数达114万人，总阅读数超过2017万人次。长沙教育服务平台发布信息276条，粉丝数超过320万，总阅读数超过364.6万次。2024年，策划推出</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家长心课堂</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系列稿件，为困扰家长的育儿烦恼提出有效建议。此外，我们还通过视频号及时发布教育信息，粉丝数2.02万人，发布95条短视频，阅读数超287万次。其中，</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全员文体</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系列短视频阅读量突破50万，有效提升了教育工作的社会影响力。</w:t>
      </w:r>
    </w:p>
    <w:p>
      <w:pPr>
        <w:spacing w:line="580" w:lineRule="exact"/>
        <w:ind w:firstLine="643" w:firstLineChars="200"/>
        <w:rPr>
          <w:rFonts w:hint="default" w:ascii="Times New Roman" w:hAnsi="Times New Roman" w:eastAsia="仿宋_GB2312" w:cs="Times New Roman"/>
          <w:kern w:val="2"/>
          <w:sz w:val="32"/>
          <w:szCs w:val="32"/>
          <w:lang w:val="en-US" w:eastAsia="zh-CN" w:bidi="ar-SA"/>
        </w:rPr>
      </w:pPr>
      <w:r>
        <w:rPr>
          <w:rFonts w:hint="default" w:ascii="楷体_GB2312" w:hAnsi="楷体_GB2312" w:eastAsia="楷体_GB2312" w:cs="楷体_GB2312"/>
          <w:b/>
          <w:bCs/>
          <w:kern w:val="0"/>
          <w:sz w:val="32"/>
          <w:szCs w:val="32"/>
        </w:rPr>
        <w:t>（二）政府信息依申请公开</w:t>
      </w:r>
      <w:r>
        <w:rPr>
          <w:rFonts w:hint="default" w:ascii="楷体_GB2312" w:hAnsi="楷体_GB2312" w:eastAsia="楷体_GB2312" w:cs="楷体_GB2312"/>
          <w:b/>
          <w:bCs/>
          <w:kern w:val="0"/>
          <w:sz w:val="32"/>
          <w:szCs w:val="32"/>
          <w:lang w:eastAsia="zh-CN"/>
        </w:rPr>
        <w:t>依法</w:t>
      </w:r>
      <w:r>
        <w:rPr>
          <w:rFonts w:hint="default" w:ascii="楷体_GB2312" w:hAnsi="楷体_GB2312" w:eastAsia="楷体_GB2312" w:cs="楷体_GB2312"/>
          <w:b/>
          <w:bCs/>
          <w:kern w:val="0"/>
          <w:sz w:val="32"/>
          <w:szCs w:val="32"/>
        </w:rPr>
        <w:t>依规办理。</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年，</w:t>
      </w:r>
      <w:r>
        <w:rPr>
          <w:rFonts w:hint="default" w:ascii="Times New Roman" w:hAnsi="Times New Roman" w:eastAsia="仿宋_GB2312" w:cs="Times New Roman"/>
          <w:sz w:val="32"/>
          <w:szCs w:val="32"/>
          <w:lang w:eastAsia="zh-CN"/>
        </w:rPr>
        <w:t>长沙市教育局</w:t>
      </w:r>
      <w:r>
        <w:rPr>
          <w:rFonts w:hint="default" w:ascii="Times New Roman" w:hAnsi="Times New Roman" w:eastAsia="仿宋_GB2312" w:cs="Times New Roman"/>
          <w:sz w:val="32"/>
          <w:szCs w:val="32"/>
        </w:rPr>
        <w:t>共收到政府信息公开申请1</w:t>
      </w:r>
      <w:r>
        <w:rPr>
          <w:rFonts w:hint="default"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件，</w:t>
      </w:r>
      <w:r>
        <w:rPr>
          <w:rFonts w:hint="default" w:ascii="Times New Roman" w:hAnsi="Times New Roman" w:eastAsia="仿宋_GB2312" w:cs="Times New Roman"/>
          <w:sz w:val="32"/>
          <w:szCs w:val="32"/>
          <w:lang w:eastAsia="zh-CN"/>
        </w:rPr>
        <w:t>全部由</w:t>
      </w:r>
      <w:r>
        <w:rPr>
          <w:rFonts w:hint="default" w:ascii="Times New Roman" w:hAnsi="Times New Roman" w:eastAsia="仿宋_GB2312" w:cs="Times New Roman"/>
          <w:sz w:val="32"/>
          <w:szCs w:val="32"/>
        </w:rPr>
        <w:t>申请人通过市政府信息依申请公开网上受理平台提</w:t>
      </w:r>
      <w:r>
        <w:rPr>
          <w:rFonts w:hint="default" w:ascii="Times New Roman" w:hAnsi="Times New Roman" w:eastAsia="仿宋_GB2312" w:cs="Times New Roman"/>
          <w:sz w:val="32"/>
          <w:szCs w:val="32"/>
          <w:lang w:eastAsia="zh-CN"/>
        </w:rPr>
        <w:t>交</w:t>
      </w:r>
      <w:r>
        <w:rPr>
          <w:rFonts w:hint="default" w:ascii="Times New Roman" w:hAnsi="Times New Roman" w:eastAsia="仿宋_GB2312" w:cs="Times New Roman"/>
          <w:sz w:val="32"/>
          <w:szCs w:val="32"/>
        </w:rPr>
        <w:t>；依法依规办理申请，线下做好台账登记的同时，线上按季度在</w:t>
      </w:r>
      <w:r>
        <w:rPr>
          <w:rFonts w:hint="default" w:ascii="Times New Roman" w:hAnsi="Times New Roman" w:eastAsia="仿宋_GB2312" w:cs="Times New Roman"/>
          <w:sz w:val="32"/>
          <w:szCs w:val="32"/>
          <w:lang w:eastAsia="zh-CN"/>
        </w:rPr>
        <w:t>长沙市教育局官网</w:t>
      </w:r>
      <w:r>
        <w:rPr>
          <w:rFonts w:hint="default" w:ascii="Times New Roman" w:hAnsi="Times New Roman" w:eastAsia="仿宋_GB2312" w:cs="Times New Roman"/>
          <w:sz w:val="32"/>
          <w:szCs w:val="32"/>
        </w:rPr>
        <w:t>及时发布政府信息依申请公开数据；按时办结率100%，</w:t>
      </w:r>
      <w:r>
        <w:rPr>
          <w:rFonts w:hint="default" w:ascii="Times New Roman" w:hAnsi="Times New Roman" w:eastAsia="仿宋_GB2312" w:cs="Times New Roman"/>
          <w:sz w:val="32"/>
          <w:szCs w:val="32"/>
          <w:lang w:val="en-US" w:eastAsia="zh-CN"/>
        </w:rPr>
        <w:t>2件引发行政诉讼，均维持结果</w:t>
      </w:r>
      <w:r>
        <w:rPr>
          <w:rFonts w:hint="default" w:ascii="Times New Roman" w:hAnsi="Times New Roman" w:eastAsia="仿宋_GB2312" w:cs="Times New Roman"/>
          <w:kern w:val="2"/>
          <w:sz w:val="32"/>
          <w:szCs w:val="32"/>
          <w:lang w:val="en-US" w:eastAsia="zh-CN" w:bidi="ar-SA"/>
        </w:rPr>
        <w:t>。</w:t>
      </w:r>
    </w:p>
    <w:p>
      <w:pPr>
        <w:pStyle w:val="4"/>
        <w:widowControl w:val="0"/>
        <w:snapToGrid/>
        <w:spacing w:before="0" w:beforeAutospacing="0" w:after="0" w:afterAutospacing="0" w:line="580" w:lineRule="exact"/>
        <w:ind w:firstLine="640"/>
        <w:jc w:val="both"/>
        <w:rPr>
          <w:rFonts w:hint="default" w:ascii="Times New Roman" w:hAnsi="Times New Roman" w:eastAsia="仿宋_GB2312" w:cs="Times New Roman"/>
          <w:kern w:val="2"/>
          <w:sz w:val="32"/>
          <w:szCs w:val="32"/>
          <w:lang w:val="en-US" w:eastAsia="zh-CN" w:bidi="ar-SA"/>
        </w:rPr>
      </w:pPr>
      <w:r>
        <w:rPr>
          <w:rFonts w:hint="default" w:ascii="楷体_GB2312" w:hAnsi="楷体_GB2312" w:eastAsia="楷体_GB2312" w:cs="楷体_GB2312"/>
          <w:b/>
          <w:bCs/>
          <w:kern w:val="0"/>
          <w:sz w:val="32"/>
          <w:szCs w:val="32"/>
        </w:rPr>
        <w:t>（三）规范政府信息管理和发布。</w:t>
      </w:r>
      <w:r>
        <w:rPr>
          <w:rFonts w:hint="default" w:ascii="Times New Roman" w:hAnsi="Times New Roman" w:eastAsia="仿宋_GB2312" w:cs="Times New Roman"/>
          <w:kern w:val="0"/>
          <w:sz w:val="32"/>
          <w:szCs w:val="32"/>
        </w:rPr>
        <w:tab/>
      </w:r>
      <w:r>
        <w:rPr>
          <w:rFonts w:hint="default" w:ascii="Times New Roman" w:hAnsi="Times New Roman" w:eastAsia="仿宋_GB2312" w:cs="Times New Roman"/>
          <w:kern w:val="2"/>
          <w:sz w:val="32"/>
          <w:szCs w:val="32"/>
          <w:lang w:val="en-US" w:eastAsia="zh-CN" w:bidi="ar-SA"/>
        </w:rPr>
        <w:t>认真贯彻落实《湖南省2024年数据和政务服务管理工作要点》等文件要求，通过市人民政府门户网站的政务公开专栏，依托市级行政规范性文件数据库，集中按要求发布《关于印发2024年长沙市城区义务教育阶段初中招生实施细则的通知》（长教发〔2024〕8号）等文件，方便群众检索查阅和下载获取。</w:t>
      </w:r>
    </w:p>
    <w:p>
      <w:pPr>
        <w:pStyle w:val="4"/>
        <w:widowControl w:val="0"/>
        <w:snapToGrid/>
        <w:spacing w:before="0" w:beforeAutospacing="0" w:after="0" w:afterAutospacing="0" w:line="580" w:lineRule="exact"/>
        <w:ind w:firstLine="640"/>
        <w:jc w:val="both"/>
        <w:rPr>
          <w:rFonts w:hint="default" w:ascii="Times New Roman" w:hAnsi="Times New Roman" w:eastAsia="仿宋_GB2312" w:cs="Times New Roman"/>
          <w:color w:val="FF0000"/>
          <w:kern w:val="2"/>
          <w:sz w:val="32"/>
          <w:szCs w:val="32"/>
          <w:lang w:val="en-US" w:eastAsia="zh-CN" w:bidi="ar-SA"/>
        </w:rPr>
      </w:pPr>
      <w:r>
        <w:rPr>
          <w:rFonts w:hint="default" w:ascii="楷体_GB2312" w:hAnsi="楷体_GB2312" w:eastAsia="楷体_GB2312" w:cs="楷体_GB2312"/>
          <w:b/>
          <w:bCs/>
          <w:kern w:val="0"/>
          <w:sz w:val="32"/>
          <w:szCs w:val="32"/>
        </w:rPr>
        <w:t>（四）强化政府信息公开平台建设和运用。</w:t>
      </w:r>
      <w:r>
        <w:rPr>
          <w:rFonts w:hint="default" w:ascii="Times New Roman" w:hAnsi="Times New Roman" w:eastAsia="仿宋_GB2312" w:cs="Times New Roman"/>
          <w:kern w:val="2"/>
          <w:sz w:val="32"/>
          <w:szCs w:val="32"/>
          <w:lang w:val="en-US" w:eastAsia="zh-CN" w:bidi="ar-SA"/>
        </w:rPr>
        <w:t>进一步规范化使用市政府信息依申请公开网上受理平台，引导申请人通过该平台提交申请，线下受理和其他渠道受理的申请件，严格按照要求录入网上受理平台，不断提升政府信息公开申请办理的规范性。进一步强化长沙市教育局官网功能建设和运维保障，提质升级网站智能化水平，实现网站无障碍浏览。</w:t>
      </w:r>
    </w:p>
    <w:p>
      <w:pPr>
        <w:pStyle w:val="4"/>
        <w:widowControl w:val="0"/>
        <w:snapToGrid/>
        <w:spacing w:before="0" w:beforeAutospacing="0" w:after="0" w:afterAutospacing="0" w:line="580" w:lineRule="exact"/>
        <w:ind w:firstLine="640"/>
        <w:jc w:val="both"/>
        <w:rPr>
          <w:rFonts w:hint="eastAsia" w:ascii="Times New Roman" w:hAnsi="Times New Roman" w:eastAsia="仿宋_GB2312" w:cs="仿宋_GB2312"/>
          <w:color w:val="FF0000"/>
          <w:kern w:val="2"/>
          <w:sz w:val="32"/>
          <w:szCs w:val="32"/>
          <w:lang w:val="en-US" w:eastAsia="zh-CN" w:bidi="ar-SA"/>
        </w:rPr>
      </w:pPr>
      <w:r>
        <w:rPr>
          <w:rFonts w:hint="default" w:ascii="楷体_GB2312" w:hAnsi="楷体_GB2312" w:eastAsia="楷体_GB2312" w:cs="楷体_GB2312"/>
          <w:b/>
          <w:bCs/>
          <w:kern w:val="0"/>
          <w:sz w:val="32"/>
          <w:szCs w:val="32"/>
        </w:rPr>
        <w:t>（五）增加政府信息公开监督保障强度。</w:t>
      </w:r>
      <w:r>
        <w:rPr>
          <w:rFonts w:hint="default" w:ascii="Times New Roman" w:hAnsi="Times New Roman" w:eastAsia="仿宋_GB2312" w:cs="Times New Roman"/>
          <w:kern w:val="2"/>
          <w:sz w:val="32"/>
          <w:szCs w:val="32"/>
          <w:lang w:val="en-US" w:eastAsia="zh-CN" w:bidi="ar-SA"/>
        </w:rPr>
        <w:t>长沙市教育局宣传统战处负责协调机关各处室提交的主动公开政府信息在政府网站发布，负责组织开展新闻发布会、报刊、广播、电视、</w:t>
      </w:r>
      <w:r>
        <w:rPr>
          <w:rFonts w:hint="eastAsia" w:ascii="Times New Roman" w:hAnsi="Times New Roman" w:eastAsia="仿宋_GB2312" w:cs="Times New Roman"/>
          <w:kern w:val="2"/>
          <w:sz w:val="32"/>
          <w:szCs w:val="32"/>
          <w:lang w:val="en-US" w:eastAsia="zh-CN" w:bidi="ar-SA"/>
        </w:rPr>
        <w:t>“</w:t>
      </w:r>
      <w:r>
        <w:rPr>
          <w:rFonts w:hint="default" w:ascii="Times New Roman" w:hAnsi="Times New Roman" w:eastAsia="仿宋_GB2312" w:cs="Times New Roman"/>
          <w:kern w:val="2"/>
          <w:sz w:val="32"/>
          <w:szCs w:val="32"/>
          <w:lang w:val="en-US" w:eastAsia="zh-CN" w:bidi="ar-SA"/>
        </w:rPr>
        <w:t>两微一端</w:t>
      </w:r>
      <w:r>
        <w:rPr>
          <w:rFonts w:hint="eastAsia" w:ascii="Times New Roman" w:hAnsi="Times New Roman" w:eastAsia="仿宋_GB2312" w:cs="Times New Roman"/>
          <w:kern w:val="2"/>
          <w:sz w:val="32"/>
          <w:szCs w:val="32"/>
          <w:lang w:val="en-US" w:eastAsia="zh-CN" w:bidi="ar-SA"/>
        </w:rPr>
        <w:t>”</w:t>
      </w:r>
      <w:r>
        <w:rPr>
          <w:rFonts w:hint="default" w:ascii="Times New Roman" w:hAnsi="Times New Roman" w:eastAsia="仿宋_GB2312" w:cs="Times New Roman"/>
          <w:kern w:val="2"/>
          <w:sz w:val="32"/>
          <w:szCs w:val="32"/>
          <w:lang w:val="en-US" w:eastAsia="zh-CN" w:bidi="ar-SA"/>
        </w:rPr>
        <w:t>或者其他互联网政务媒体等多种途径的政府信息公开；长沙市教育局政策法规处负责对公开的政府信息进行法制审查；长沙市教育局行政审批和政务服务处负责政府信息公开牵头及政府信息依申请公开受理、答复工作，落实好政府信息公开相关规定和网站信息发布要求，充分保障人民群众的知情权、监督权和参与权。</w:t>
      </w:r>
    </w:p>
    <w:p>
      <w:pPr>
        <w:pStyle w:val="4"/>
        <w:widowControl w:val="0"/>
        <w:snapToGrid/>
        <w:spacing w:before="0" w:beforeAutospacing="0" w:after="0" w:afterAutospacing="0" w:line="578" w:lineRule="exact"/>
        <w:ind w:firstLine="640"/>
        <w:jc w:val="both"/>
        <w:rPr>
          <w:rFonts w:hint="eastAsia" w:ascii="Times New Roman" w:hAnsi="Times New Roman" w:eastAsia="黑体" w:cs="黑体"/>
          <w:bCs/>
          <w:sz w:val="32"/>
          <w:szCs w:val="32"/>
        </w:rPr>
      </w:pPr>
      <w:r>
        <w:rPr>
          <w:rFonts w:hint="eastAsia" w:ascii="Times New Roman" w:hAnsi="Times New Roman" w:eastAsia="黑体" w:cs="黑体"/>
          <w:bCs/>
          <w:sz w:val="32"/>
          <w:szCs w:val="32"/>
        </w:rPr>
        <w:t>二、主动公开政府信息情况</w:t>
      </w:r>
    </w:p>
    <w:tbl>
      <w:tblPr>
        <w:tblStyle w:val="5"/>
        <w:tblW w:w="8844" w:type="dxa"/>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2211"/>
        <w:gridCol w:w="2211"/>
        <w:gridCol w:w="2211"/>
        <w:gridCol w:w="221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510" w:hRule="atLeast"/>
          <w:jc w:val="center"/>
        </w:trPr>
        <w:tc>
          <w:tcPr>
            <w:tcW w:w="8844" w:type="dxa"/>
            <w:gridSpan w:val="4"/>
            <w:tcBorders>
              <w:tl2br w:val="nil"/>
              <w:tr2bl w:val="nil"/>
            </w:tcBorders>
            <w:shd w:val="clear" w:color="auto" w:fill="C6D9F1"/>
            <w:tcMar>
              <w:top w:w="0" w:type="dxa"/>
              <w:left w:w="57" w:type="dxa"/>
              <w:bottom w:w="0" w:type="dxa"/>
              <w:right w:w="57" w:type="dxa"/>
            </w:tcMar>
            <w:vAlign w:val="center"/>
          </w:tcPr>
          <w:p>
            <w:pPr>
              <w:widowControl w:val="0"/>
              <w:spacing w:before="100" w:beforeAutospacing="1" w:line="360" w:lineRule="exact"/>
              <w:ind w:firstLine="480" w:firstLineChars="200"/>
              <w:jc w:val="center"/>
              <w:rPr>
                <w:rFonts w:hint="eastAsia" w:ascii="Times New Roman" w:hAnsi="Times New Roman" w:eastAsia="仿宋_GB2312" w:cs="仿宋_GB2312"/>
                <w:sz w:val="24"/>
                <w:szCs w:val="24"/>
              </w:rPr>
            </w:pPr>
            <w:r>
              <w:rPr>
                <w:rFonts w:hint="eastAsia" w:ascii="Times New Roman" w:hAnsi="Times New Roman" w:eastAsia="仿宋_GB2312" w:cs="仿宋_GB2312"/>
                <w:kern w:val="0"/>
                <w:sz w:val="24"/>
                <w:szCs w:val="24"/>
              </w:rPr>
              <w:t>第二十条第（一）项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510" w:hRule="atLeast"/>
          <w:jc w:val="center"/>
        </w:trPr>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kern w:val="0"/>
                <w:sz w:val="24"/>
                <w:szCs w:val="24"/>
              </w:rPr>
              <w:t>信息内容</w:t>
            </w:r>
          </w:p>
        </w:tc>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ind w:firstLine="482" w:firstLineChars="200"/>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kern w:val="0"/>
                <w:sz w:val="24"/>
                <w:szCs w:val="24"/>
              </w:rPr>
              <w:t>本年制发件数</w:t>
            </w:r>
          </w:p>
        </w:tc>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ind w:firstLine="482" w:firstLineChars="200"/>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kern w:val="0"/>
                <w:sz w:val="24"/>
                <w:szCs w:val="24"/>
              </w:rPr>
              <w:t>本年废止件数</w:t>
            </w:r>
          </w:p>
        </w:tc>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ind w:firstLine="482" w:firstLineChars="200"/>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kern w:val="0"/>
                <w:sz w:val="24"/>
                <w:szCs w:val="24"/>
              </w:rPr>
              <w:t>现行有效件数</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510" w:hRule="atLeast"/>
          <w:jc w:val="center"/>
        </w:trPr>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kern w:val="0"/>
                <w:sz w:val="24"/>
                <w:szCs w:val="24"/>
              </w:rPr>
              <w:t>规章</w:t>
            </w:r>
          </w:p>
        </w:tc>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ind w:firstLine="480" w:firstLineChars="200"/>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ind w:firstLine="480" w:firstLineChars="200"/>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ind w:firstLine="480" w:firstLineChars="200"/>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510" w:hRule="atLeast"/>
          <w:jc w:val="center"/>
        </w:trPr>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kern w:val="0"/>
                <w:sz w:val="24"/>
                <w:szCs w:val="24"/>
              </w:rPr>
              <w:t>行政规范性文件</w:t>
            </w:r>
          </w:p>
        </w:tc>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ind w:firstLine="480" w:firstLineChars="200"/>
              <w:jc w:val="center"/>
              <w:rPr>
                <w:rFonts w:hint="default"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10</w:t>
            </w:r>
          </w:p>
        </w:tc>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ind w:firstLine="480" w:firstLineChars="200"/>
              <w:jc w:val="center"/>
              <w:rPr>
                <w:rFonts w:hint="default"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14</w:t>
            </w:r>
          </w:p>
        </w:tc>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ind w:firstLine="480" w:firstLineChars="200"/>
              <w:jc w:val="center"/>
              <w:rPr>
                <w:rFonts w:hint="default"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32</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510" w:hRule="atLeast"/>
          <w:jc w:val="center"/>
        </w:trPr>
        <w:tc>
          <w:tcPr>
            <w:tcW w:w="8844" w:type="dxa"/>
            <w:gridSpan w:val="4"/>
            <w:tcBorders>
              <w:tl2br w:val="nil"/>
              <w:tr2bl w:val="nil"/>
            </w:tcBorders>
            <w:shd w:val="clear" w:color="auto" w:fill="C6D9F1"/>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kern w:val="0"/>
                <w:sz w:val="24"/>
                <w:szCs w:val="24"/>
              </w:rPr>
              <w:t>第二十条第（五）项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510" w:hRule="atLeast"/>
          <w:jc w:val="center"/>
        </w:trPr>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kern w:val="0"/>
                <w:sz w:val="24"/>
                <w:szCs w:val="24"/>
              </w:rPr>
              <w:t>信息内容</w:t>
            </w:r>
          </w:p>
        </w:tc>
        <w:tc>
          <w:tcPr>
            <w:tcW w:w="6633" w:type="dxa"/>
            <w:gridSpan w:val="3"/>
            <w:tcBorders>
              <w:tl2br w:val="nil"/>
              <w:tr2bl w:val="nil"/>
            </w:tcBorders>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kern w:val="0"/>
                <w:sz w:val="24"/>
                <w:szCs w:val="24"/>
              </w:rPr>
              <w:t>本年处理决定数量</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510" w:hRule="atLeast"/>
          <w:jc w:val="center"/>
        </w:trPr>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kern w:val="0"/>
                <w:sz w:val="24"/>
                <w:szCs w:val="24"/>
              </w:rPr>
              <w:t>行政许可</w:t>
            </w:r>
          </w:p>
        </w:tc>
        <w:tc>
          <w:tcPr>
            <w:tcW w:w="6633" w:type="dxa"/>
            <w:gridSpan w:val="3"/>
            <w:tcBorders>
              <w:tl2br w:val="nil"/>
              <w:tr2bl w:val="nil"/>
            </w:tcBorders>
            <w:tcMar>
              <w:top w:w="0" w:type="dxa"/>
              <w:left w:w="57" w:type="dxa"/>
              <w:bottom w:w="0" w:type="dxa"/>
              <w:right w:w="57" w:type="dxa"/>
            </w:tcMar>
            <w:vAlign w:val="center"/>
          </w:tcPr>
          <w:p>
            <w:pPr>
              <w:widowControl w:val="0"/>
              <w:spacing w:before="100" w:beforeAutospacing="1" w:line="360" w:lineRule="exact"/>
              <w:jc w:val="center"/>
              <w:rPr>
                <w:rFonts w:hint="default"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12900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510" w:hRule="atLeast"/>
          <w:jc w:val="center"/>
        </w:trPr>
        <w:tc>
          <w:tcPr>
            <w:tcW w:w="8844" w:type="dxa"/>
            <w:gridSpan w:val="4"/>
            <w:tcBorders>
              <w:tl2br w:val="nil"/>
              <w:tr2bl w:val="nil"/>
            </w:tcBorders>
            <w:shd w:val="clear" w:color="auto" w:fill="C6D9F1"/>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kern w:val="0"/>
                <w:sz w:val="24"/>
                <w:szCs w:val="24"/>
              </w:rPr>
              <w:t>第二十条第（六）项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510" w:hRule="atLeast"/>
          <w:jc w:val="center"/>
        </w:trPr>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kern w:val="0"/>
                <w:sz w:val="24"/>
                <w:szCs w:val="24"/>
              </w:rPr>
              <w:t>信息内容</w:t>
            </w:r>
          </w:p>
        </w:tc>
        <w:tc>
          <w:tcPr>
            <w:tcW w:w="6633" w:type="dxa"/>
            <w:gridSpan w:val="3"/>
            <w:tcBorders>
              <w:tl2br w:val="nil"/>
              <w:tr2bl w:val="nil"/>
            </w:tcBorders>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kern w:val="0"/>
                <w:sz w:val="24"/>
                <w:szCs w:val="24"/>
              </w:rPr>
              <w:t>本年处理决定数量</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510" w:hRule="atLeast"/>
          <w:jc w:val="center"/>
        </w:trPr>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kern w:val="0"/>
                <w:sz w:val="24"/>
                <w:szCs w:val="24"/>
              </w:rPr>
              <w:t>行政处罚</w:t>
            </w:r>
          </w:p>
        </w:tc>
        <w:tc>
          <w:tcPr>
            <w:tcW w:w="6633" w:type="dxa"/>
            <w:gridSpan w:val="3"/>
            <w:tcBorders>
              <w:tl2br w:val="nil"/>
              <w:tr2bl w:val="nil"/>
            </w:tcBorders>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510" w:hRule="atLeast"/>
          <w:jc w:val="center"/>
        </w:trPr>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kern w:val="0"/>
                <w:sz w:val="24"/>
                <w:szCs w:val="24"/>
              </w:rPr>
              <w:t>行政强制</w:t>
            </w:r>
          </w:p>
        </w:tc>
        <w:tc>
          <w:tcPr>
            <w:tcW w:w="6633" w:type="dxa"/>
            <w:gridSpan w:val="3"/>
            <w:tcBorders>
              <w:tl2br w:val="nil"/>
              <w:tr2bl w:val="nil"/>
            </w:tcBorders>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510" w:hRule="atLeast"/>
          <w:jc w:val="center"/>
        </w:trPr>
        <w:tc>
          <w:tcPr>
            <w:tcW w:w="8844" w:type="dxa"/>
            <w:gridSpan w:val="4"/>
            <w:tcBorders>
              <w:tl2br w:val="nil"/>
              <w:tr2bl w:val="nil"/>
            </w:tcBorders>
            <w:shd w:val="clear" w:color="auto" w:fill="C6D9F1"/>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kern w:val="0"/>
                <w:sz w:val="24"/>
                <w:szCs w:val="24"/>
              </w:rPr>
              <w:t>第二十条第（八）项</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510" w:hRule="atLeast"/>
          <w:jc w:val="center"/>
        </w:trPr>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kern w:val="0"/>
                <w:sz w:val="24"/>
                <w:szCs w:val="24"/>
              </w:rPr>
              <w:t>信息内容</w:t>
            </w:r>
          </w:p>
        </w:tc>
        <w:tc>
          <w:tcPr>
            <w:tcW w:w="6633" w:type="dxa"/>
            <w:gridSpan w:val="3"/>
            <w:tcBorders>
              <w:tl2br w:val="nil"/>
              <w:tr2bl w:val="nil"/>
            </w:tcBorders>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kern w:val="0"/>
                <w:sz w:val="24"/>
                <w:szCs w:val="24"/>
              </w:rPr>
              <w:t>本年收费金额（单位：万元）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510" w:hRule="atLeast"/>
          <w:jc w:val="center"/>
        </w:trPr>
        <w:tc>
          <w:tcPr>
            <w:tcW w:w="2211" w:type="dxa"/>
            <w:tcBorders>
              <w:tl2br w:val="nil"/>
              <w:tr2bl w:val="nil"/>
            </w:tcBorders>
            <w:tcMar>
              <w:top w:w="0" w:type="dxa"/>
              <w:left w:w="57" w:type="dxa"/>
              <w:bottom w:w="0" w:type="dxa"/>
              <w:right w:w="57" w:type="dxa"/>
            </w:tcMar>
            <w:vAlign w:val="center"/>
          </w:tcPr>
          <w:p>
            <w:pPr>
              <w:widowControl w:val="0"/>
              <w:spacing w:before="100" w:beforeAutospacing="1" w:line="36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kern w:val="0"/>
                <w:sz w:val="24"/>
                <w:szCs w:val="24"/>
              </w:rPr>
              <w:t>行政事业性收费</w:t>
            </w:r>
          </w:p>
        </w:tc>
        <w:tc>
          <w:tcPr>
            <w:tcW w:w="6633" w:type="dxa"/>
            <w:gridSpan w:val="3"/>
            <w:tcBorders>
              <w:tl2br w:val="nil"/>
              <w:tr2bl w:val="nil"/>
            </w:tcBorders>
            <w:tcMar>
              <w:top w:w="0" w:type="dxa"/>
              <w:left w:w="57" w:type="dxa"/>
              <w:bottom w:w="0" w:type="dxa"/>
              <w:right w:w="57" w:type="dxa"/>
            </w:tcMar>
            <w:vAlign w:val="center"/>
          </w:tcPr>
          <w:p>
            <w:pPr>
              <w:spacing w:line="36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29.05</w:t>
            </w:r>
          </w:p>
        </w:tc>
      </w:tr>
    </w:tbl>
    <w:p>
      <w:pPr>
        <w:widowControl w:val="0"/>
        <w:spacing w:before="0" w:beforeAutospacing="0" w:after="0" w:afterAutospacing="0" w:line="578" w:lineRule="exact"/>
        <w:jc w:val="both"/>
        <w:rPr>
          <w:rFonts w:hint="eastAsia" w:ascii="Times New Roman" w:hAnsi="Times New Roman" w:eastAsia="黑体" w:cs="黑体"/>
          <w:bCs/>
          <w:sz w:val="32"/>
          <w:szCs w:val="32"/>
        </w:rPr>
      </w:pPr>
      <w:r>
        <w:rPr>
          <w:rFonts w:hint="eastAsia" w:ascii="Times New Roman" w:hAnsi="Times New Roman" w:eastAsia="黑体" w:cs="黑体"/>
          <w:bCs/>
          <w:sz w:val="32"/>
          <w:szCs w:val="32"/>
        </w:rPr>
        <w:br w:type="page"/>
      </w:r>
    </w:p>
    <w:p>
      <w:pPr>
        <w:pStyle w:val="4"/>
        <w:widowControl w:val="0"/>
        <w:spacing w:before="0" w:beforeAutospacing="0" w:after="0" w:afterAutospacing="0" w:line="578" w:lineRule="exact"/>
        <w:ind w:firstLine="640"/>
        <w:jc w:val="both"/>
        <w:rPr>
          <w:rFonts w:hint="eastAsia" w:ascii="Times New Roman" w:hAnsi="Times New Roman" w:eastAsia="黑体" w:cs="黑体"/>
          <w:bCs/>
          <w:sz w:val="32"/>
          <w:szCs w:val="32"/>
        </w:rPr>
      </w:pPr>
      <w:r>
        <w:rPr>
          <w:rFonts w:hint="eastAsia" w:ascii="Times New Roman" w:hAnsi="Times New Roman" w:eastAsia="黑体" w:cs="黑体"/>
          <w:bCs/>
          <w:sz w:val="32"/>
          <w:szCs w:val="32"/>
        </w:rPr>
        <w:t>三、收到和处理政府信息公开申请情况</w:t>
      </w:r>
    </w:p>
    <w:tbl>
      <w:tblPr>
        <w:tblStyle w:val="5"/>
        <w:tblW w:w="8844" w:type="dxa"/>
        <w:jc w:val="center"/>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
      <w:tblGrid>
        <w:gridCol w:w="715"/>
        <w:gridCol w:w="814"/>
        <w:gridCol w:w="3214"/>
        <w:gridCol w:w="538"/>
        <w:gridCol w:w="628"/>
        <w:gridCol w:w="715"/>
        <w:gridCol w:w="681"/>
        <w:gridCol w:w="692"/>
        <w:gridCol w:w="421"/>
        <w:gridCol w:w="426"/>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10" w:hRule="atLeast"/>
          <w:tblHeader/>
          <w:jc w:val="center"/>
        </w:trPr>
        <w:tc>
          <w:tcPr>
            <w:tcW w:w="4743" w:type="dxa"/>
            <w:gridSpan w:val="3"/>
            <w:vMerge w:val="restart"/>
            <w:tcBorders>
              <w:top w:val="single" w:color="auto" w:sz="8" w:space="0"/>
              <w:left w:val="single" w:color="auto" w:sz="8" w:space="0"/>
              <w:bottom w:val="inset" w:color="auto" w:sz="6" w:space="0"/>
              <w:right w:val="single" w:color="auto" w:sz="8" w:space="0"/>
            </w:tcBorders>
            <w:tcMar>
              <w:top w:w="0" w:type="dxa"/>
              <w:left w:w="108" w:type="dxa"/>
              <w:bottom w:w="0" w:type="dxa"/>
              <w:right w:w="108" w:type="dxa"/>
            </w:tcMar>
            <w:vAlign w:val="center"/>
          </w:tcPr>
          <w:p>
            <w:pPr>
              <w:autoSpaceDE/>
              <w:spacing w:line="32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sz w:val="24"/>
                <w:szCs w:val="24"/>
              </w:rPr>
              <w:t>（本列数据的</w:t>
            </w:r>
            <w:r>
              <w:rPr>
                <w:rFonts w:hint="eastAsia" w:ascii="Times New Roman" w:hAnsi="Times New Roman" w:eastAsia="仿宋_GB2312" w:cs="仿宋_GB2312"/>
                <w:b/>
                <w:bCs/>
                <w:sz w:val="24"/>
                <w:szCs w:val="24"/>
                <w:lang w:eastAsia="zh-CN"/>
              </w:rPr>
              <w:t>钩稽</w:t>
            </w:r>
            <w:r>
              <w:rPr>
                <w:rFonts w:hint="eastAsia" w:ascii="Times New Roman" w:hAnsi="Times New Roman" w:eastAsia="仿宋_GB2312" w:cs="仿宋_GB2312"/>
                <w:b/>
                <w:bCs/>
                <w:sz w:val="24"/>
                <w:szCs w:val="24"/>
              </w:rPr>
              <w:t>关系为：第一项加第二项之和，等于第三项加第四项之和）</w:t>
            </w:r>
          </w:p>
        </w:tc>
        <w:tc>
          <w:tcPr>
            <w:tcW w:w="4101" w:type="dxa"/>
            <w:gridSpan w:val="7"/>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sz w:val="24"/>
                <w:szCs w:val="24"/>
              </w:rPr>
              <w:t>申请人情况</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10" w:hRule="atLeast"/>
          <w:tblHeader/>
          <w:jc w:val="center"/>
        </w:trPr>
        <w:tc>
          <w:tcPr>
            <w:tcW w:w="4743" w:type="dxa"/>
            <w:gridSpan w:val="3"/>
            <w:vMerge w:val="continue"/>
            <w:tcBorders>
              <w:top w:val="single" w:color="auto" w:sz="8" w:space="0"/>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b/>
                <w:bCs/>
                <w:sz w:val="24"/>
                <w:szCs w:val="24"/>
              </w:rPr>
            </w:pPr>
          </w:p>
        </w:tc>
        <w:tc>
          <w:tcPr>
            <w:tcW w:w="538" w:type="dxa"/>
            <w:vMerge w:val="restart"/>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sz w:val="24"/>
                <w:szCs w:val="24"/>
              </w:rPr>
              <w:t>自然人</w:t>
            </w:r>
          </w:p>
        </w:tc>
        <w:tc>
          <w:tcPr>
            <w:tcW w:w="3137" w:type="dxa"/>
            <w:gridSpan w:val="5"/>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sz w:val="24"/>
                <w:szCs w:val="24"/>
              </w:rPr>
              <w:t>法人或其他组织</w:t>
            </w:r>
          </w:p>
        </w:tc>
        <w:tc>
          <w:tcPr>
            <w:tcW w:w="426" w:type="dxa"/>
            <w:vMerge w:val="restart"/>
            <w:tcBorders>
              <w:top w:val="single" w:color="auto" w:sz="8" w:space="0"/>
              <w:left w:val="nil"/>
              <w:bottom w:val="inset" w:color="auto" w:sz="6" w:space="0"/>
              <w:right w:val="single" w:color="auto" w:sz="8" w:space="0"/>
            </w:tcBorders>
            <w:vAlign w:val="center"/>
          </w:tcPr>
          <w:p>
            <w:pPr>
              <w:autoSpaceDE/>
              <w:spacing w:line="32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sz w:val="24"/>
                <w:szCs w:val="24"/>
              </w:rPr>
              <w:t>总计</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10" w:hRule="atLeast"/>
          <w:tblHeader/>
          <w:jc w:val="center"/>
        </w:trPr>
        <w:tc>
          <w:tcPr>
            <w:tcW w:w="4743" w:type="dxa"/>
            <w:gridSpan w:val="3"/>
            <w:vMerge w:val="continue"/>
            <w:tcBorders>
              <w:top w:val="single" w:color="auto" w:sz="8" w:space="0"/>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b/>
                <w:bCs/>
                <w:sz w:val="24"/>
                <w:szCs w:val="24"/>
              </w:rPr>
            </w:pPr>
          </w:p>
        </w:tc>
        <w:tc>
          <w:tcPr>
            <w:tcW w:w="538" w:type="dxa"/>
            <w:vMerge w:val="continue"/>
            <w:tcBorders>
              <w:top w:val="nil"/>
              <w:left w:val="nil"/>
              <w:bottom w:val="single" w:color="auto" w:sz="8" w:space="0"/>
              <w:right w:val="single" w:color="auto" w:sz="8" w:space="0"/>
            </w:tcBorders>
            <w:vAlign w:val="center"/>
          </w:tcPr>
          <w:p>
            <w:pPr>
              <w:widowControl w:val="0"/>
              <w:spacing w:line="320" w:lineRule="exact"/>
              <w:jc w:val="center"/>
              <w:rPr>
                <w:rFonts w:hint="eastAsia" w:ascii="Times New Roman" w:hAnsi="Times New Roman" w:eastAsia="仿宋_GB2312" w:cs="仿宋_GB2312"/>
                <w:b/>
                <w:bCs/>
                <w:sz w:val="24"/>
                <w:szCs w:val="24"/>
              </w:rPr>
            </w:pP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sz w:val="24"/>
                <w:szCs w:val="24"/>
              </w:rPr>
              <w:t>商业企业</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sz w:val="24"/>
                <w:szCs w:val="24"/>
              </w:rPr>
              <w:t>科研机构</w:t>
            </w:r>
          </w:p>
        </w:tc>
        <w:tc>
          <w:tcPr>
            <w:tcW w:w="681"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sz w:val="24"/>
                <w:szCs w:val="24"/>
              </w:rPr>
              <w:t>社会公益组织</w:t>
            </w:r>
          </w:p>
        </w:tc>
        <w:tc>
          <w:tcPr>
            <w:tcW w:w="692"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sz w:val="24"/>
                <w:szCs w:val="24"/>
              </w:rPr>
              <w:t>法律服务机构</w:t>
            </w:r>
          </w:p>
        </w:tc>
        <w:tc>
          <w:tcPr>
            <w:tcW w:w="421"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b/>
                <w:bCs/>
                <w:sz w:val="24"/>
                <w:szCs w:val="24"/>
              </w:rPr>
            </w:pPr>
            <w:r>
              <w:rPr>
                <w:rFonts w:hint="eastAsia" w:ascii="Times New Roman" w:hAnsi="Times New Roman" w:eastAsia="仿宋_GB2312" w:cs="仿宋_GB2312"/>
                <w:b/>
                <w:bCs/>
                <w:sz w:val="24"/>
                <w:szCs w:val="24"/>
              </w:rPr>
              <w:t>其他</w:t>
            </w:r>
          </w:p>
        </w:tc>
        <w:tc>
          <w:tcPr>
            <w:tcW w:w="426" w:type="dxa"/>
            <w:vMerge w:val="continue"/>
            <w:tcBorders>
              <w:top w:val="single" w:color="auto" w:sz="8" w:space="0"/>
              <w:left w:val="nil"/>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b/>
                <w:bCs/>
                <w:sz w:val="24"/>
                <w:szCs w:val="24"/>
              </w:rPr>
            </w:pP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10" w:hRule="atLeast"/>
          <w:jc w:val="center"/>
        </w:trPr>
        <w:tc>
          <w:tcPr>
            <w:tcW w:w="4743" w:type="dxa"/>
            <w:gridSpan w:val="3"/>
            <w:tcBorders>
              <w:top w:val="nil"/>
              <w:left w:val="single" w:color="auto" w:sz="8" w:space="0"/>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一、本年新收政府信息公开申请数量</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default" w:ascii="Times New Roman" w:hAnsi="Times New Roman" w:eastAsia="仿宋_GB2312" w:cs="仿宋_GB2312"/>
                <w:sz w:val="24"/>
                <w:szCs w:val="24"/>
                <w:lang w:val="en-US"/>
              </w:rPr>
            </w:pPr>
            <w:r>
              <w:rPr>
                <w:rFonts w:hint="eastAsia" w:ascii="Times New Roman" w:hAnsi="Times New Roman" w:eastAsia="仿宋_GB2312" w:cs="仿宋_GB2312"/>
                <w:sz w:val="24"/>
                <w:szCs w:val="24"/>
                <w:lang w:val="en-US" w:eastAsia="zh-CN"/>
              </w:rPr>
              <w:t>16</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default" w:ascii="Times New Roman" w:hAnsi="Times New Roman" w:eastAsia="仿宋_GB2312" w:cs="仿宋_GB2312"/>
                <w:sz w:val="24"/>
                <w:szCs w:val="24"/>
                <w:lang w:val="en-US"/>
              </w:rPr>
            </w:pPr>
            <w:r>
              <w:rPr>
                <w:rFonts w:hint="eastAsia" w:ascii="Times New Roman" w:hAnsi="Times New Roman" w:eastAsia="仿宋_GB2312" w:cs="仿宋_GB2312"/>
                <w:sz w:val="24"/>
                <w:szCs w:val="24"/>
                <w:lang w:val="en-US" w:eastAsia="zh-CN"/>
              </w:rPr>
              <w:t>16</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10" w:hRule="atLeast"/>
          <w:jc w:val="center"/>
        </w:trPr>
        <w:tc>
          <w:tcPr>
            <w:tcW w:w="4743" w:type="dxa"/>
            <w:gridSpan w:val="3"/>
            <w:tcBorders>
              <w:top w:val="nil"/>
              <w:left w:val="single" w:color="auto" w:sz="8" w:space="0"/>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二、上年结转政府信息公开申请数量</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0</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67" w:hRule="atLeast"/>
          <w:jc w:val="center"/>
        </w:trPr>
        <w:tc>
          <w:tcPr>
            <w:tcW w:w="715" w:type="dxa"/>
            <w:vMerge w:val="restart"/>
            <w:tcBorders>
              <w:top w:val="nil"/>
              <w:left w:val="single" w:color="auto" w:sz="8" w:space="0"/>
              <w:bottom w:val="inset" w:color="auto" w:sz="6"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三、本年度办理结果</w:t>
            </w: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三、本年度办理结果</w:t>
            </w:r>
          </w:p>
        </w:tc>
        <w:tc>
          <w:tcPr>
            <w:tcW w:w="4028" w:type="dxa"/>
            <w:gridSpan w:val="2"/>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（一）予以公开</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default"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6</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default"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6</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67"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4028" w:type="dxa"/>
            <w:gridSpan w:val="2"/>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（二）部分公开（区分处理的，只计这一情形，不计其他情形）</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4</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4</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67"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restart"/>
            <w:tcBorders>
              <w:top w:val="nil"/>
              <w:left w:val="nil"/>
              <w:bottom w:val="inset" w:color="auto" w:sz="6"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（三）不予</w:t>
            </w:r>
          </w:p>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公开</w:t>
            </w: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p>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（三）不予</w:t>
            </w:r>
          </w:p>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公开</w:t>
            </w:r>
          </w:p>
        </w:tc>
        <w:tc>
          <w:tcPr>
            <w:tcW w:w="3214" w:type="dxa"/>
            <w:tcBorders>
              <w:top w:val="nil"/>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1.属于国家秘密</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67"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continue"/>
            <w:tcBorders>
              <w:top w:val="nil"/>
              <w:left w:val="nil"/>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3214" w:type="dxa"/>
            <w:tcBorders>
              <w:top w:val="nil"/>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2.其他法律行政法规禁止公开</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67"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continue"/>
            <w:tcBorders>
              <w:top w:val="nil"/>
              <w:left w:val="nil"/>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3214" w:type="dxa"/>
            <w:tcBorders>
              <w:top w:val="nil"/>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rPr>
              <w:t>3.危及</w:t>
            </w:r>
            <w:r>
              <w:rPr>
                <w:rFonts w:hint="eastAsia" w:ascii="Times New Roman" w:hAnsi="Times New Roman" w:eastAsia="仿宋_GB2312" w:cs="仿宋_GB2312"/>
                <w:sz w:val="24"/>
                <w:szCs w:val="24"/>
                <w:lang w:eastAsia="zh-CN"/>
              </w:rPr>
              <w:t>“</w:t>
            </w:r>
            <w:r>
              <w:rPr>
                <w:rFonts w:hint="eastAsia" w:ascii="Times New Roman" w:hAnsi="Times New Roman" w:eastAsia="仿宋_GB2312" w:cs="仿宋_GB2312"/>
                <w:sz w:val="24"/>
                <w:szCs w:val="24"/>
              </w:rPr>
              <w:t>三安全一稳定</w:t>
            </w:r>
            <w:r>
              <w:rPr>
                <w:rFonts w:hint="eastAsia" w:ascii="Times New Roman" w:hAnsi="Times New Roman" w:eastAsia="仿宋_GB2312" w:cs="仿宋_GB2312"/>
                <w:sz w:val="24"/>
                <w:szCs w:val="24"/>
                <w:lang w:eastAsia="zh-CN"/>
              </w:rPr>
              <w:t>”</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67"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continue"/>
            <w:tcBorders>
              <w:top w:val="nil"/>
              <w:left w:val="nil"/>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3214" w:type="dxa"/>
            <w:tcBorders>
              <w:top w:val="nil"/>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4.保护第三方合法权益</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0</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continue"/>
            <w:tcBorders>
              <w:top w:val="nil"/>
              <w:left w:val="nil"/>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3214" w:type="dxa"/>
            <w:tcBorders>
              <w:top w:val="nil"/>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5.属于三类内部事务信息</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continue"/>
            <w:tcBorders>
              <w:top w:val="nil"/>
              <w:left w:val="nil"/>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3214" w:type="dxa"/>
            <w:tcBorders>
              <w:top w:val="nil"/>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6.属于四类过程性信息</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continue"/>
            <w:tcBorders>
              <w:top w:val="nil"/>
              <w:left w:val="nil"/>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3214" w:type="dxa"/>
            <w:tcBorders>
              <w:top w:val="nil"/>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7.属于行政执法案卷</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continue"/>
            <w:tcBorders>
              <w:top w:val="nil"/>
              <w:left w:val="nil"/>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3214" w:type="dxa"/>
            <w:tcBorders>
              <w:top w:val="nil"/>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8.属于行政查询事项</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restart"/>
            <w:tcBorders>
              <w:top w:val="nil"/>
              <w:left w:val="nil"/>
              <w:bottom w:val="inset" w:color="auto" w:sz="6"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（四）无法</w:t>
            </w:r>
          </w:p>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提供</w:t>
            </w:r>
          </w:p>
        </w:tc>
        <w:tc>
          <w:tcPr>
            <w:tcW w:w="3214" w:type="dxa"/>
            <w:tcBorders>
              <w:top w:val="nil"/>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1.本机关不掌握相关政府信息</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3</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3</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continue"/>
            <w:tcBorders>
              <w:top w:val="nil"/>
              <w:left w:val="nil"/>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3214" w:type="dxa"/>
            <w:tcBorders>
              <w:top w:val="nil"/>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2.没有现成信息需要另行制作</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continue"/>
            <w:tcBorders>
              <w:top w:val="nil"/>
              <w:left w:val="nil"/>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3214" w:type="dxa"/>
            <w:tcBorders>
              <w:top w:val="nil"/>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3.补正后申请内容仍不明确</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1</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1</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restart"/>
            <w:tcBorders>
              <w:top w:val="nil"/>
              <w:left w:val="nil"/>
              <w:bottom w:val="inset" w:color="auto" w:sz="6"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（五）不予</w:t>
            </w:r>
          </w:p>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处理</w:t>
            </w:r>
          </w:p>
        </w:tc>
        <w:tc>
          <w:tcPr>
            <w:tcW w:w="3214" w:type="dxa"/>
            <w:tcBorders>
              <w:top w:val="nil"/>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1.信访举报投诉类申请</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2</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2</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continue"/>
            <w:tcBorders>
              <w:top w:val="nil"/>
              <w:left w:val="nil"/>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3214" w:type="dxa"/>
            <w:tcBorders>
              <w:top w:val="single" w:color="auto" w:sz="8" w:space="0"/>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2.重复申请</w:t>
            </w:r>
          </w:p>
        </w:tc>
        <w:tc>
          <w:tcPr>
            <w:tcW w:w="538"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0</w:t>
            </w:r>
          </w:p>
        </w:tc>
        <w:tc>
          <w:tcPr>
            <w:tcW w:w="628"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continue"/>
            <w:tcBorders>
              <w:top w:val="nil"/>
              <w:left w:val="nil"/>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3214" w:type="dxa"/>
            <w:tcBorders>
              <w:top w:val="single" w:color="auto" w:sz="8" w:space="0"/>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3.要求提供公开出版物</w:t>
            </w:r>
          </w:p>
        </w:tc>
        <w:tc>
          <w:tcPr>
            <w:tcW w:w="538"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28"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continue"/>
            <w:tcBorders>
              <w:top w:val="nil"/>
              <w:left w:val="nil"/>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3214" w:type="dxa"/>
            <w:tcBorders>
              <w:top w:val="single" w:color="auto" w:sz="8" w:space="0"/>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4.无正当理由大量反复申请</w:t>
            </w:r>
          </w:p>
        </w:tc>
        <w:tc>
          <w:tcPr>
            <w:tcW w:w="538"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28"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single" w:color="auto" w:sz="8" w:space="0"/>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continue"/>
            <w:tcBorders>
              <w:top w:val="nil"/>
              <w:left w:val="nil"/>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3214" w:type="dxa"/>
            <w:tcBorders>
              <w:top w:val="nil"/>
              <w:left w:val="nil"/>
              <w:bottom w:val="inset" w:color="auto" w:sz="6" w:space="0"/>
              <w:right w:val="single" w:color="auto" w:sz="8" w:space="0"/>
            </w:tcBorders>
            <w:vAlign w:val="center"/>
          </w:tcPr>
          <w:p>
            <w:pPr>
              <w:numPr>
                <w:ilvl w:val="0"/>
                <w:numId w:val="1"/>
              </w:num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要求行政机关确认或重新出具已获取信息</w:t>
            </w:r>
          </w:p>
        </w:tc>
        <w:tc>
          <w:tcPr>
            <w:tcW w:w="538" w:type="dxa"/>
            <w:tcBorders>
              <w:top w:val="nil"/>
              <w:left w:val="nil"/>
              <w:bottom w:val="inset" w:color="auto" w:sz="6"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28" w:type="dxa"/>
            <w:tcBorders>
              <w:top w:val="nil"/>
              <w:left w:val="nil"/>
              <w:bottom w:val="inset" w:color="auto" w:sz="6"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inset" w:color="auto" w:sz="6"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inset" w:color="auto" w:sz="6"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inset" w:color="auto" w:sz="6"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inset" w:color="auto" w:sz="6"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inset" w:color="auto" w:sz="6"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restart"/>
            <w:tcBorders>
              <w:top w:val="nil"/>
              <w:left w:val="nil"/>
              <w:bottom w:val="inset" w:color="auto" w:sz="6"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（六）其他</w:t>
            </w:r>
          </w:p>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处理</w:t>
            </w:r>
          </w:p>
        </w:tc>
        <w:tc>
          <w:tcPr>
            <w:tcW w:w="3214" w:type="dxa"/>
            <w:tcBorders>
              <w:top w:val="nil"/>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1.申请人无正当理由逾期不补正、行政机关不再处理其政府信息公开申请</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continue"/>
            <w:tcBorders>
              <w:top w:val="nil"/>
              <w:left w:val="nil"/>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3214" w:type="dxa"/>
            <w:tcBorders>
              <w:top w:val="nil"/>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2.申请人逾期未按收费通知要求缴纳费用、行政机关不再处理其政府信息公开申请</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814" w:type="dxa"/>
            <w:vMerge w:val="continue"/>
            <w:tcBorders>
              <w:top w:val="nil"/>
              <w:left w:val="nil"/>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3214" w:type="dxa"/>
            <w:tcBorders>
              <w:top w:val="nil"/>
              <w:left w:val="nil"/>
              <w:bottom w:val="single" w:color="auto" w:sz="8" w:space="0"/>
              <w:right w:val="single" w:color="auto" w:sz="8" w:space="0"/>
            </w:tcBorders>
            <w:vAlign w:val="center"/>
          </w:tcPr>
          <w:p>
            <w:pPr>
              <w:autoSpaceDE/>
              <w:spacing w:line="320" w:lineRule="exact"/>
              <w:jc w:val="left"/>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3.其他</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default"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0</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0</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715" w:type="dxa"/>
            <w:vMerge w:val="continue"/>
            <w:tcBorders>
              <w:top w:val="nil"/>
              <w:left w:val="single" w:color="auto" w:sz="8" w:space="0"/>
              <w:bottom w:val="inset" w:color="auto" w:sz="6" w:space="0"/>
              <w:right w:val="single" w:color="auto" w:sz="8" w:space="0"/>
            </w:tcBorders>
            <w:vAlign w:val="center"/>
          </w:tcPr>
          <w:p>
            <w:pPr>
              <w:widowControl w:val="0"/>
              <w:spacing w:line="320" w:lineRule="exact"/>
              <w:jc w:val="center"/>
              <w:rPr>
                <w:rFonts w:hint="eastAsia" w:ascii="Times New Roman" w:hAnsi="Times New Roman" w:eastAsia="仿宋_GB2312" w:cs="仿宋_GB2312"/>
                <w:sz w:val="24"/>
                <w:szCs w:val="24"/>
              </w:rPr>
            </w:pPr>
          </w:p>
        </w:tc>
        <w:tc>
          <w:tcPr>
            <w:tcW w:w="4028" w:type="dxa"/>
            <w:gridSpan w:val="2"/>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（七）总计</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default"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16</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default" w:ascii="Times New Roman" w:hAnsi="Times New Roman" w:eastAsia="仿宋_GB2312" w:cs="仿宋_GB2312"/>
                <w:sz w:val="24"/>
                <w:szCs w:val="24"/>
                <w:lang w:val="en-US" w:eastAsia="zh-CN"/>
              </w:rPr>
            </w:pPr>
            <w:r>
              <w:rPr>
                <w:rFonts w:hint="eastAsia" w:ascii="Times New Roman" w:hAnsi="Times New Roman" w:eastAsia="仿宋_GB2312" w:cs="仿宋_GB2312"/>
                <w:sz w:val="24"/>
                <w:szCs w:val="24"/>
                <w:lang w:val="en-US" w:eastAsia="zh-CN"/>
              </w:rPr>
              <w:t>16</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57" w:type="dxa"/>
            <w:bottom w:w="0" w:type="dxa"/>
            <w:right w:w="57" w:type="dxa"/>
          </w:tblCellMar>
        </w:tblPrEx>
        <w:trPr>
          <w:trHeight w:val="550" w:hRule="atLeast"/>
          <w:jc w:val="center"/>
        </w:trPr>
        <w:tc>
          <w:tcPr>
            <w:tcW w:w="4743" w:type="dxa"/>
            <w:gridSpan w:val="3"/>
            <w:tcBorders>
              <w:top w:val="nil"/>
              <w:left w:val="single" w:color="auto" w:sz="8" w:space="0"/>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四、结转下年度继续办理</w:t>
            </w:r>
          </w:p>
        </w:tc>
        <w:tc>
          <w:tcPr>
            <w:tcW w:w="53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0</w:t>
            </w:r>
          </w:p>
        </w:tc>
        <w:tc>
          <w:tcPr>
            <w:tcW w:w="628"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715"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8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692"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1"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rPr>
            </w:pPr>
            <w:r>
              <w:rPr>
                <w:rFonts w:hint="eastAsia" w:ascii="Times New Roman" w:hAnsi="Times New Roman" w:eastAsia="仿宋_GB2312" w:cs="仿宋_GB2312"/>
                <w:sz w:val="24"/>
                <w:szCs w:val="24"/>
              </w:rPr>
              <w:t>0</w:t>
            </w:r>
          </w:p>
        </w:tc>
        <w:tc>
          <w:tcPr>
            <w:tcW w:w="426" w:type="dxa"/>
            <w:tcBorders>
              <w:top w:val="nil"/>
              <w:left w:val="nil"/>
              <w:bottom w:val="single" w:color="auto" w:sz="8" w:space="0"/>
              <w:right w:val="single" w:color="auto" w:sz="8" w:space="0"/>
            </w:tcBorders>
            <w:vAlign w:val="center"/>
          </w:tcPr>
          <w:p>
            <w:pPr>
              <w:autoSpaceDE/>
              <w:spacing w:line="320" w:lineRule="exact"/>
              <w:jc w:val="center"/>
              <w:rPr>
                <w:rFonts w:hint="eastAsia" w:ascii="Times New Roman" w:hAnsi="Times New Roman" w:eastAsia="仿宋_GB2312" w:cs="仿宋_GB2312"/>
                <w:sz w:val="24"/>
                <w:szCs w:val="24"/>
                <w:lang w:eastAsia="zh-CN"/>
              </w:rPr>
            </w:pPr>
            <w:r>
              <w:rPr>
                <w:rFonts w:hint="eastAsia" w:ascii="Times New Roman" w:hAnsi="Times New Roman" w:eastAsia="仿宋_GB2312" w:cs="仿宋_GB2312"/>
                <w:sz w:val="24"/>
                <w:szCs w:val="24"/>
                <w:lang w:val="en-US" w:eastAsia="zh-CN"/>
              </w:rPr>
              <w:t>0</w:t>
            </w:r>
          </w:p>
        </w:tc>
      </w:tr>
    </w:tbl>
    <w:p>
      <w:pPr>
        <w:pStyle w:val="4"/>
        <w:widowControl w:val="0"/>
        <w:spacing w:before="0" w:beforeAutospacing="0" w:after="0" w:afterAutospacing="0" w:line="578" w:lineRule="exact"/>
        <w:ind w:firstLine="640"/>
        <w:jc w:val="both"/>
        <w:rPr>
          <w:rFonts w:hint="eastAsia" w:ascii="Times New Roman" w:hAnsi="Times New Roman" w:eastAsia="黑体" w:cs="黑体"/>
          <w:bCs/>
          <w:sz w:val="32"/>
          <w:szCs w:val="32"/>
        </w:rPr>
      </w:pPr>
      <w:r>
        <w:rPr>
          <w:rFonts w:hint="eastAsia" w:ascii="Times New Roman" w:hAnsi="Times New Roman" w:eastAsia="黑体" w:cs="黑体"/>
          <w:bCs/>
          <w:sz w:val="32"/>
          <w:szCs w:val="32"/>
        </w:rPr>
        <w:t>四、政府信息公开行政复议、行政诉讼情况</w:t>
      </w:r>
    </w:p>
    <w:tbl>
      <w:tblPr>
        <w:tblStyle w:val="5"/>
        <w:tblW w:w="884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9"/>
        <w:gridCol w:w="589"/>
        <w:gridCol w:w="589"/>
        <w:gridCol w:w="589"/>
        <w:gridCol w:w="589"/>
        <w:gridCol w:w="589"/>
        <w:gridCol w:w="589"/>
        <w:gridCol w:w="590"/>
        <w:gridCol w:w="590"/>
        <w:gridCol w:w="590"/>
        <w:gridCol w:w="590"/>
        <w:gridCol w:w="590"/>
        <w:gridCol w:w="590"/>
        <w:gridCol w:w="590"/>
        <w:gridCol w:w="5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945" w:type="dxa"/>
            <w:gridSpan w:val="5"/>
            <w:tcBorders>
              <w:top w:val="single" w:color="auto" w:sz="4" w:space="0"/>
              <w:left w:val="single" w:color="auto" w:sz="4" w:space="0"/>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行政复议</w:t>
            </w:r>
          </w:p>
        </w:tc>
        <w:tc>
          <w:tcPr>
            <w:tcW w:w="5899" w:type="dxa"/>
            <w:gridSpan w:val="10"/>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行政诉讼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89" w:type="dxa"/>
            <w:vMerge w:val="restart"/>
            <w:tcBorders>
              <w:top w:val="nil"/>
              <w:left w:val="single" w:color="auto" w:sz="4" w:space="0"/>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结果维持</w:t>
            </w:r>
          </w:p>
        </w:tc>
        <w:tc>
          <w:tcPr>
            <w:tcW w:w="589" w:type="dxa"/>
            <w:vMerge w:val="restart"/>
            <w:tcBorders>
              <w:top w:val="nil"/>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结果纠正</w:t>
            </w:r>
          </w:p>
        </w:tc>
        <w:tc>
          <w:tcPr>
            <w:tcW w:w="589" w:type="dxa"/>
            <w:vMerge w:val="restart"/>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其他结果</w:t>
            </w:r>
          </w:p>
        </w:tc>
        <w:tc>
          <w:tcPr>
            <w:tcW w:w="589" w:type="dxa"/>
            <w:vMerge w:val="restart"/>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尚未审结</w:t>
            </w:r>
          </w:p>
        </w:tc>
        <w:tc>
          <w:tcPr>
            <w:tcW w:w="589" w:type="dxa"/>
            <w:vMerge w:val="restart"/>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总计</w:t>
            </w:r>
          </w:p>
        </w:tc>
        <w:tc>
          <w:tcPr>
            <w:tcW w:w="2948" w:type="dxa"/>
            <w:gridSpan w:val="5"/>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未经复议直接起诉</w:t>
            </w:r>
          </w:p>
        </w:tc>
        <w:tc>
          <w:tcPr>
            <w:tcW w:w="2951" w:type="dxa"/>
            <w:gridSpan w:val="5"/>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复议后起诉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89" w:type="dxa"/>
            <w:vMerge w:val="continue"/>
            <w:tcBorders>
              <w:top w:val="nil"/>
              <w:left w:val="single" w:color="auto" w:sz="4" w:space="0"/>
              <w:bottom w:val="single" w:color="auto" w:sz="4" w:space="0"/>
              <w:right w:val="single" w:color="auto" w:sz="4" w:space="0"/>
            </w:tcBorders>
            <w:vAlign w:val="center"/>
          </w:tcPr>
          <w:p>
            <w:pPr>
              <w:widowControl w:val="0"/>
              <w:spacing w:line="360" w:lineRule="exact"/>
              <w:jc w:val="center"/>
              <w:rPr>
                <w:rFonts w:hint="eastAsia" w:ascii="Times New Roman" w:hAnsi="Times New Roman" w:eastAsia="仿宋_GB2312" w:cs="仿宋_GB2312"/>
                <w:b/>
                <w:bCs/>
                <w:kern w:val="0"/>
                <w:sz w:val="24"/>
                <w:szCs w:val="24"/>
              </w:rPr>
            </w:pPr>
          </w:p>
        </w:tc>
        <w:tc>
          <w:tcPr>
            <w:tcW w:w="589" w:type="dxa"/>
            <w:vMerge w:val="continue"/>
            <w:tcBorders>
              <w:top w:val="nil"/>
              <w:left w:val="nil"/>
              <w:bottom w:val="single" w:color="auto" w:sz="4" w:space="0"/>
              <w:right w:val="single" w:color="auto" w:sz="4" w:space="0"/>
            </w:tcBorders>
            <w:vAlign w:val="center"/>
          </w:tcPr>
          <w:p>
            <w:pPr>
              <w:widowControl w:val="0"/>
              <w:spacing w:line="360" w:lineRule="exact"/>
              <w:jc w:val="center"/>
              <w:rPr>
                <w:rFonts w:hint="eastAsia" w:ascii="Times New Roman" w:hAnsi="Times New Roman" w:eastAsia="仿宋_GB2312" w:cs="仿宋_GB2312"/>
                <w:b/>
                <w:bCs/>
                <w:kern w:val="0"/>
                <w:sz w:val="24"/>
                <w:szCs w:val="24"/>
              </w:rPr>
            </w:pPr>
          </w:p>
        </w:tc>
        <w:tc>
          <w:tcPr>
            <w:tcW w:w="589" w:type="dxa"/>
            <w:vMerge w:val="continue"/>
            <w:tcBorders>
              <w:top w:val="single" w:color="auto" w:sz="4" w:space="0"/>
              <w:left w:val="nil"/>
              <w:bottom w:val="single" w:color="auto" w:sz="4" w:space="0"/>
              <w:right w:val="single" w:color="auto" w:sz="4" w:space="0"/>
            </w:tcBorders>
            <w:vAlign w:val="center"/>
          </w:tcPr>
          <w:p>
            <w:pPr>
              <w:widowControl w:val="0"/>
              <w:spacing w:line="360" w:lineRule="exact"/>
              <w:jc w:val="center"/>
              <w:rPr>
                <w:rFonts w:hint="eastAsia" w:ascii="Times New Roman" w:hAnsi="Times New Roman" w:eastAsia="仿宋_GB2312" w:cs="仿宋_GB2312"/>
                <w:b/>
                <w:bCs/>
                <w:kern w:val="0"/>
                <w:sz w:val="24"/>
                <w:szCs w:val="24"/>
              </w:rPr>
            </w:pPr>
          </w:p>
        </w:tc>
        <w:tc>
          <w:tcPr>
            <w:tcW w:w="589" w:type="dxa"/>
            <w:vMerge w:val="continue"/>
            <w:tcBorders>
              <w:top w:val="single" w:color="auto" w:sz="4" w:space="0"/>
              <w:left w:val="nil"/>
              <w:bottom w:val="single" w:color="auto" w:sz="4" w:space="0"/>
              <w:right w:val="single" w:color="auto" w:sz="4" w:space="0"/>
            </w:tcBorders>
            <w:vAlign w:val="center"/>
          </w:tcPr>
          <w:p>
            <w:pPr>
              <w:widowControl w:val="0"/>
              <w:spacing w:line="360" w:lineRule="exact"/>
              <w:jc w:val="center"/>
              <w:rPr>
                <w:rFonts w:hint="eastAsia" w:ascii="Times New Roman" w:hAnsi="Times New Roman" w:eastAsia="仿宋_GB2312" w:cs="仿宋_GB2312"/>
                <w:b/>
                <w:bCs/>
                <w:kern w:val="0"/>
                <w:sz w:val="24"/>
                <w:szCs w:val="24"/>
              </w:rPr>
            </w:pPr>
          </w:p>
        </w:tc>
        <w:tc>
          <w:tcPr>
            <w:tcW w:w="589" w:type="dxa"/>
            <w:vMerge w:val="continue"/>
            <w:tcBorders>
              <w:top w:val="single" w:color="auto" w:sz="4" w:space="0"/>
              <w:left w:val="nil"/>
              <w:bottom w:val="single" w:color="auto" w:sz="4" w:space="0"/>
              <w:right w:val="single" w:color="auto" w:sz="4" w:space="0"/>
            </w:tcBorders>
            <w:vAlign w:val="center"/>
          </w:tcPr>
          <w:p>
            <w:pPr>
              <w:widowControl w:val="0"/>
              <w:spacing w:line="360" w:lineRule="exact"/>
              <w:jc w:val="center"/>
              <w:rPr>
                <w:rFonts w:hint="eastAsia" w:ascii="Times New Roman" w:hAnsi="Times New Roman" w:eastAsia="仿宋_GB2312" w:cs="仿宋_GB2312"/>
                <w:b/>
                <w:bCs/>
                <w:kern w:val="0"/>
                <w:sz w:val="24"/>
                <w:szCs w:val="24"/>
              </w:rPr>
            </w:pPr>
          </w:p>
        </w:tc>
        <w:tc>
          <w:tcPr>
            <w:tcW w:w="589"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结果维持</w:t>
            </w:r>
          </w:p>
        </w:tc>
        <w:tc>
          <w:tcPr>
            <w:tcW w:w="589"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结果纠正</w:t>
            </w:r>
          </w:p>
        </w:tc>
        <w:tc>
          <w:tcPr>
            <w:tcW w:w="590"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其他结果</w:t>
            </w:r>
          </w:p>
        </w:tc>
        <w:tc>
          <w:tcPr>
            <w:tcW w:w="590"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尚未审结</w:t>
            </w:r>
          </w:p>
        </w:tc>
        <w:tc>
          <w:tcPr>
            <w:tcW w:w="590"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总计</w:t>
            </w:r>
          </w:p>
        </w:tc>
        <w:tc>
          <w:tcPr>
            <w:tcW w:w="590"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结果维持</w:t>
            </w:r>
          </w:p>
        </w:tc>
        <w:tc>
          <w:tcPr>
            <w:tcW w:w="590"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结果纠正</w:t>
            </w:r>
          </w:p>
        </w:tc>
        <w:tc>
          <w:tcPr>
            <w:tcW w:w="590"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其他结果</w:t>
            </w:r>
          </w:p>
        </w:tc>
        <w:tc>
          <w:tcPr>
            <w:tcW w:w="590"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尚未审结</w:t>
            </w:r>
          </w:p>
        </w:tc>
        <w:tc>
          <w:tcPr>
            <w:tcW w:w="591"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b/>
                <w:bCs/>
                <w:kern w:val="0"/>
                <w:sz w:val="24"/>
                <w:szCs w:val="24"/>
              </w:rPr>
            </w:pPr>
            <w:r>
              <w:rPr>
                <w:rFonts w:hint="eastAsia" w:ascii="Times New Roman" w:hAnsi="Times New Roman" w:eastAsia="仿宋_GB2312" w:cs="仿宋_GB2312"/>
                <w:b/>
                <w:bCs/>
                <w:kern w:val="0"/>
                <w:sz w:val="24"/>
                <w:szCs w:val="24"/>
              </w:rPr>
              <w:t>总计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89" w:type="dxa"/>
            <w:tcBorders>
              <w:top w:val="single" w:color="auto" w:sz="4" w:space="0"/>
              <w:left w:val="single" w:color="auto" w:sz="4" w:space="0"/>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kern w:val="0"/>
                <w:sz w:val="24"/>
                <w:szCs w:val="24"/>
                <w:lang w:eastAsia="zh-CN"/>
              </w:rPr>
            </w:pPr>
            <w:r>
              <w:rPr>
                <w:rFonts w:hint="eastAsia" w:ascii="Times New Roman" w:hAnsi="Times New Roman" w:eastAsia="仿宋_GB2312" w:cs="仿宋_GB2312"/>
                <w:kern w:val="0"/>
                <w:sz w:val="24"/>
                <w:szCs w:val="24"/>
                <w:lang w:val="en-US" w:eastAsia="zh-CN"/>
              </w:rPr>
              <w:t>0</w:t>
            </w:r>
          </w:p>
        </w:tc>
        <w:tc>
          <w:tcPr>
            <w:tcW w:w="589"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kern w:val="0"/>
                <w:sz w:val="24"/>
                <w:szCs w:val="24"/>
              </w:rPr>
            </w:pPr>
            <w:r>
              <w:rPr>
                <w:rFonts w:hint="eastAsia" w:ascii="Times New Roman" w:hAnsi="Times New Roman" w:eastAsia="仿宋_GB2312" w:cs="仿宋_GB2312"/>
                <w:kern w:val="0"/>
                <w:sz w:val="24"/>
                <w:szCs w:val="24"/>
              </w:rPr>
              <w:t>0</w:t>
            </w:r>
          </w:p>
        </w:tc>
        <w:tc>
          <w:tcPr>
            <w:tcW w:w="589"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kern w:val="0"/>
                <w:sz w:val="24"/>
                <w:szCs w:val="24"/>
              </w:rPr>
            </w:pPr>
            <w:r>
              <w:rPr>
                <w:rFonts w:hint="eastAsia" w:ascii="Times New Roman" w:hAnsi="Times New Roman" w:eastAsia="仿宋_GB2312" w:cs="仿宋_GB2312"/>
                <w:kern w:val="0"/>
                <w:sz w:val="24"/>
                <w:szCs w:val="24"/>
              </w:rPr>
              <w:t>0</w:t>
            </w:r>
          </w:p>
        </w:tc>
        <w:tc>
          <w:tcPr>
            <w:tcW w:w="589"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kern w:val="0"/>
                <w:sz w:val="24"/>
                <w:szCs w:val="24"/>
              </w:rPr>
            </w:pPr>
            <w:r>
              <w:rPr>
                <w:rFonts w:hint="eastAsia" w:ascii="Times New Roman" w:hAnsi="Times New Roman" w:eastAsia="仿宋_GB2312" w:cs="仿宋_GB2312"/>
                <w:kern w:val="0"/>
                <w:sz w:val="24"/>
                <w:szCs w:val="24"/>
              </w:rPr>
              <w:t>0</w:t>
            </w:r>
          </w:p>
        </w:tc>
        <w:tc>
          <w:tcPr>
            <w:tcW w:w="589"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kern w:val="0"/>
                <w:sz w:val="24"/>
                <w:szCs w:val="24"/>
                <w:lang w:eastAsia="zh-CN"/>
              </w:rPr>
            </w:pPr>
            <w:r>
              <w:rPr>
                <w:rFonts w:hint="eastAsia" w:ascii="Times New Roman" w:hAnsi="Times New Roman" w:eastAsia="仿宋_GB2312" w:cs="仿宋_GB2312"/>
                <w:kern w:val="0"/>
                <w:sz w:val="24"/>
                <w:szCs w:val="24"/>
                <w:lang w:val="en-US" w:eastAsia="zh-CN"/>
              </w:rPr>
              <w:t>0</w:t>
            </w:r>
          </w:p>
        </w:tc>
        <w:tc>
          <w:tcPr>
            <w:tcW w:w="589"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kern w:val="0"/>
                <w:sz w:val="24"/>
                <w:szCs w:val="24"/>
                <w:lang w:eastAsia="zh-CN"/>
              </w:rPr>
            </w:pPr>
            <w:r>
              <w:rPr>
                <w:rFonts w:hint="eastAsia" w:ascii="Times New Roman" w:hAnsi="Times New Roman" w:eastAsia="仿宋_GB2312" w:cs="仿宋_GB2312"/>
                <w:kern w:val="0"/>
                <w:sz w:val="24"/>
                <w:szCs w:val="24"/>
                <w:lang w:val="en-US" w:eastAsia="zh-CN"/>
              </w:rPr>
              <w:t>2</w:t>
            </w:r>
          </w:p>
        </w:tc>
        <w:tc>
          <w:tcPr>
            <w:tcW w:w="589"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kern w:val="0"/>
                <w:sz w:val="24"/>
                <w:szCs w:val="24"/>
              </w:rPr>
            </w:pPr>
            <w:r>
              <w:rPr>
                <w:rFonts w:hint="eastAsia" w:ascii="Times New Roman" w:hAnsi="Times New Roman" w:eastAsia="仿宋_GB2312" w:cs="仿宋_GB2312"/>
                <w:kern w:val="0"/>
                <w:sz w:val="24"/>
                <w:szCs w:val="24"/>
              </w:rPr>
              <w:t>0</w:t>
            </w:r>
          </w:p>
        </w:tc>
        <w:tc>
          <w:tcPr>
            <w:tcW w:w="590"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kern w:val="0"/>
                <w:sz w:val="24"/>
                <w:szCs w:val="24"/>
              </w:rPr>
            </w:pPr>
            <w:r>
              <w:rPr>
                <w:rFonts w:hint="eastAsia" w:ascii="Times New Roman" w:hAnsi="Times New Roman" w:eastAsia="仿宋_GB2312" w:cs="仿宋_GB2312"/>
                <w:kern w:val="0"/>
                <w:sz w:val="24"/>
                <w:szCs w:val="24"/>
              </w:rPr>
              <w:t>0</w:t>
            </w:r>
          </w:p>
        </w:tc>
        <w:tc>
          <w:tcPr>
            <w:tcW w:w="590"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kern w:val="0"/>
                <w:sz w:val="24"/>
                <w:szCs w:val="24"/>
                <w:lang w:eastAsia="zh-CN"/>
              </w:rPr>
            </w:pPr>
            <w:r>
              <w:rPr>
                <w:rFonts w:hint="eastAsia" w:ascii="Times New Roman" w:hAnsi="Times New Roman" w:eastAsia="仿宋_GB2312" w:cs="仿宋_GB2312"/>
                <w:kern w:val="0"/>
                <w:sz w:val="24"/>
                <w:szCs w:val="24"/>
                <w:lang w:val="en-US" w:eastAsia="zh-CN"/>
              </w:rPr>
              <w:t>0</w:t>
            </w:r>
          </w:p>
        </w:tc>
        <w:tc>
          <w:tcPr>
            <w:tcW w:w="590"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default" w:ascii="Times New Roman" w:hAnsi="Times New Roman" w:eastAsia="仿宋_GB2312" w:cs="仿宋_GB2312"/>
                <w:kern w:val="0"/>
                <w:sz w:val="24"/>
                <w:szCs w:val="24"/>
                <w:lang w:val="en-US" w:eastAsia="zh-CN"/>
              </w:rPr>
            </w:pPr>
            <w:r>
              <w:rPr>
                <w:rFonts w:hint="eastAsia" w:ascii="Times New Roman" w:hAnsi="Times New Roman" w:eastAsia="仿宋_GB2312" w:cs="仿宋_GB2312"/>
                <w:kern w:val="0"/>
                <w:sz w:val="24"/>
                <w:szCs w:val="24"/>
                <w:lang w:val="en-US" w:eastAsia="zh-CN"/>
              </w:rPr>
              <w:t>2</w:t>
            </w:r>
          </w:p>
        </w:tc>
        <w:tc>
          <w:tcPr>
            <w:tcW w:w="590"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kern w:val="0"/>
                <w:sz w:val="24"/>
                <w:szCs w:val="24"/>
                <w:lang w:eastAsia="zh-CN"/>
              </w:rPr>
            </w:pPr>
            <w:r>
              <w:rPr>
                <w:rFonts w:hint="eastAsia" w:ascii="Times New Roman" w:hAnsi="Times New Roman" w:eastAsia="仿宋_GB2312" w:cs="仿宋_GB2312"/>
                <w:kern w:val="0"/>
                <w:sz w:val="24"/>
                <w:szCs w:val="24"/>
                <w:lang w:val="en-US" w:eastAsia="zh-CN"/>
              </w:rPr>
              <w:t>0</w:t>
            </w:r>
          </w:p>
        </w:tc>
        <w:tc>
          <w:tcPr>
            <w:tcW w:w="590"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kern w:val="0"/>
                <w:sz w:val="24"/>
                <w:szCs w:val="24"/>
              </w:rPr>
            </w:pPr>
            <w:r>
              <w:rPr>
                <w:rFonts w:hint="eastAsia" w:ascii="Times New Roman" w:hAnsi="Times New Roman" w:eastAsia="仿宋_GB2312" w:cs="仿宋_GB2312"/>
                <w:kern w:val="0"/>
                <w:sz w:val="24"/>
                <w:szCs w:val="24"/>
              </w:rPr>
              <w:t>0</w:t>
            </w:r>
          </w:p>
        </w:tc>
        <w:tc>
          <w:tcPr>
            <w:tcW w:w="590"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kern w:val="0"/>
                <w:sz w:val="24"/>
                <w:szCs w:val="24"/>
              </w:rPr>
            </w:pPr>
            <w:r>
              <w:rPr>
                <w:rFonts w:hint="eastAsia" w:ascii="Times New Roman" w:hAnsi="Times New Roman" w:eastAsia="仿宋_GB2312" w:cs="仿宋_GB2312"/>
                <w:kern w:val="0"/>
                <w:sz w:val="24"/>
                <w:szCs w:val="24"/>
              </w:rPr>
              <w:t>0</w:t>
            </w:r>
          </w:p>
        </w:tc>
        <w:tc>
          <w:tcPr>
            <w:tcW w:w="590"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kern w:val="0"/>
                <w:sz w:val="24"/>
                <w:szCs w:val="24"/>
              </w:rPr>
            </w:pPr>
            <w:r>
              <w:rPr>
                <w:rFonts w:hint="eastAsia" w:ascii="Times New Roman" w:hAnsi="Times New Roman" w:eastAsia="仿宋_GB2312" w:cs="仿宋_GB2312"/>
                <w:kern w:val="0"/>
                <w:sz w:val="24"/>
                <w:szCs w:val="24"/>
              </w:rPr>
              <w:t>0</w:t>
            </w:r>
          </w:p>
        </w:tc>
        <w:tc>
          <w:tcPr>
            <w:tcW w:w="591" w:type="dxa"/>
            <w:tcBorders>
              <w:top w:val="single" w:color="auto" w:sz="4" w:space="0"/>
              <w:left w:val="nil"/>
              <w:bottom w:val="single" w:color="auto" w:sz="4" w:space="0"/>
              <w:right w:val="single" w:color="auto" w:sz="4" w:space="0"/>
            </w:tcBorders>
            <w:vAlign w:val="center"/>
          </w:tcPr>
          <w:p>
            <w:pPr>
              <w:autoSpaceDE/>
              <w:spacing w:line="360" w:lineRule="exact"/>
              <w:jc w:val="center"/>
              <w:textAlignment w:val="center"/>
              <w:rPr>
                <w:rFonts w:hint="eastAsia" w:ascii="Times New Roman" w:hAnsi="Times New Roman" w:eastAsia="仿宋_GB2312" w:cs="仿宋_GB2312"/>
                <w:kern w:val="0"/>
                <w:sz w:val="24"/>
                <w:szCs w:val="24"/>
                <w:lang w:eastAsia="zh-CN"/>
              </w:rPr>
            </w:pPr>
            <w:r>
              <w:rPr>
                <w:rFonts w:hint="eastAsia" w:ascii="Times New Roman" w:hAnsi="Times New Roman" w:eastAsia="仿宋_GB2312" w:cs="仿宋_GB2312"/>
                <w:kern w:val="0"/>
                <w:sz w:val="24"/>
                <w:szCs w:val="24"/>
                <w:lang w:val="en-US" w:eastAsia="zh-CN"/>
              </w:rPr>
              <w:t>0</w:t>
            </w:r>
          </w:p>
        </w:tc>
      </w:tr>
    </w:tbl>
    <w:p>
      <w:pPr>
        <w:pStyle w:val="4"/>
        <w:widowControl w:val="0"/>
        <w:spacing w:before="0" w:beforeAutospacing="0" w:after="0" w:afterAutospacing="0" w:line="578" w:lineRule="exact"/>
        <w:ind w:firstLine="640"/>
        <w:jc w:val="both"/>
        <w:rPr>
          <w:rFonts w:hint="default" w:ascii="Times New Roman" w:hAnsi="Times New Roman" w:eastAsia="黑体" w:cs="黑体"/>
          <w:bCs/>
          <w:sz w:val="32"/>
          <w:szCs w:val="32"/>
        </w:rPr>
      </w:pPr>
      <w:r>
        <w:rPr>
          <w:rFonts w:hint="default" w:ascii="Times New Roman" w:hAnsi="Times New Roman" w:eastAsia="黑体" w:cs="黑体"/>
          <w:bCs/>
          <w:sz w:val="32"/>
          <w:szCs w:val="32"/>
        </w:rPr>
        <w:t>五、存在的主要问题及改进情况</w:t>
      </w:r>
    </w:p>
    <w:p>
      <w:pPr>
        <w:pStyle w:val="7"/>
        <w:widowControl w:val="0"/>
        <w:spacing w:line="580" w:lineRule="exact"/>
        <w:ind w:firstLine="640"/>
        <w:rPr>
          <w:rFonts w:hint="default" w:ascii="Times New Roman" w:eastAsia="仿宋_GB2312" w:cs="Times New Roman"/>
          <w:sz w:val="32"/>
          <w:szCs w:val="32"/>
          <w:lang w:val="en-US" w:eastAsia="zh-CN"/>
        </w:rPr>
      </w:pPr>
      <w:r>
        <w:rPr>
          <w:rFonts w:hint="default" w:eastAsia="仿宋_GB2312" w:cs="Times New Roman"/>
          <w:sz w:val="32"/>
          <w:szCs w:val="32"/>
          <w:lang w:val="en-US" w:eastAsia="zh-CN"/>
        </w:rPr>
        <w:t>对照政府信息公开第三方评估结果及日常工作实际，主要存在重大政策解读形式多样性不够的问题</w:t>
      </w:r>
      <w:r>
        <w:rPr>
          <w:rFonts w:hint="default" w:ascii="Times New Roman" w:eastAsia="仿宋_GB2312" w:cs="Times New Roman"/>
          <w:sz w:val="32"/>
          <w:szCs w:val="32"/>
          <w:lang w:val="en-US" w:eastAsia="zh-CN"/>
        </w:rPr>
        <w:t>。</w:t>
      </w:r>
      <w:r>
        <w:rPr>
          <w:rFonts w:hint="default" w:eastAsia="仿宋_GB2312" w:cs="Times New Roman"/>
          <w:sz w:val="32"/>
          <w:szCs w:val="32"/>
          <w:lang w:val="en-US" w:eastAsia="zh-CN"/>
        </w:rPr>
        <w:t>下一步，将按照上级指示要求及人民群众需要，努力做好主动公开，优化重大政策解读形式，进一步提升政务公开质量。</w:t>
      </w:r>
    </w:p>
    <w:p>
      <w:pPr>
        <w:pStyle w:val="7"/>
        <w:widowControl w:val="0"/>
        <w:spacing w:line="580" w:lineRule="exact"/>
        <w:ind w:firstLine="640"/>
        <w:rPr>
          <w:rFonts w:hint="eastAsia" w:ascii="黑体" w:hAnsi="黑体" w:eastAsia="黑体" w:cs="黑体"/>
          <w:bCs/>
          <w:color w:val="333333"/>
          <w:sz w:val="32"/>
          <w:szCs w:val="32"/>
          <w:shd w:val="clear" w:color="auto" w:fill="FFFFFF"/>
        </w:rPr>
      </w:pPr>
      <w:r>
        <w:rPr>
          <w:rFonts w:hint="eastAsia" w:ascii="黑体" w:hAnsi="黑体" w:eastAsia="黑体" w:cs="黑体"/>
          <w:bCs/>
          <w:color w:val="333333"/>
          <w:sz w:val="32"/>
          <w:szCs w:val="32"/>
          <w:shd w:val="clear" w:color="auto" w:fill="FFFFFF"/>
        </w:rPr>
        <w:t>六、其他需要说明的情况</w:t>
      </w:r>
    </w:p>
    <w:p>
      <w:pPr>
        <w:pStyle w:val="7"/>
        <w:widowControl w:val="0"/>
        <w:spacing w:line="58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长沙市</w:t>
      </w:r>
      <w:r>
        <w:rPr>
          <w:rFonts w:hint="default" w:eastAsia="仿宋_GB2312" w:cs="Times New Roman"/>
          <w:sz w:val="32"/>
          <w:szCs w:val="32"/>
          <w:lang w:eastAsia="zh-CN"/>
        </w:rPr>
        <w:t>教育局</w:t>
      </w:r>
      <w:r>
        <w:rPr>
          <w:rFonts w:hint="default" w:ascii="Times New Roman" w:hAnsi="Times New Roman" w:eastAsia="仿宋_GB2312" w:cs="Times New Roman"/>
          <w:sz w:val="32"/>
          <w:szCs w:val="32"/>
        </w:rPr>
        <w:t>本年度未收取政府信息处理费。统计数据自202</w:t>
      </w:r>
      <w:r>
        <w:rPr>
          <w:rFonts w:hint="default" w:eastAsia="仿宋_GB2312" w:cs="Times New Roman"/>
          <w:sz w:val="32"/>
          <w:szCs w:val="32"/>
          <w:lang w:val="en-US" w:eastAsia="zh-CN"/>
        </w:rPr>
        <w:t>4</w:t>
      </w:r>
      <w:r>
        <w:rPr>
          <w:rFonts w:hint="default" w:ascii="Times New Roman" w:hAnsi="Times New Roman" w:eastAsia="仿宋_GB2312" w:cs="Times New Roman"/>
          <w:sz w:val="32"/>
          <w:szCs w:val="32"/>
        </w:rPr>
        <w:t>年1月1日起至202</w:t>
      </w:r>
      <w:r>
        <w:rPr>
          <w:rFonts w:hint="default" w:eastAsia="仿宋_GB2312" w:cs="Times New Roman"/>
          <w:sz w:val="32"/>
          <w:szCs w:val="32"/>
          <w:lang w:val="en-US" w:eastAsia="zh-CN"/>
        </w:rPr>
        <w:t>4</w:t>
      </w:r>
      <w:r>
        <w:rPr>
          <w:rFonts w:hint="default" w:ascii="Times New Roman" w:hAnsi="Times New Roman" w:eastAsia="仿宋_GB2312" w:cs="Times New Roman"/>
          <w:sz w:val="32"/>
          <w:szCs w:val="32"/>
        </w:rPr>
        <w:t>年12月31日止。本年度报告的电子版可以在长沙教育信息网上下载。如对本年度报告有任何疑问，请联系长沙市教育局。联系电话：073</w:t>
      </w:r>
      <w:r>
        <w:rPr>
          <w:rFonts w:hint="eastAsia" w:ascii="Times New Roman" w:hAnsi="Times New Roman" w:eastAsia="仿宋_GB2312" w:cs="Times New Roman"/>
          <w:sz w:val="32"/>
          <w:szCs w:val="32"/>
          <w:lang w:val="en-US" w:eastAsia="zh-CN"/>
        </w:rPr>
        <w:t>1</w:t>
      </w:r>
      <w:r>
        <w:rPr>
          <w:rFonts w:hint="default" w:eastAsia="仿宋_GB2312" w:cs="Times New Roman"/>
          <w:sz w:val="32"/>
          <w:szCs w:val="32"/>
          <w:lang w:val="en-US" w:eastAsia="zh-CN"/>
        </w:rPr>
        <w:t>-</w:t>
      </w:r>
      <w:r>
        <w:rPr>
          <w:rFonts w:hint="default" w:ascii="Times New Roman" w:hAnsi="Times New Roman" w:eastAsia="仿宋_GB2312" w:cs="Times New Roman"/>
          <w:sz w:val="32"/>
          <w:szCs w:val="32"/>
        </w:rPr>
        <w:t>88665114。</w:t>
      </w:r>
    </w:p>
    <w:p>
      <w:pPr>
        <w:pStyle w:val="7"/>
        <w:widowControl w:val="0"/>
        <w:wordWrap w:val="0"/>
        <w:spacing w:line="580" w:lineRule="exact"/>
        <w:ind w:firstLine="640"/>
        <w:jc w:val="right"/>
        <w:rPr>
          <w:rFonts w:hint="default" w:ascii="Times New Roman" w:hAnsi="Times New Roman" w:eastAsia="仿宋_GB2312" w:cs="Times New Roman"/>
          <w:sz w:val="32"/>
          <w:szCs w:val="32"/>
        </w:rPr>
      </w:pPr>
    </w:p>
    <w:p>
      <w:pPr>
        <w:pStyle w:val="7"/>
        <w:widowControl w:val="0"/>
        <w:wordWrap/>
        <w:spacing w:line="580" w:lineRule="exact"/>
        <w:ind w:firstLine="640"/>
        <w:jc w:val="right"/>
        <w:rPr>
          <w:rFonts w:hint="default" w:ascii="Times New Roman" w:hAnsi="Times New Roman" w:eastAsia="仿宋_GB2312" w:cs="Times New Roman"/>
          <w:sz w:val="32"/>
          <w:szCs w:val="32"/>
        </w:rPr>
      </w:pPr>
    </w:p>
    <w:p>
      <w:pPr>
        <w:pStyle w:val="7"/>
        <w:widowControl w:val="0"/>
        <w:wordWrap w:val="0"/>
        <w:spacing w:line="580" w:lineRule="exact"/>
        <w:ind w:firstLine="640"/>
        <w:jc w:val="right"/>
        <w:rPr>
          <w:rFonts w:hint="default" w:ascii="Times New Roman" w:hAnsi="Times New Roman" w:eastAsia="仿宋_GB2312" w:cs="Times New Roman"/>
          <w:sz w:val="32"/>
          <w:szCs w:val="32"/>
        </w:rPr>
      </w:pPr>
    </w:p>
    <w:p>
      <w:pPr>
        <w:pStyle w:val="7"/>
        <w:widowControl w:val="0"/>
        <w:wordWrap w:val="0"/>
        <w:spacing w:line="580" w:lineRule="exact"/>
        <w:ind w:firstLine="640"/>
        <w:jc w:val="righ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长沙市教育局</w:t>
      </w:r>
      <w:r>
        <w:rPr>
          <w:rFonts w:hint="eastAsia" w:ascii="Times New Roman" w:hAnsi="Times New Roman" w:eastAsia="仿宋_GB2312" w:cs="Times New Roman"/>
          <w:sz w:val="32"/>
          <w:szCs w:val="32"/>
          <w:lang w:val="en-US" w:eastAsia="zh-CN"/>
        </w:rPr>
        <w:t xml:space="preserve">      </w:t>
      </w:r>
    </w:p>
    <w:p>
      <w:pPr>
        <w:wordWrap w:val="0"/>
        <w:spacing w:line="580" w:lineRule="exact"/>
        <w:ind w:firstLine="640" w:firstLineChars="200"/>
        <w:jc w:val="righ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年1月</w:t>
      </w:r>
      <w:r>
        <w:rPr>
          <w:rFonts w:hint="default"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日</w:t>
      </w:r>
      <w:r>
        <w:rPr>
          <w:rFonts w:hint="eastAsia" w:ascii="Times New Roman" w:hAnsi="Times New Roman" w:eastAsia="仿宋_GB2312" w:cs="Times New Roman"/>
          <w:sz w:val="32"/>
          <w:szCs w:val="32"/>
          <w:lang w:val="en-US" w:eastAsia="zh-CN"/>
        </w:rPr>
        <w:t xml:space="preserve">    </w:t>
      </w:r>
    </w:p>
    <w:p>
      <w:pPr>
        <w:spacing w:line="580" w:lineRule="exact"/>
        <w:ind w:firstLine="640" w:firstLineChars="200"/>
        <w:jc w:val="right"/>
        <w:rPr>
          <w:rFonts w:hint="default" w:ascii="Times New Roman" w:hAnsi="Times New Roman" w:eastAsia="仿宋_GB2312"/>
          <w:sz w:val="32"/>
          <w:szCs w:val="32"/>
          <w:lang w:val="en-US"/>
        </w:rPr>
      </w:pPr>
    </w:p>
    <w:p/>
    <w:sectPr>
      <w:footerReference r:id="rId3" w:type="default"/>
      <w:pgSz w:w="11906" w:h="16838"/>
      <w:pgMar w:top="2098" w:right="1474" w:bottom="1984" w:left="1587" w:header="851" w:footer="1531"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大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702CD5"/>
    <w:multiLevelType w:val="singleLevel"/>
    <w:tmpl w:val="93702CD5"/>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trackRevisions w:val="1"/>
  <w:documentProtection w:edit="readOnly" w:enforcement="1" w:cryptProviderType="rsaFull" w:cryptAlgorithmClass="hash" w:cryptAlgorithmType="typeAny" w:cryptAlgorithmSid="4" w:cryptSpinCount="0" w:hash="piNi8May6BtBHmP3lZfW6jFhesI=" w:salt="AS/CwBS2Ehfb7XnjES6cb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18F"/>
    <w:rsid w:val="002E7B6C"/>
    <w:rsid w:val="00333CF0"/>
    <w:rsid w:val="003B2C46"/>
    <w:rsid w:val="003E6BDC"/>
    <w:rsid w:val="00511D31"/>
    <w:rsid w:val="005F041B"/>
    <w:rsid w:val="00605682"/>
    <w:rsid w:val="00726C75"/>
    <w:rsid w:val="00741B54"/>
    <w:rsid w:val="00786E9F"/>
    <w:rsid w:val="007F16BB"/>
    <w:rsid w:val="008372D0"/>
    <w:rsid w:val="00AA09BC"/>
    <w:rsid w:val="00B7618F"/>
    <w:rsid w:val="00BC226F"/>
    <w:rsid w:val="00C5599F"/>
    <w:rsid w:val="00E10EA1"/>
    <w:rsid w:val="00ED19A8"/>
    <w:rsid w:val="00FA7550"/>
    <w:rsid w:val="00FB4634"/>
    <w:rsid w:val="083C410F"/>
    <w:rsid w:val="1002324A"/>
    <w:rsid w:val="3F591EB3"/>
    <w:rsid w:val="430779E2"/>
    <w:rsid w:val="4E5B146B"/>
    <w:rsid w:val="52AA41E4"/>
    <w:rsid w:val="60B52187"/>
    <w:rsid w:val="615C54DE"/>
    <w:rsid w:val="6479656A"/>
    <w:rsid w:val="6DBB55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4">
    <w:name w:val="Normal (Web)"/>
    <w:basedOn w:val="1"/>
    <w:qFormat/>
    <w:uiPriority w:val="0"/>
    <w:pPr>
      <w:spacing w:before="100" w:beforeAutospacing="1" w:after="100" w:afterAutospacing="1" w:line="600" w:lineRule="exact"/>
      <w:ind w:firstLine="883" w:firstLineChars="200"/>
      <w:jc w:val="left"/>
    </w:pPr>
    <w:rPr>
      <w:rFonts w:ascii="Calibri" w:hAnsi="Calibri" w:eastAsia="仿宋" w:cs="Times New Roman"/>
      <w:kern w:val="0"/>
      <w:sz w:val="24"/>
      <w:szCs w:val="24"/>
    </w:rPr>
  </w:style>
  <w:style w:type="paragraph" w:customStyle="1" w:styleId="7">
    <w:name w:val="正文1"/>
    <w:basedOn w:val="1"/>
    <w:qFormat/>
    <w:uiPriority w:val="0"/>
    <w:pPr>
      <w:widowControl/>
      <w:spacing w:line="600" w:lineRule="exact"/>
      <w:ind w:firstLine="883" w:firstLineChars="200"/>
    </w:pPr>
    <w:rPr>
      <w:rFonts w:ascii="Times New Roman" w:hAnsi="Times New Roman" w:eastAsia="宋体" w:cs="Times New Roman"/>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2710</Words>
  <Characters>2842</Characters>
  <Lines>0</Lines>
  <Paragraphs>0</Paragraphs>
  <TotalTime>9</TotalTime>
  <ScaleCrop>false</ScaleCrop>
  <LinksUpToDate>false</LinksUpToDate>
  <CharactersWithSpaces>2863</CharactersWithSpaces>
  <Application>WPS Office_11.8.6.8697_F1E327BC-269C-435d-A152-05C5408002CA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2025-01-09T04:00:00Z</dcterms:created>
  <cp:lastModifiedBy>Administrator</cp:lastModifiedBy>
  <dcterms:modified xsi:type="dcterms:W3CDTF">2025-01-15T06:24:32Z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2052-11.8.6.8697</vt:lpwstr>
  </property>
  <property fmtid="{D5CDD505-2E9C-101B-9397-08002B2CF9AE}" pid="3" name="KSOTemplateDocerSaveRecord">
    <vt:lpwstr>eyJoZGlkIjoiMzk5N2M3Yzg1OWUwMzBhYTMxNTc3ZTQ0N2FkN2UwOTUiLCJ1c2VySWQiOiI1NzcyMjU5MzUifQ==</vt:lpwstr>
  </property>
  <property fmtid="{D5CDD505-2E9C-101B-9397-08002B2CF9AE}" pid="4" name="ICV">
    <vt:lpwstr>2C6235854E764B0EB59456E95C447153_13</vt:lpwstr>
  </property>
</Properties>
</file>