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30" w:lineRule="exact"/>
        <w:ind w:left="0" w:leftChars="0" w:right="0" w:rightChars="0" w:firstLine="0" w:firstLineChars="0"/>
        <w:jc w:val="both"/>
        <w:textAlignment w:val="auto"/>
        <w:rPr>
          <w:rFonts w:hint="default" w:ascii="Times New Roman" w:hAnsi="Times New Roman" w:eastAsia="方正大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3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长沙市</w:t>
      </w:r>
      <w:r>
        <w:rPr>
          <w:rFonts w:hint="eastAsia" w:ascii="方正小标宋简体" w:hAnsi="方正小标宋简体" w:eastAsia="方正小标宋简体" w:cs="方正小标宋简体"/>
          <w:sz w:val="44"/>
          <w:szCs w:val="44"/>
          <w:lang w:val="en-US" w:eastAsia="zh-CN"/>
        </w:rPr>
        <w:t>人民</w:t>
      </w:r>
      <w:r>
        <w:rPr>
          <w:rFonts w:hint="eastAsia" w:ascii="方正小标宋简体" w:hAnsi="方正小标宋简体" w:eastAsia="方正小标宋简体" w:cs="方正小标宋简体"/>
          <w:sz w:val="44"/>
          <w:szCs w:val="44"/>
        </w:rPr>
        <w:t>政府办公厅</w:t>
      </w:r>
    </w:p>
    <w:p>
      <w:pPr>
        <w:keepNext w:val="0"/>
        <w:keepLines w:val="0"/>
        <w:pageBreakBefore w:val="0"/>
        <w:widowControl w:val="0"/>
        <w:kinsoku/>
        <w:wordWrap/>
        <w:overflowPunct/>
        <w:topLinePunct w:val="0"/>
        <w:autoSpaceDE/>
        <w:autoSpaceDN/>
        <w:bidi w:val="0"/>
        <w:adjustRightInd/>
        <w:snapToGrid/>
        <w:spacing w:line="630" w:lineRule="exact"/>
        <w:ind w:left="0" w:leftChars="0" w:right="0" w:rightChars="0" w:firstLine="0" w:firstLineChars="0"/>
        <w:jc w:val="center"/>
        <w:textAlignment w:val="auto"/>
        <w:rPr>
          <w:rFonts w:hint="default" w:ascii="Times New Roman" w:hAnsi="Times New Roman" w:eastAsia="方正大标宋简体" w:cs="Times New Roman"/>
          <w:sz w:val="44"/>
          <w:szCs w:val="44"/>
        </w:rPr>
      </w:pPr>
      <w:r>
        <w:rPr>
          <w:rFonts w:hint="eastAsia" w:ascii="方正小标宋简体" w:hAnsi="方正小标宋简体" w:eastAsia="方正小标宋简体" w:cs="方正小标宋简体"/>
          <w:sz w:val="44"/>
          <w:szCs w:val="44"/>
        </w:rPr>
        <w:t>2021年政府信息公开工作年度报告</w:t>
      </w:r>
      <w:bookmarkEnd w:id="0"/>
    </w:p>
    <w:p>
      <w:pPr>
        <w:keepNext w:val="0"/>
        <w:keepLines w:val="0"/>
        <w:pageBreakBefore w:val="0"/>
        <w:widowControl w:val="0"/>
        <w:kinsoku/>
        <w:wordWrap/>
        <w:overflowPunct/>
        <w:topLinePunct w:val="0"/>
        <w:autoSpaceDE/>
        <w:autoSpaceDN/>
        <w:bidi w:val="0"/>
        <w:adjustRightInd/>
        <w:snapToGrid/>
        <w:spacing w:line="630" w:lineRule="exact"/>
        <w:ind w:left="0" w:leftChars="0" w:right="0" w:rightChars="0" w:firstLine="0" w:firstLineChars="0"/>
        <w:jc w:val="center"/>
        <w:textAlignment w:val="auto"/>
        <w:rPr>
          <w:rFonts w:hint="default" w:ascii="Times New Roman" w:hAnsi="Times New Roman" w:eastAsia="方正大标宋简体" w:cs="Times New Roman"/>
          <w:sz w:val="44"/>
          <w:szCs w:val="44"/>
          <w:lang w:eastAsia="zh-CN"/>
        </w:rPr>
      </w:pPr>
    </w:p>
    <w:p>
      <w:pPr>
        <w:pStyle w:val="2"/>
        <w:rPr>
          <w:rFonts w:hint="default"/>
          <w:lang w:eastAsia="zh-CN"/>
        </w:rPr>
      </w:pPr>
    </w:p>
    <w:p>
      <w:pPr>
        <w:keepNext w:val="0"/>
        <w:keepLines w:val="0"/>
        <w:pageBreakBefore w:val="0"/>
        <w:widowControl w:val="0"/>
        <w:kinsoku/>
        <w:wordWrap/>
        <w:overflowPunct/>
        <w:topLinePunct w:val="0"/>
        <w:autoSpaceDE/>
        <w:autoSpaceDN/>
        <w:bidi w:val="0"/>
        <w:adjustRightInd/>
        <w:snapToGrid/>
        <w:spacing w:after="0" w:line="630" w:lineRule="exact"/>
        <w:ind w:left="0" w:leftChars="0" w:firstLine="640" w:firstLineChars="200"/>
        <w:jc w:val="both"/>
        <w:textAlignment w:val="auto"/>
        <w:rPr>
          <w:rFonts w:hint="default" w:ascii="Times New Roman" w:hAnsi="Times New Roman" w:eastAsia="仿宋_GB2312" w:cs="Times New Roman"/>
          <w:sz w:val="32"/>
          <w:szCs w:val="32"/>
          <w:shd w:val="clear"/>
        </w:rPr>
      </w:pPr>
      <w:r>
        <w:rPr>
          <w:rFonts w:hint="default" w:ascii="Times New Roman" w:hAnsi="Times New Roman" w:eastAsia="仿宋_GB2312" w:cs="Times New Roman"/>
          <w:sz w:val="32"/>
          <w:szCs w:val="32"/>
          <w:shd w:val="clear"/>
        </w:rPr>
        <w:t>本报告根据《中华人民共和国政府信息公开条例》（国务院令第711号）（以下简称</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条例</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）和《国务院办公厅政府信息与政务公开办公室关于印发&lt;中华人民共和国政府信息公开工作年度报告格式&gt;的通知》（国办公开办函﹝2021﹞30号）</w:t>
      </w:r>
      <w:r>
        <w:rPr>
          <w:rFonts w:hint="default" w:ascii="Times New Roman" w:hAnsi="Times New Roman" w:eastAsia="仿宋_GB2312" w:cs="Times New Roman"/>
          <w:sz w:val="32"/>
          <w:szCs w:val="32"/>
          <w:shd w:val="clear"/>
          <w:lang w:val="en-US" w:eastAsia="zh-CN"/>
        </w:rPr>
        <w:t>等文件</w:t>
      </w:r>
      <w:r>
        <w:rPr>
          <w:rFonts w:hint="default" w:ascii="Times New Roman" w:hAnsi="Times New Roman" w:eastAsia="仿宋_GB2312" w:cs="Times New Roman"/>
          <w:sz w:val="32"/>
          <w:szCs w:val="32"/>
          <w:shd w:val="clear"/>
        </w:rPr>
        <w:t>要求编制，全文包括总体情况、主动公开政府信息情况、收到和处理政府信息公开申请情况、政府信息公开行政复议和行政诉讼情况、存在的主要问题及改进情况、其他需要报告的事项六个部分组成。</w:t>
      </w:r>
      <w:r>
        <w:rPr>
          <w:rFonts w:hint="default" w:ascii="Times New Roman" w:hAnsi="Times New Roman" w:eastAsia="仿宋_GB2312" w:cs="Times New Roman"/>
          <w:sz w:val="32"/>
          <w:szCs w:val="32"/>
          <w:shd w:val="clear"/>
          <w:lang w:val="en-US" w:eastAsia="zh-CN"/>
        </w:rPr>
        <w:t>本年度报告电子版可从长沙市人民政府门户网站（http</w:t>
      </w:r>
      <w:r>
        <w:rPr>
          <w:rFonts w:hint="eastAsia" w:ascii="Times New Roman" w:hAnsi="Times New Roman" w:eastAsia="仿宋_GB2312" w:cs="Times New Roman"/>
          <w:sz w:val="32"/>
          <w:szCs w:val="32"/>
          <w:shd w:val="clear"/>
          <w:lang w:val="en-US" w:eastAsia="zh-CN"/>
        </w:rPr>
        <w:t>：</w:t>
      </w:r>
      <w:r>
        <w:rPr>
          <w:rFonts w:hint="default" w:ascii="Times New Roman" w:hAnsi="Times New Roman" w:eastAsia="仿宋_GB2312" w:cs="Times New Roman"/>
          <w:sz w:val="32"/>
          <w:szCs w:val="32"/>
          <w:shd w:val="clear"/>
          <w:lang w:val="en-US" w:eastAsia="zh-CN"/>
        </w:rPr>
        <w:t>//www.changsha.gov.cn/）下载</w:t>
      </w:r>
      <w:r>
        <w:rPr>
          <w:rFonts w:hint="default" w:ascii="Times New Roman" w:hAnsi="Times New Roman" w:eastAsia="仿宋_GB2312" w:cs="Times New Roman"/>
          <w:sz w:val="32"/>
          <w:szCs w:val="32"/>
          <w:shd w:val="clear"/>
        </w:rPr>
        <w:t>。</w:t>
      </w:r>
    </w:p>
    <w:p>
      <w:pPr>
        <w:keepNext w:val="0"/>
        <w:keepLines w:val="0"/>
        <w:pageBreakBefore w:val="0"/>
        <w:widowControl w:val="0"/>
        <w:kinsoku/>
        <w:wordWrap/>
        <w:overflowPunct/>
        <w:topLinePunct w:val="0"/>
        <w:autoSpaceDE/>
        <w:autoSpaceDN/>
        <w:bidi w:val="0"/>
        <w:adjustRightInd/>
        <w:snapToGrid/>
        <w:spacing w:after="0" w:line="630" w:lineRule="exact"/>
        <w:ind w:left="0" w:leftChars="0" w:firstLine="640" w:firstLineChars="200"/>
        <w:jc w:val="both"/>
        <w:textAlignment w:val="auto"/>
        <w:rPr>
          <w:rFonts w:hint="default" w:ascii="Times New Roman" w:hAnsi="Times New Roman" w:eastAsia="黑体" w:cs="Times New Roman"/>
          <w:sz w:val="32"/>
          <w:szCs w:val="32"/>
          <w:shd w:val="clear"/>
        </w:rPr>
      </w:pPr>
      <w:r>
        <w:rPr>
          <w:rFonts w:hint="default" w:ascii="Times New Roman" w:hAnsi="Times New Roman" w:eastAsia="黑体" w:cs="Times New Roman"/>
          <w:sz w:val="32"/>
          <w:szCs w:val="32"/>
          <w:shd w:val="clear"/>
        </w:rPr>
        <w:t>一、总体情况</w:t>
      </w:r>
    </w:p>
    <w:p>
      <w:pPr>
        <w:keepNext w:val="0"/>
        <w:keepLines w:val="0"/>
        <w:pageBreakBefore w:val="0"/>
        <w:widowControl w:val="0"/>
        <w:kinsoku/>
        <w:wordWrap/>
        <w:overflowPunct/>
        <w:topLinePunct w:val="0"/>
        <w:autoSpaceDE/>
        <w:autoSpaceDN/>
        <w:bidi w:val="0"/>
        <w:adjustRightInd/>
        <w:snapToGrid/>
        <w:spacing w:after="0" w:line="630" w:lineRule="exact"/>
        <w:ind w:left="0" w:leftChars="0" w:firstLine="640" w:firstLineChars="200"/>
        <w:jc w:val="both"/>
        <w:textAlignment w:val="auto"/>
        <w:rPr>
          <w:rFonts w:hint="default" w:ascii="Times New Roman" w:hAnsi="Times New Roman" w:eastAsia="仿宋_GB2312" w:cs="Times New Roman"/>
          <w:sz w:val="32"/>
          <w:szCs w:val="32"/>
          <w:shd w:val="clear"/>
        </w:rPr>
      </w:pPr>
      <w:r>
        <w:rPr>
          <w:rFonts w:hint="default" w:ascii="Times New Roman" w:hAnsi="Times New Roman" w:eastAsia="仿宋_GB2312" w:cs="Times New Roman"/>
          <w:sz w:val="32"/>
          <w:szCs w:val="32"/>
          <w:shd w:val="clear"/>
        </w:rPr>
        <w:t>2021年，</w:t>
      </w:r>
      <w:r>
        <w:rPr>
          <w:rFonts w:hint="default" w:ascii="Times New Roman" w:hAnsi="Times New Roman" w:eastAsia="仿宋_GB2312" w:cs="Times New Roman"/>
          <w:sz w:val="32"/>
          <w:szCs w:val="32"/>
          <w:shd w:val="clear"/>
          <w:lang w:val="en-US" w:eastAsia="zh-CN"/>
        </w:rPr>
        <w:t>坚持</w:t>
      </w:r>
      <w:r>
        <w:rPr>
          <w:rFonts w:hint="default" w:ascii="Times New Roman" w:hAnsi="Times New Roman" w:eastAsia="仿宋_GB2312" w:cs="Times New Roman"/>
          <w:sz w:val="32"/>
          <w:szCs w:val="32"/>
          <w:shd w:val="clear"/>
        </w:rPr>
        <w:t>以习近平新时代中国特色社会主义思想为指导，按照“</w:t>
      </w:r>
      <w:r>
        <w:rPr>
          <w:rFonts w:hint="default" w:ascii="Times New Roman" w:hAnsi="Times New Roman" w:eastAsia="仿宋_GB2312" w:cs="Times New Roman"/>
          <w:sz w:val="32"/>
          <w:szCs w:val="32"/>
          <w:shd w:val="clear"/>
          <w:lang w:val="en-US" w:eastAsia="zh-CN"/>
        </w:rPr>
        <w:t>以</w:t>
      </w:r>
      <w:r>
        <w:rPr>
          <w:rFonts w:hint="default" w:ascii="Times New Roman" w:hAnsi="Times New Roman" w:eastAsia="仿宋_GB2312" w:cs="Times New Roman"/>
          <w:sz w:val="32"/>
          <w:szCs w:val="32"/>
          <w:shd w:val="clear"/>
        </w:rPr>
        <w:t>公开为常态、不公开为例外”的原则，认真落实</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条例</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和</w:t>
      </w:r>
      <w:r>
        <w:rPr>
          <w:rFonts w:hint="default" w:ascii="Times New Roman" w:hAnsi="Times New Roman" w:eastAsia="仿宋_GB2312" w:cs="Times New Roman"/>
          <w:sz w:val="32"/>
          <w:szCs w:val="32"/>
          <w:shd w:val="clear"/>
          <w:lang w:val="en-US" w:eastAsia="zh-CN"/>
        </w:rPr>
        <w:t>国务院</w:t>
      </w:r>
      <w:r>
        <w:rPr>
          <w:rFonts w:hint="default" w:ascii="Times New Roman" w:hAnsi="Times New Roman" w:eastAsia="仿宋_GB2312" w:cs="Times New Roman"/>
          <w:sz w:val="32"/>
          <w:szCs w:val="32"/>
          <w:shd w:val="clear"/>
        </w:rPr>
        <w:t>、省</w:t>
      </w:r>
      <w:r>
        <w:rPr>
          <w:rFonts w:hint="default" w:ascii="Times New Roman" w:hAnsi="Times New Roman" w:eastAsia="仿宋_GB2312" w:cs="Times New Roman"/>
          <w:sz w:val="32"/>
          <w:szCs w:val="32"/>
          <w:shd w:val="clear"/>
          <w:lang w:val="en-US" w:eastAsia="zh-CN"/>
        </w:rPr>
        <w:t>政府</w:t>
      </w:r>
      <w:r>
        <w:rPr>
          <w:rFonts w:hint="default" w:ascii="Times New Roman" w:hAnsi="Times New Roman" w:eastAsia="仿宋_GB2312" w:cs="Times New Roman"/>
          <w:sz w:val="32"/>
          <w:szCs w:val="32"/>
          <w:shd w:val="clear"/>
          <w:lang w:eastAsia="zh-CN"/>
        </w:rPr>
        <w:t>、市</w:t>
      </w:r>
      <w:r>
        <w:rPr>
          <w:rFonts w:hint="default" w:ascii="Times New Roman" w:hAnsi="Times New Roman" w:eastAsia="仿宋_GB2312" w:cs="Times New Roman"/>
          <w:sz w:val="32"/>
          <w:szCs w:val="32"/>
          <w:shd w:val="clear"/>
          <w:lang w:val="en-US" w:eastAsia="zh-CN"/>
        </w:rPr>
        <w:t>政府</w:t>
      </w:r>
      <w:r>
        <w:rPr>
          <w:rFonts w:hint="default" w:ascii="Times New Roman" w:hAnsi="Times New Roman" w:eastAsia="仿宋_GB2312" w:cs="Times New Roman"/>
          <w:sz w:val="32"/>
          <w:szCs w:val="32"/>
          <w:shd w:val="clear"/>
        </w:rPr>
        <w:t>有关政务公开的决策部署，紧紧围绕市委市政府中心工作和人民群众关注关切，</w:t>
      </w:r>
      <w:r>
        <w:rPr>
          <w:rFonts w:hint="default" w:ascii="Times New Roman" w:hAnsi="Times New Roman" w:eastAsia="仿宋_GB2312" w:cs="Times New Roman"/>
          <w:sz w:val="32"/>
          <w:szCs w:val="32"/>
          <w:shd w:val="clear"/>
          <w:lang w:eastAsia="zh-CN"/>
        </w:rPr>
        <w:t>不断</w:t>
      </w:r>
      <w:r>
        <w:rPr>
          <w:rFonts w:hint="default" w:ascii="Times New Roman" w:hAnsi="Times New Roman" w:eastAsia="仿宋_GB2312" w:cs="Times New Roman"/>
          <w:sz w:val="32"/>
          <w:szCs w:val="32"/>
          <w:shd w:val="clear"/>
        </w:rPr>
        <w:t>建立健全政务公开制度体系，充分发挥政务公开</w:t>
      </w:r>
      <w:r>
        <w:rPr>
          <w:rFonts w:hint="default" w:ascii="Times New Roman" w:hAnsi="Times New Roman" w:eastAsia="仿宋_GB2312" w:cs="Times New Roman"/>
          <w:sz w:val="32"/>
          <w:szCs w:val="32"/>
          <w:shd w:val="clear"/>
          <w:lang w:val="en-US" w:eastAsia="zh-CN"/>
        </w:rPr>
        <w:t>主管</w:t>
      </w:r>
      <w:r>
        <w:rPr>
          <w:rFonts w:hint="default" w:ascii="Times New Roman" w:hAnsi="Times New Roman" w:eastAsia="仿宋_GB2312" w:cs="Times New Roman"/>
          <w:sz w:val="32"/>
          <w:szCs w:val="32"/>
          <w:shd w:val="clear"/>
        </w:rPr>
        <w:t>职能作用，</w:t>
      </w:r>
      <w:r>
        <w:rPr>
          <w:rFonts w:hint="default" w:ascii="Times New Roman" w:hAnsi="Times New Roman" w:eastAsia="仿宋_GB2312" w:cs="Times New Roman"/>
          <w:sz w:val="32"/>
          <w:szCs w:val="32"/>
          <w:shd w:val="clear"/>
          <w:lang w:eastAsia="zh-CN"/>
        </w:rPr>
        <w:t>切实</w:t>
      </w:r>
      <w:r>
        <w:rPr>
          <w:rFonts w:hint="default" w:ascii="Times New Roman" w:hAnsi="Times New Roman" w:eastAsia="仿宋_GB2312" w:cs="Times New Roman"/>
          <w:sz w:val="32"/>
          <w:szCs w:val="32"/>
          <w:shd w:val="clear"/>
        </w:rPr>
        <w:t>提升人民群众获取政府信息的便捷度和满意度。</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2" w:firstLineChars="200"/>
        <w:jc w:val="both"/>
        <w:textAlignment w:val="auto"/>
        <w:rPr>
          <w:rFonts w:hint="default" w:ascii="Times New Roman" w:hAnsi="Times New Roman" w:eastAsia="仿宋_GB2312" w:cs="Times New Roman"/>
          <w:sz w:val="32"/>
          <w:szCs w:val="32"/>
          <w:shd w:val="clear"/>
        </w:rPr>
      </w:pPr>
      <w:r>
        <w:rPr>
          <w:rFonts w:hint="default" w:ascii="Times New Roman" w:hAnsi="Times New Roman" w:eastAsia="楷体_GB2312" w:cs="Times New Roman"/>
          <w:b/>
          <w:bCs/>
          <w:sz w:val="32"/>
          <w:szCs w:val="32"/>
          <w:shd w:val="clear"/>
          <w:lang w:eastAsia="zh-CN"/>
        </w:rPr>
        <w:t>（</w:t>
      </w:r>
      <w:r>
        <w:rPr>
          <w:rFonts w:hint="default" w:ascii="Times New Roman" w:hAnsi="Times New Roman" w:eastAsia="楷体_GB2312" w:cs="Times New Roman"/>
          <w:b/>
          <w:bCs/>
          <w:sz w:val="32"/>
          <w:szCs w:val="32"/>
          <w:shd w:val="clear"/>
        </w:rPr>
        <w:t>一</w:t>
      </w:r>
      <w:r>
        <w:rPr>
          <w:rFonts w:hint="default" w:ascii="Times New Roman" w:hAnsi="Times New Roman" w:eastAsia="楷体_GB2312" w:cs="Times New Roman"/>
          <w:b/>
          <w:bCs/>
          <w:sz w:val="32"/>
          <w:szCs w:val="32"/>
          <w:shd w:val="clear"/>
          <w:lang w:eastAsia="zh-CN"/>
        </w:rPr>
        <w:t>）</w:t>
      </w:r>
      <w:r>
        <w:rPr>
          <w:rFonts w:hint="default" w:ascii="Times New Roman" w:hAnsi="Times New Roman" w:eastAsia="楷体_GB2312" w:cs="Times New Roman"/>
          <w:b/>
          <w:bCs/>
          <w:sz w:val="32"/>
          <w:szCs w:val="32"/>
          <w:shd w:val="clear"/>
        </w:rPr>
        <w:t>主动公开法定内容</w:t>
      </w:r>
      <w:r>
        <w:rPr>
          <w:rFonts w:hint="default" w:ascii="Times New Roman" w:hAnsi="Times New Roman" w:eastAsia="楷体_GB2312" w:cs="Times New Roman"/>
          <w:b/>
          <w:bCs/>
          <w:sz w:val="32"/>
          <w:szCs w:val="32"/>
          <w:shd w:val="clear"/>
          <w:lang w:eastAsia="zh-CN"/>
        </w:rPr>
        <w:t>。</w:t>
      </w:r>
      <w:r>
        <w:rPr>
          <w:rFonts w:hint="default" w:ascii="Times New Roman" w:hAnsi="Times New Roman" w:eastAsia="仿宋_GB2312" w:cs="Times New Roman"/>
          <w:sz w:val="32"/>
          <w:szCs w:val="32"/>
          <w:shd w:val="clear"/>
          <w:lang w:val="en-US" w:eastAsia="zh-CN"/>
        </w:rPr>
        <w:t>遵循</w:t>
      </w:r>
      <w:r>
        <w:rPr>
          <w:rFonts w:hint="default" w:ascii="Times New Roman" w:hAnsi="Times New Roman" w:eastAsia="仿宋_GB2312" w:cs="Times New Roman"/>
          <w:sz w:val="32"/>
          <w:szCs w:val="32"/>
          <w:shd w:val="clear"/>
        </w:rPr>
        <w:t>公正、公平、合法、便民</w:t>
      </w:r>
      <w:r>
        <w:rPr>
          <w:rFonts w:hint="default" w:ascii="Times New Roman" w:hAnsi="Times New Roman" w:eastAsia="仿宋_GB2312" w:cs="Times New Roman"/>
          <w:sz w:val="32"/>
          <w:szCs w:val="32"/>
          <w:shd w:val="clear"/>
          <w:lang w:eastAsia="zh-CN"/>
        </w:rPr>
        <w:t>的</w:t>
      </w:r>
      <w:r>
        <w:rPr>
          <w:rFonts w:hint="default" w:ascii="Times New Roman" w:hAnsi="Times New Roman" w:eastAsia="仿宋_GB2312" w:cs="Times New Roman"/>
          <w:sz w:val="32"/>
          <w:szCs w:val="32"/>
          <w:shd w:val="clear"/>
        </w:rPr>
        <w:t>原则，全方位多渠道满足群众的信息需求。一是主动公开政务信息4850条，通过门户网站信息公开目录发布信息639条，</w:t>
      </w:r>
      <w:r>
        <w:rPr>
          <w:rFonts w:hint="default" w:ascii="Times New Roman" w:hAnsi="Times New Roman" w:eastAsia="仿宋_GB2312" w:cs="Times New Roman"/>
          <w:sz w:val="32"/>
          <w:szCs w:val="32"/>
          <w:shd w:val="clear"/>
          <w:lang w:eastAsia="zh-CN"/>
        </w:rPr>
        <w:t>“中国</w:t>
      </w:r>
      <w:r>
        <w:rPr>
          <w:rFonts w:hint="default" w:ascii="Times New Roman" w:hAnsi="Times New Roman" w:eastAsia="仿宋_GB2312" w:cs="Times New Roman"/>
          <w:sz w:val="32"/>
          <w:szCs w:val="32"/>
          <w:shd w:val="clear"/>
          <w:lang w:val="en-US" w:eastAsia="zh-CN"/>
        </w:rPr>
        <w:t>-</w:t>
      </w:r>
      <w:r>
        <w:rPr>
          <w:rFonts w:hint="default" w:ascii="Times New Roman" w:hAnsi="Times New Roman" w:eastAsia="仿宋_GB2312" w:cs="Times New Roman"/>
          <w:sz w:val="32"/>
          <w:szCs w:val="32"/>
          <w:shd w:val="clear"/>
          <w:lang w:eastAsia="zh-CN"/>
        </w:rPr>
        <w:t>长沙”</w:t>
      </w:r>
      <w:r>
        <w:rPr>
          <w:rFonts w:hint="default" w:ascii="Times New Roman" w:hAnsi="Times New Roman" w:eastAsia="仿宋_GB2312" w:cs="Times New Roman"/>
          <w:sz w:val="32"/>
          <w:szCs w:val="32"/>
          <w:shd w:val="clear"/>
        </w:rPr>
        <w:t>微信公众号推送信息288条，</w:t>
      </w:r>
      <w:r>
        <w:rPr>
          <w:rFonts w:hint="default" w:ascii="Times New Roman" w:hAnsi="Times New Roman" w:eastAsia="仿宋_GB2312" w:cs="Times New Roman"/>
          <w:sz w:val="32"/>
          <w:szCs w:val="32"/>
          <w:shd w:val="clear"/>
          <w:lang w:eastAsia="zh-CN"/>
        </w:rPr>
        <w:t>“中国</w:t>
      </w:r>
      <w:r>
        <w:rPr>
          <w:rFonts w:hint="default" w:ascii="Times New Roman" w:hAnsi="Times New Roman" w:eastAsia="仿宋_GB2312" w:cs="Times New Roman"/>
          <w:sz w:val="32"/>
          <w:szCs w:val="32"/>
          <w:shd w:val="clear"/>
          <w:lang w:val="en-US" w:eastAsia="zh-CN"/>
        </w:rPr>
        <w:t>-</w:t>
      </w:r>
      <w:r>
        <w:rPr>
          <w:rFonts w:hint="default" w:ascii="Times New Roman" w:hAnsi="Times New Roman" w:eastAsia="仿宋_GB2312" w:cs="Times New Roman"/>
          <w:sz w:val="32"/>
          <w:szCs w:val="32"/>
          <w:shd w:val="clear"/>
          <w:lang w:eastAsia="zh-CN"/>
        </w:rPr>
        <w:t>长沙”</w:t>
      </w:r>
      <w:r>
        <w:rPr>
          <w:rFonts w:hint="default" w:ascii="Times New Roman" w:hAnsi="Times New Roman" w:eastAsia="仿宋_GB2312" w:cs="Times New Roman"/>
          <w:sz w:val="32"/>
          <w:szCs w:val="32"/>
          <w:shd w:val="clear"/>
        </w:rPr>
        <w:t>政务微博发布信息3051条。二是</w:t>
      </w:r>
      <w:r>
        <w:rPr>
          <w:rFonts w:hint="default" w:ascii="Times New Roman" w:hAnsi="Times New Roman" w:eastAsia="仿宋_GB2312" w:cs="Times New Roman"/>
          <w:sz w:val="32"/>
          <w:szCs w:val="32"/>
          <w:shd w:val="clear"/>
          <w:lang w:val="en-US" w:eastAsia="zh-CN"/>
        </w:rPr>
        <w:t>发布</w:t>
      </w:r>
      <w:r>
        <w:rPr>
          <w:rFonts w:hint="default" w:ascii="Times New Roman" w:hAnsi="Times New Roman" w:eastAsia="仿宋_GB2312" w:cs="Times New Roman"/>
          <w:sz w:val="32"/>
          <w:szCs w:val="32"/>
          <w:shd w:val="clear"/>
        </w:rPr>
        <w:t>《长沙市人民政府公报》</w:t>
      </w:r>
      <w:r>
        <w:rPr>
          <w:rFonts w:hint="default" w:ascii="Times New Roman" w:hAnsi="Times New Roman" w:eastAsia="仿宋_GB2312" w:cs="Times New Roman"/>
          <w:sz w:val="32"/>
          <w:szCs w:val="32"/>
          <w:shd w:val="clear"/>
          <w:lang w:val="en-US" w:eastAsia="zh-CN"/>
        </w:rPr>
        <w:t>10</w:t>
      </w:r>
      <w:r>
        <w:rPr>
          <w:rFonts w:hint="default" w:ascii="Times New Roman" w:hAnsi="Times New Roman" w:eastAsia="仿宋_GB2312" w:cs="Times New Roman"/>
          <w:sz w:val="32"/>
          <w:szCs w:val="32"/>
          <w:shd w:val="clear"/>
        </w:rPr>
        <w:t>期，规范性文件</w:t>
      </w:r>
      <w:r>
        <w:rPr>
          <w:rFonts w:hint="default" w:ascii="Times New Roman" w:hAnsi="Times New Roman" w:eastAsia="仿宋_GB2312" w:cs="Times New Roman"/>
          <w:sz w:val="32"/>
          <w:szCs w:val="32"/>
          <w:shd w:val="clear"/>
          <w:lang w:val="en-US" w:eastAsia="zh-CN"/>
        </w:rPr>
        <w:t>81</w:t>
      </w:r>
      <w:r>
        <w:rPr>
          <w:rFonts w:hint="default" w:ascii="Times New Roman" w:hAnsi="Times New Roman" w:eastAsia="仿宋_GB2312" w:cs="Times New Roman"/>
          <w:sz w:val="32"/>
          <w:szCs w:val="32"/>
          <w:shd w:val="clear"/>
        </w:rPr>
        <w:t>份。三是优化疫情防控专栏建设，</w:t>
      </w:r>
      <w:r>
        <w:rPr>
          <w:rFonts w:hint="default" w:ascii="Times New Roman" w:hAnsi="Times New Roman" w:eastAsia="仿宋_GB2312" w:cs="Times New Roman"/>
          <w:sz w:val="32"/>
          <w:szCs w:val="32"/>
          <w:shd w:val="clear"/>
          <w:lang w:eastAsia="zh-CN"/>
        </w:rPr>
        <w:t>主动</w:t>
      </w:r>
      <w:r>
        <w:rPr>
          <w:rFonts w:hint="default" w:ascii="Times New Roman" w:hAnsi="Times New Roman" w:eastAsia="仿宋_GB2312" w:cs="Times New Roman"/>
          <w:sz w:val="32"/>
          <w:szCs w:val="32"/>
          <w:shd w:val="clear"/>
        </w:rPr>
        <w:t>公开疫情相关信息。四是及时回应社会关切，2021年市政府门户网站发布政策解读图文稿116篇，开展在线访谈16期。</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2" w:firstLineChars="200"/>
        <w:jc w:val="both"/>
        <w:textAlignment w:val="auto"/>
        <w:rPr>
          <w:rFonts w:hint="default" w:ascii="Times New Roman" w:hAnsi="Times New Roman" w:eastAsia="仿宋_GB2312" w:cs="Times New Roman"/>
          <w:sz w:val="32"/>
          <w:szCs w:val="32"/>
          <w:shd w:val="clear"/>
        </w:rPr>
      </w:pPr>
      <w:r>
        <w:rPr>
          <w:rFonts w:hint="default" w:ascii="Times New Roman" w:hAnsi="Times New Roman" w:eastAsia="楷体_GB2312" w:cs="Times New Roman"/>
          <w:b/>
          <w:bCs/>
          <w:sz w:val="32"/>
          <w:szCs w:val="32"/>
          <w:shd w:val="clear"/>
          <w:lang w:eastAsia="zh-CN"/>
        </w:rPr>
        <w:t>（二）依法办理依申请公开。</w:t>
      </w:r>
      <w:r>
        <w:rPr>
          <w:rFonts w:hint="default" w:ascii="Times New Roman" w:hAnsi="Times New Roman" w:eastAsia="仿宋_GB2312" w:cs="Times New Roman"/>
          <w:sz w:val="32"/>
          <w:szCs w:val="32"/>
          <w:shd w:val="clear"/>
        </w:rPr>
        <w:t>始终坚持以人民为中心，严格执行依申请公开接收、登记、审核、办理、答复程序，群众对公开的获得感、满意度明显提升。耐心释法答疑，所办理的政府信息公开申请取得了较好的效果。2021年，共受理政府信息公开申请163件，同比下降34.5%</w:t>
      </w:r>
      <w:r>
        <w:rPr>
          <w:rFonts w:hint="eastAsia"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被行政复议1件，行政诉讼8件</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lang w:val="en-US" w:eastAsia="zh-CN"/>
        </w:rPr>
        <w:t>同比下降82.7%</w:t>
      </w:r>
      <w:r>
        <w:rPr>
          <w:rFonts w:hint="default" w:ascii="Times New Roman" w:hAnsi="Times New Roman" w:eastAsia="仿宋_GB2312" w:cs="Times New Roman"/>
          <w:sz w:val="32"/>
          <w:szCs w:val="32"/>
          <w:shd w:val="clear"/>
        </w:rPr>
        <w:t>。</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2" w:firstLineChars="200"/>
        <w:jc w:val="both"/>
        <w:textAlignment w:val="auto"/>
        <w:rPr>
          <w:rFonts w:hint="default" w:ascii="Times New Roman" w:hAnsi="Times New Roman" w:eastAsia="仿宋_GB2312" w:cs="Times New Roman"/>
          <w:sz w:val="32"/>
          <w:szCs w:val="32"/>
          <w:shd w:val="clear"/>
        </w:rPr>
      </w:pPr>
      <w:r>
        <w:rPr>
          <w:rFonts w:hint="default" w:ascii="Times New Roman" w:hAnsi="Times New Roman" w:eastAsia="楷体_GB2312" w:cs="Times New Roman"/>
          <w:b/>
          <w:bCs/>
          <w:sz w:val="32"/>
          <w:szCs w:val="32"/>
          <w:shd w:val="clear"/>
          <w:lang w:eastAsia="zh-CN"/>
        </w:rPr>
        <w:t>（三）规范政府信息管理。</w:t>
      </w:r>
      <w:r>
        <w:rPr>
          <w:rFonts w:hint="default" w:ascii="Times New Roman" w:hAnsi="Times New Roman" w:eastAsia="仿宋_GB2312" w:cs="Times New Roman"/>
          <w:sz w:val="32"/>
          <w:szCs w:val="32"/>
          <w:shd w:val="clear"/>
        </w:rPr>
        <w:t>制定下发《长沙市人民政府办公厅关于推进政务公开标准化规范化便利化的实施意见》（长政办发﹝2021﹞56号），明确</w:t>
      </w:r>
      <w:r>
        <w:rPr>
          <w:rFonts w:hint="default" w:ascii="Times New Roman" w:hAnsi="Times New Roman" w:eastAsia="仿宋_GB2312" w:cs="Times New Roman"/>
          <w:sz w:val="32"/>
          <w:szCs w:val="32"/>
          <w:shd w:val="clear"/>
          <w:lang w:eastAsia="zh-CN"/>
        </w:rPr>
        <w:t>要求规范</w:t>
      </w:r>
      <w:r>
        <w:rPr>
          <w:rFonts w:hint="default" w:ascii="Times New Roman" w:hAnsi="Times New Roman" w:eastAsia="仿宋_GB2312" w:cs="Times New Roman"/>
          <w:sz w:val="32"/>
          <w:szCs w:val="32"/>
          <w:shd w:val="clear"/>
        </w:rPr>
        <w:t>政府信息制作源头把关，</w:t>
      </w:r>
      <w:r>
        <w:rPr>
          <w:rFonts w:hint="default" w:ascii="Times New Roman" w:hAnsi="Times New Roman" w:eastAsia="仿宋_GB2312" w:cs="Times New Roman"/>
          <w:sz w:val="32"/>
          <w:szCs w:val="32"/>
          <w:shd w:val="clear"/>
          <w:lang w:eastAsia="zh-CN"/>
        </w:rPr>
        <w:t>建立公文属性源头认定机制，</w:t>
      </w:r>
      <w:r>
        <w:rPr>
          <w:rFonts w:hint="default" w:ascii="Times New Roman" w:hAnsi="Times New Roman" w:eastAsia="仿宋_GB2312" w:cs="Times New Roman"/>
          <w:sz w:val="32"/>
          <w:szCs w:val="32"/>
          <w:shd w:val="clear"/>
        </w:rPr>
        <w:t>将文件公开属性随文件同步审签，落实到文件制发全过程。在政府门户网站设置栏目分门别类公开各类政务信息，重要政策信息专栏展示，规范政务公开专栏内容目录，以视频、图片、文字等多种方式全面、及时、准确公开政府信息</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更加方便群众快捷获取信息。</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2" w:firstLineChars="200"/>
        <w:jc w:val="both"/>
        <w:textAlignment w:val="auto"/>
        <w:rPr>
          <w:rFonts w:hint="default" w:ascii="Times New Roman" w:hAnsi="Times New Roman" w:eastAsia="仿宋_GB2312" w:cs="Times New Roman"/>
          <w:sz w:val="32"/>
          <w:szCs w:val="32"/>
          <w:shd w:val="clear"/>
          <w:lang w:eastAsia="zh-CN"/>
        </w:rPr>
      </w:pPr>
      <w:r>
        <w:rPr>
          <w:rFonts w:hint="default" w:ascii="Times New Roman" w:hAnsi="Times New Roman" w:eastAsia="楷体_GB2312" w:cs="Times New Roman"/>
          <w:b/>
          <w:bCs/>
          <w:sz w:val="32"/>
          <w:szCs w:val="32"/>
          <w:shd w:val="clear"/>
          <w:lang w:eastAsia="zh-CN"/>
        </w:rPr>
        <w:t>（四）优化公开平台建设。</w:t>
      </w:r>
      <w:r>
        <w:rPr>
          <w:rFonts w:hint="default" w:ascii="Times New Roman" w:hAnsi="Times New Roman" w:eastAsia="仿宋_GB2312" w:cs="Times New Roman"/>
          <w:sz w:val="32"/>
          <w:szCs w:val="32"/>
          <w:shd w:val="clear"/>
        </w:rPr>
        <w:t>一是充分发挥政府网站第一公开平台作用</w:t>
      </w:r>
      <w:r>
        <w:rPr>
          <w:rFonts w:hint="default" w:ascii="Times New Roman" w:hAnsi="Times New Roman" w:eastAsia="仿宋_GB2312" w:cs="Times New Roman"/>
          <w:sz w:val="32"/>
          <w:szCs w:val="32"/>
          <w:shd w:val="clear"/>
          <w:lang w:eastAsia="zh-CN"/>
        </w:rPr>
        <w:t>。按照</w:t>
      </w:r>
      <w:r>
        <w:rPr>
          <w:rFonts w:hint="default" w:ascii="Times New Roman" w:hAnsi="Times New Roman" w:eastAsia="仿宋_GB2312" w:cs="Times New Roman"/>
          <w:sz w:val="32"/>
          <w:szCs w:val="32"/>
          <w:shd w:val="clear"/>
        </w:rPr>
        <w:t>《国务院办公厅政府信息与政务公开办公室关于规范政府信息公开平台有关事项的通知》（国办公开办函〔2019〕61号）</w:t>
      </w:r>
      <w:r>
        <w:rPr>
          <w:rFonts w:hint="default" w:ascii="Times New Roman" w:hAnsi="Times New Roman" w:eastAsia="仿宋_GB2312" w:cs="Times New Roman"/>
          <w:sz w:val="32"/>
          <w:szCs w:val="32"/>
          <w:shd w:val="clear"/>
          <w:lang w:eastAsia="zh-CN"/>
        </w:rPr>
        <w:t>文件</w:t>
      </w:r>
      <w:r>
        <w:rPr>
          <w:rFonts w:hint="default" w:ascii="Times New Roman" w:hAnsi="Times New Roman" w:eastAsia="仿宋_GB2312" w:cs="Times New Roman"/>
          <w:sz w:val="32"/>
          <w:szCs w:val="32"/>
          <w:shd w:val="clear"/>
        </w:rPr>
        <w:t>要求，在市政府门户网站建设统一规范的政府信息公开平台。</w:t>
      </w:r>
      <w:r>
        <w:rPr>
          <w:rFonts w:hint="default" w:ascii="Times New Roman" w:hAnsi="Times New Roman" w:eastAsia="仿宋_GB2312" w:cs="Times New Roman"/>
          <w:sz w:val="32"/>
          <w:szCs w:val="32"/>
          <w:shd w:val="clear"/>
          <w:lang w:val="en-US" w:eastAsia="zh-CN"/>
        </w:rPr>
        <w:t>推出</w:t>
      </w:r>
      <w:r>
        <w:rPr>
          <w:rFonts w:hint="default" w:ascii="Times New Roman" w:hAnsi="Times New Roman" w:eastAsia="仿宋_GB2312" w:cs="Times New Roman"/>
          <w:sz w:val="32"/>
          <w:szCs w:val="32"/>
          <w:shd w:val="clear"/>
        </w:rPr>
        <w:t>“2021政务</w:t>
      </w:r>
      <w:r>
        <w:rPr>
          <w:rFonts w:hint="default" w:ascii="Times New Roman" w:hAnsi="Times New Roman" w:eastAsia="仿宋_GB2312" w:cs="Times New Roman"/>
          <w:sz w:val="32"/>
          <w:szCs w:val="32"/>
          <w:shd w:val="clear"/>
          <w:lang w:eastAsia="zh-CN"/>
        </w:rPr>
        <w:t>公开</w:t>
      </w:r>
      <w:r>
        <w:rPr>
          <w:rFonts w:hint="default" w:ascii="Times New Roman" w:hAnsi="Times New Roman" w:eastAsia="仿宋_GB2312" w:cs="Times New Roman"/>
          <w:sz w:val="32"/>
          <w:szCs w:val="32"/>
          <w:shd w:val="clear"/>
        </w:rPr>
        <w:t>工作要点”“长沙基层政务公开”专栏，新建“长沙市政府规章库”系统，利用政府网站集约化试点成果，通过大数据、云计算等新技术，对政府信息进行汇聚、整合、共享、共用，增强政府信息在线检索功能和政府网站智能化服务水平。</w:t>
      </w:r>
      <w:r>
        <w:rPr>
          <w:rFonts w:hint="default" w:ascii="Times New Roman" w:hAnsi="Times New Roman" w:eastAsia="仿宋_GB2312" w:cs="Times New Roman"/>
          <w:sz w:val="32"/>
          <w:szCs w:val="32"/>
          <w:shd w:val="clear"/>
          <w:lang w:val="en-US" w:eastAsia="zh-CN"/>
        </w:rPr>
        <w:t>在</w:t>
      </w:r>
      <w:r>
        <w:rPr>
          <w:rFonts w:hint="default" w:ascii="Times New Roman" w:hAnsi="Times New Roman" w:eastAsia="仿宋_GB2312" w:cs="Times New Roman"/>
          <w:sz w:val="32"/>
          <w:szCs w:val="32"/>
          <w:shd w:val="clear"/>
        </w:rPr>
        <w:t>《2021年中国政府网站绩效评估结果报告》</w:t>
      </w:r>
      <w:r>
        <w:rPr>
          <w:rFonts w:hint="default" w:ascii="Times New Roman" w:hAnsi="Times New Roman" w:eastAsia="仿宋_GB2312" w:cs="Times New Roman"/>
          <w:sz w:val="32"/>
          <w:szCs w:val="32"/>
          <w:shd w:val="clear"/>
          <w:lang w:val="en-US" w:eastAsia="zh-CN"/>
        </w:rPr>
        <w:t>中</w:t>
      </w:r>
      <w:r>
        <w:rPr>
          <w:rFonts w:hint="default" w:ascii="Times New Roman" w:hAnsi="Times New Roman" w:eastAsia="仿宋_GB2312" w:cs="Times New Roman"/>
          <w:sz w:val="32"/>
          <w:szCs w:val="32"/>
          <w:shd w:val="clear"/>
        </w:rPr>
        <w:t>，长沙市政府门户网站在全国省会城市政府网站中排第二名。</w:t>
      </w:r>
      <w:r>
        <w:rPr>
          <w:rFonts w:hint="default" w:ascii="Times New Roman" w:hAnsi="Times New Roman" w:eastAsia="仿宋_GB2312" w:cs="Times New Roman"/>
          <w:sz w:val="32"/>
          <w:szCs w:val="32"/>
          <w:shd w:val="clear"/>
          <w:lang w:val="en-US" w:eastAsia="zh-CN"/>
        </w:rPr>
        <w:t>二是</w:t>
      </w:r>
      <w:r>
        <w:rPr>
          <w:rFonts w:hint="default" w:ascii="Times New Roman" w:hAnsi="Times New Roman" w:eastAsia="仿宋_GB2312" w:cs="Times New Roman"/>
          <w:sz w:val="32"/>
          <w:szCs w:val="32"/>
          <w:shd w:val="clear"/>
        </w:rPr>
        <w:t>加强市政府门户网站“两微一端”平台建设，积极运用“两微一端”推送政府信息，提高政府信息公开的到达率和覆盖面。</w:t>
      </w:r>
      <w:r>
        <w:rPr>
          <w:rFonts w:hint="default" w:ascii="Times New Roman" w:hAnsi="Times New Roman" w:eastAsia="仿宋_GB2312" w:cs="Times New Roman"/>
          <w:sz w:val="32"/>
          <w:szCs w:val="32"/>
          <w:shd w:val="clear"/>
          <w:lang w:val="en-US" w:eastAsia="zh-CN"/>
        </w:rPr>
        <w:t>三</w:t>
      </w:r>
      <w:r>
        <w:rPr>
          <w:rFonts w:hint="default" w:ascii="Times New Roman" w:hAnsi="Times New Roman" w:eastAsia="仿宋_GB2312" w:cs="Times New Roman"/>
          <w:sz w:val="32"/>
          <w:szCs w:val="32"/>
          <w:shd w:val="clear"/>
        </w:rPr>
        <w:t>是升级优化长沙市政府信息依申请公开网上受理平台，实现</w:t>
      </w:r>
      <w:r>
        <w:rPr>
          <w:rFonts w:hint="default" w:ascii="Times New Roman" w:hAnsi="Times New Roman" w:eastAsia="仿宋_GB2312" w:cs="Times New Roman"/>
          <w:sz w:val="32"/>
          <w:szCs w:val="32"/>
          <w:shd w:val="clear"/>
          <w:lang w:val="en-US" w:eastAsia="zh-CN"/>
        </w:rPr>
        <w:t>实时数据统计分析及</w:t>
      </w:r>
      <w:r>
        <w:rPr>
          <w:rFonts w:hint="default" w:ascii="Times New Roman" w:hAnsi="Times New Roman" w:eastAsia="仿宋_GB2312" w:cs="Times New Roman"/>
          <w:sz w:val="32"/>
          <w:szCs w:val="32"/>
          <w:shd w:val="clear"/>
        </w:rPr>
        <w:t>全程网上督办</w:t>
      </w:r>
      <w:r>
        <w:rPr>
          <w:rFonts w:hint="default" w:ascii="Times New Roman" w:hAnsi="Times New Roman" w:eastAsia="仿宋_GB2312" w:cs="Times New Roman"/>
          <w:sz w:val="32"/>
          <w:szCs w:val="32"/>
          <w:shd w:val="clear"/>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2" w:firstLineChars="200"/>
        <w:jc w:val="both"/>
        <w:textAlignment w:val="auto"/>
        <w:rPr>
          <w:rFonts w:hint="default" w:ascii="Times New Roman" w:hAnsi="Times New Roman" w:eastAsia="仿宋_GB2312" w:cs="Times New Roman"/>
          <w:sz w:val="32"/>
          <w:szCs w:val="32"/>
          <w:shd w:val="clear"/>
        </w:rPr>
      </w:pPr>
      <w:r>
        <w:rPr>
          <w:rFonts w:hint="default" w:ascii="Times New Roman" w:hAnsi="Times New Roman" w:eastAsia="楷体_GB2312" w:cs="Times New Roman"/>
          <w:b/>
          <w:bCs/>
          <w:sz w:val="32"/>
          <w:szCs w:val="32"/>
          <w:shd w:val="clear"/>
          <w:lang w:eastAsia="zh-CN"/>
        </w:rPr>
        <w:t>（五）强化监督保障。</w:t>
      </w:r>
      <w:r>
        <w:rPr>
          <w:rFonts w:hint="default" w:ascii="Times New Roman" w:hAnsi="Times New Roman" w:eastAsia="仿宋_GB2312" w:cs="Times New Roman"/>
          <w:sz w:val="32"/>
          <w:szCs w:val="32"/>
          <w:shd w:val="clear"/>
          <w:lang w:val="en-US" w:eastAsia="zh-CN"/>
        </w:rPr>
        <w:t>市政府常务会听取了全市政务公开工作情况汇报，研究相关工作，做出全面工作部署；</w:t>
      </w:r>
      <w:r>
        <w:rPr>
          <w:rFonts w:hint="default" w:ascii="Times New Roman" w:hAnsi="Times New Roman" w:eastAsia="仿宋_GB2312" w:cs="Times New Roman"/>
          <w:sz w:val="32"/>
          <w:szCs w:val="32"/>
          <w:shd w:val="clear"/>
        </w:rPr>
        <w:t>加强公开工作培训指导，开展全市</w:t>
      </w:r>
      <w:r>
        <w:rPr>
          <w:rFonts w:hint="default" w:ascii="Times New Roman" w:hAnsi="Times New Roman" w:eastAsia="仿宋_GB2312" w:cs="Times New Roman"/>
          <w:sz w:val="32"/>
          <w:szCs w:val="32"/>
          <w:shd w:val="clear"/>
          <w:lang w:eastAsia="zh-CN"/>
        </w:rPr>
        <w:t>政务公开业务</w:t>
      </w:r>
      <w:r>
        <w:rPr>
          <w:rFonts w:hint="default" w:ascii="Times New Roman" w:hAnsi="Times New Roman" w:eastAsia="仿宋_GB2312" w:cs="Times New Roman"/>
          <w:sz w:val="32"/>
          <w:szCs w:val="32"/>
          <w:shd w:val="clear"/>
        </w:rPr>
        <w:t>培训</w:t>
      </w:r>
      <w:r>
        <w:rPr>
          <w:rFonts w:hint="default" w:ascii="Times New Roman" w:hAnsi="Times New Roman" w:eastAsia="仿宋_GB2312" w:cs="Times New Roman"/>
          <w:sz w:val="32"/>
          <w:szCs w:val="32"/>
          <w:shd w:val="clear"/>
          <w:lang w:val="en-US" w:eastAsia="zh-CN"/>
        </w:rPr>
        <w:t>暨工作推进会</w:t>
      </w:r>
      <w:r>
        <w:rPr>
          <w:rFonts w:hint="default" w:ascii="Times New Roman" w:hAnsi="Times New Roman" w:eastAsia="仿宋_GB2312" w:cs="Times New Roman"/>
          <w:sz w:val="32"/>
          <w:szCs w:val="32"/>
          <w:shd w:val="clear"/>
          <w:lang w:eastAsia="zh-CN"/>
        </w:rPr>
        <w:t>，提升政务公开工作业务能力；开展</w:t>
      </w:r>
      <w:r>
        <w:rPr>
          <w:rFonts w:hint="default" w:ascii="Times New Roman" w:hAnsi="Times New Roman" w:eastAsia="仿宋_GB2312" w:cs="Times New Roman"/>
          <w:sz w:val="32"/>
          <w:szCs w:val="32"/>
          <w:shd w:val="clear"/>
          <w:lang w:val="en-US" w:eastAsia="zh-CN"/>
        </w:rPr>
        <w:t>网站公开信息监测，</w:t>
      </w:r>
      <w:r>
        <w:rPr>
          <w:rFonts w:hint="default" w:ascii="Times New Roman" w:hAnsi="Times New Roman" w:eastAsia="仿宋_GB2312" w:cs="Times New Roman"/>
          <w:sz w:val="32"/>
          <w:szCs w:val="32"/>
          <w:shd w:val="clear"/>
        </w:rPr>
        <w:t>严格落实人工检查、系统检查、单位自评自查、相互阅评检查相结合的“四位一体”常态化监测机制，严格监管</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开展</w:t>
      </w:r>
      <w:r>
        <w:rPr>
          <w:rFonts w:hint="default" w:ascii="Times New Roman" w:hAnsi="Times New Roman" w:eastAsia="仿宋_GB2312" w:cs="Times New Roman"/>
          <w:sz w:val="32"/>
          <w:szCs w:val="32"/>
          <w:shd w:val="clear"/>
          <w:lang w:val="en-US" w:eastAsia="zh-CN"/>
        </w:rPr>
        <w:t>评估评议，</w:t>
      </w:r>
      <w:r>
        <w:rPr>
          <w:rFonts w:hint="default" w:ascii="Times New Roman" w:hAnsi="Times New Roman" w:eastAsia="仿宋_GB2312" w:cs="Times New Roman"/>
          <w:sz w:val="32"/>
          <w:szCs w:val="32"/>
          <w:shd w:val="clear"/>
        </w:rPr>
        <w:t>督促问题整改</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lang w:val="en-US" w:eastAsia="zh-CN"/>
        </w:rPr>
        <w:t>将政务公开工作纳入全市绩效考核体系，及时组织开展全市政务公开及网站建设</w:t>
      </w:r>
      <w:r>
        <w:rPr>
          <w:rFonts w:hint="default" w:ascii="Times New Roman" w:hAnsi="Times New Roman" w:eastAsia="仿宋_GB2312" w:cs="Times New Roman"/>
          <w:sz w:val="32"/>
          <w:szCs w:val="32"/>
          <w:shd w:val="clear"/>
        </w:rPr>
        <w:t>第三方评估</w:t>
      </w:r>
      <w:r>
        <w:rPr>
          <w:rFonts w:hint="default" w:ascii="Times New Roman" w:hAnsi="Times New Roman" w:eastAsia="仿宋_GB2312" w:cs="Times New Roman"/>
          <w:sz w:val="32"/>
          <w:szCs w:val="32"/>
          <w:shd w:val="clear"/>
          <w:lang w:val="en-US" w:eastAsia="zh-CN"/>
        </w:rPr>
        <w:t>等</w:t>
      </w:r>
      <w:r>
        <w:rPr>
          <w:rFonts w:hint="default" w:ascii="Times New Roman" w:hAnsi="Times New Roman" w:eastAsia="仿宋_GB2312" w:cs="Times New Roman"/>
          <w:sz w:val="32"/>
          <w:szCs w:val="32"/>
          <w:shd w:val="clear"/>
        </w:rPr>
        <w:t>。</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黑体" w:cs="Times New Roman"/>
          <w:sz w:val="32"/>
          <w:szCs w:val="32"/>
          <w:shd w:val="clear"/>
        </w:rPr>
      </w:pPr>
      <w:r>
        <w:rPr>
          <w:rFonts w:hint="default" w:ascii="Times New Roman" w:hAnsi="Times New Roman" w:eastAsia="黑体" w:cs="Times New Roman"/>
          <w:sz w:val="32"/>
          <w:szCs w:val="32"/>
          <w:shd w:val="clear"/>
        </w:rPr>
        <w:t>二、主动公开政府信息情况</w:t>
      </w:r>
    </w:p>
    <w:tbl>
      <w:tblPr>
        <w:tblStyle w:val="14"/>
        <w:tblW w:w="872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
      <w:tblGrid>
        <w:gridCol w:w="2290"/>
        <w:gridCol w:w="2143"/>
        <w:gridCol w:w="2143"/>
        <w:gridCol w:w="214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8720" w:type="dxa"/>
            <w:gridSpan w:val="4"/>
            <w:tcBorders>
              <w:top w:val="single" w:color="auto" w:sz="6" w:space="0"/>
              <w:left w:val="single" w:color="auto" w:sz="6" w:space="0"/>
              <w:bottom w:val="single" w:color="auto" w:sz="6" w:space="0"/>
              <w:right w:val="single" w:color="auto" w:sz="6" w:space="0"/>
            </w:tcBorders>
            <w:shd w:val="clear" w:color="auto" w:fill="C6D9F1"/>
            <w:tcMar>
              <w:left w:w="60" w:type="dxa"/>
              <w:right w:w="60"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color w:val="000000"/>
                <w:sz w:val="21"/>
                <w:szCs w:val="21"/>
              </w:rPr>
              <w:t>第二十条第（一）项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2290" w:type="dxa"/>
            <w:tcBorders>
              <w:top w:val="nil"/>
              <w:left w:val="single" w:color="auto" w:sz="6" w:space="0"/>
              <w:bottom w:val="single" w:color="auto" w:sz="6" w:space="0"/>
              <w:right w:val="single" w:color="auto" w:sz="6" w:space="0"/>
            </w:tcBorders>
            <w:tcMar>
              <w:left w:w="60" w:type="dxa"/>
              <w:right w:w="60"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信息内容</w:t>
            </w:r>
          </w:p>
        </w:tc>
        <w:tc>
          <w:tcPr>
            <w:tcW w:w="2143" w:type="dxa"/>
            <w:tcBorders>
              <w:top w:val="single" w:color="auto" w:sz="6" w:space="0"/>
              <w:left w:val="nil"/>
              <w:bottom w:val="single" w:color="auto" w:sz="6" w:space="0"/>
              <w:right w:val="single" w:color="auto" w:sz="6" w:space="0"/>
            </w:tcBorders>
            <w:tcMar>
              <w:left w:w="60" w:type="dxa"/>
              <w:right w:w="60"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本年</w:t>
            </w:r>
            <w:r>
              <w:rPr>
                <w:rFonts w:hint="default" w:ascii="Times New Roman" w:hAnsi="Times New Roman" w:cs="Times New Roman" w:eastAsiaTheme="minorEastAsia"/>
                <w:sz w:val="21"/>
                <w:szCs w:val="21"/>
              </w:rPr>
              <w:t>制发件数</w:t>
            </w:r>
          </w:p>
        </w:tc>
        <w:tc>
          <w:tcPr>
            <w:tcW w:w="2143" w:type="dxa"/>
            <w:tcBorders>
              <w:top w:val="single" w:color="auto" w:sz="6" w:space="0"/>
              <w:left w:val="nil"/>
              <w:bottom w:val="single" w:color="auto" w:sz="6" w:space="0"/>
              <w:right w:val="single" w:color="auto" w:sz="6" w:space="0"/>
            </w:tcBorders>
            <w:tcMar>
              <w:left w:w="60" w:type="dxa"/>
              <w:right w:w="60"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本年废止件数</w:t>
            </w:r>
          </w:p>
        </w:tc>
        <w:tc>
          <w:tcPr>
            <w:tcW w:w="2144" w:type="dxa"/>
            <w:tcBorders>
              <w:top w:val="single" w:color="auto" w:sz="6" w:space="0"/>
              <w:left w:val="nil"/>
              <w:bottom w:val="single" w:color="auto" w:sz="6" w:space="0"/>
              <w:right w:val="single" w:color="auto" w:sz="6" w:space="0"/>
            </w:tcBorders>
            <w:tcMar>
              <w:left w:w="60" w:type="dxa"/>
              <w:right w:w="60"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现行有效件</w:t>
            </w:r>
            <w:r>
              <w:rPr>
                <w:rFonts w:hint="default" w:ascii="Times New Roman" w:hAnsi="Times New Roman" w:cs="Times New Roman" w:eastAsiaTheme="minorEastAsia"/>
                <w:sz w:val="21"/>
                <w:szCs w:val="21"/>
              </w:rPr>
              <w:t>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86" w:hRule="atLeast"/>
          <w:jc w:val="center"/>
        </w:trPr>
        <w:tc>
          <w:tcPr>
            <w:tcW w:w="2290" w:type="dxa"/>
            <w:tcBorders>
              <w:top w:val="nil"/>
              <w:left w:val="single" w:color="auto" w:sz="6" w:space="0"/>
              <w:bottom w:val="single" w:color="auto" w:sz="6" w:space="0"/>
              <w:right w:val="single" w:color="auto" w:sz="6" w:space="0"/>
            </w:tcBorders>
            <w:tcMar>
              <w:left w:w="60" w:type="dxa"/>
              <w:right w:w="60" w:type="dxa"/>
            </w:tcMar>
            <w:vAlign w:val="center"/>
          </w:tcPr>
          <w:p>
            <w:pPr>
              <w:pStyle w:val="13"/>
              <w:widowControl/>
              <w:spacing w:before="0" w:beforeAutospacing="0" w:after="0" w:afterAutospacing="0" w:line="30" w:lineRule="atLeas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规章</w:t>
            </w:r>
          </w:p>
        </w:tc>
        <w:tc>
          <w:tcPr>
            <w:tcW w:w="2143" w:type="dxa"/>
            <w:tcBorders>
              <w:top w:val="nil"/>
              <w:left w:val="nil"/>
              <w:bottom w:val="single" w:color="auto" w:sz="6" w:space="0"/>
              <w:right w:val="single" w:color="auto" w:sz="6" w:space="0"/>
            </w:tcBorders>
            <w:tcMar>
              <w:left w:w="60" w:type="dxa"/>
              <w:right w:w="60" w:type="dxa"/>
            </w:tcMar>
            <w:vAlign w:val="center"/>
          </w:tcPr>
          <w:p>
            <w:pPr>
              <w:spacing w:after="0" w:line="30" w:lineRule="atLeas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c>
          <w:tcPr>
            <w:tcW w:w="2143" w:type="dxa"/>
            <w:tcBorders>
              <w:top w:val="nil"/>
              <w:left w:val="nil"/>
              <w:bottom w:val="single" w:color="auto" w:sz="6" w:space="0"/>
              <w:right w:val="single" w:color="auto" w:sz="6" w:space="0"/>
            </w:tcBorders>
            <w:tcMar>
              <w:left w:w="60" w:type="dxa"/>
              <w:right w:w="60" w:type="dxa"/>
            </w:tcMar>
            <w:vAlign w:val="center"/>
          </w:tcPr>
          <w:p>
            <w:pPr>
              <w:spacing w:after="0" w:line="30" w:lineRule="atLeas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c>
          <w:tcPr>
            <w:tcW w:w="2144" w:type="dxa"/>
            <w:tcBorders>
              <w:top w:val="nil"/>
              <w:left w:val="nil"/>
              <w:bottom w:val="single" w:color="auto" w:sz="6" w:space="0"/>
              <w:right w:val="single" w:color="auto" w:sz="6" w:space="0"/>
            </w:tcBorders>
            <w:tcMar>
              <w:left w:w="60" w:type="dxa"/>
              <w:right w:w="60" w:type="dxa"/>
            </w:tcMar>
            <w:vAlign w:val="center"/>
          </w:tcPr>
          <w:p>
            <w:pPr>
              <w:spacing w:after="0" w:line="30" w:lineRule="atLeas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2290" w:type="dxa"/>
            <w:tcBorders>
              <w:top w:val="nil"/>
              <w:left w:val="single" w:color="auto" w:sz="6" w:space="0"/>
              <w:bottom w:val="single" w:color="auto" w:sz="6" w:space="0"/>
              <w:right w:val="single" w:color="auto" w:sz="6" w:space="0"/>
            </w:tcBorders>
            <w:tcMar>
              <w:left w:w="60" w:type="dxa"/>
              <w:right w:w="60" w:type="dxa"/>
            </w:tcMar>
            <w:vAlign w:val="center"/>
          </w:tcPr>
          <w:p>
            <w:pPr>
              <w:pStyle w:val="13"/>
              <w:widowControl/>
              <w:spacing w:before="0" w:beforeAutospacing="0" w:after="0" w:afterAutospacing="0" w:line="30" w:lineRule="atLeas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行政规范性文件</w:t>
            </w:r>
          </w:p>
        </w:tc>
        <w:tc>
          <w:tcPr>
            <w:tcW w:w="2143" w:type="dxa"/>
            <w:tcBorders>
              <w:top w:val="nil"/>
              <w:left w:val="nil"/>
              <w:bottom w:val="single" w:color="auto" w:sz="6" w:space="0"/>
              <w:right w:val="single" w:color="auto" w:sz="6" w:space="0"/>
            </w:tcBorders>
            <w:tcMar>
              <w:left w:w="60" w:type="dxa"/>
              <w:right w:w="60" w:type="dxa"/>
            </w:tcMar>
            <w:vAlign w:val="center"/>
          </w:tcPr>
          <w:p>
            <w:pPr>
              <w:spacing w:after="0" w:line="30" w:lineRule="atLeas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81</w:t>
            </w:r>
          </w:p>
        </w:tc>
        <w:tc>
          <w:tcPr>
            <w:tcW w:w="2143" w:type="dxa"/>
            <w:tcBorders>
              <w:top w:val="nil"/>
              <w:left w:val="nil"/>
              <w:bottom w:val="single" w:color="auto" w:sz="6" w:space="0"/>
              <w:right w:val="single" w:color="auto" w:sz="6" w:space="0"/>
            </w:tcBorders>
            <w:tcMar>
              <w:left w:w="60" w:type="dxa"/>
              <w:right w:w="60" w:type="dxa"/>
            </w:tcMar>
            <w:vAlign w:val="center"/>
          </w:tcPr>
          <w:p>
            <w:pPr>
              <w:spacing w:after="0" w:line="30" w:lineRule="atLeas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2144" w:type="dxa"/>
            <w:tcBorders>
              <w:top w:val="nil"/>
              <w:left w:val="nil"/>
              <w:bottom w:val="single" w:color="auto" w:sz="6" w:space="0"/>
              <w:right w:val="single" w:color="auto" w:sz="6" w:space="0"/>
            </w:tcBorders>
            <w:tcMar>
              <w:left w:w="60" w:type="dxa"/>
              <w:right w:w="60" w:type="dxa"/>
            </w:tcMar>
            <w:vAlign w:val="center"/>
          </w:tcPr>
          <w:p>
            <w:pPr>
              <w:spacing w:after="0" w:line="30" w:lineRule="atLeas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278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86" w:hRule="atLeast"/>
          <w:jc w:val="center"/>
        </w:trPr>
        <w:tc>
          <w:tcPr>
            <w:tcW w:w="8720"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86" w:hRule="atLeast"/>
          <w:jc w:val="center"/>
        </w:trPr>
        <w:tc>
          <w:tcPr>
            <w:tcW w:w="2290" w:type="dxa"/>
            <w:tcBorders>
              <w:top w:val="nil"/>
              <w:left w:val="single" w:color="auto" w:sz="6" w:space="0"/>
              <w:bottom w:val="single" w:color="auto" w:sz="6" w:space="0"/>
              <w:right w:val="single" w:color="auto" w:sz="6" w:space="0"/>
            </w:tcBorders>
            <w:tcMar>
              <w:left w:w="60" w:type="dxa"/>
              <w:right w:w="60"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信息内容</w:t>
            </w:r>
          </w:p>
        </w:tc>
        <w:tc>
          <w:tcPr>
            <w:tcW w:w="6430" w:type="dxa"/>
            <w:gridSpan w:val="3"/>
            <w:tcBorders>
              <w:top w:val="nil"/>
              <w:left w:val="nil"/>
              <w:bottom w:val="single" w:color="auto" w:sz="6" w:space="0"/>
              <w:right w:val="single" w:color="auto" w:sz="6" w:space="0"/>
            </w:tcBorders>
            <w:tcMar>
              <w:left w:w="60" w:type="dxa"/>
              <w:right w:w="60"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2290" w:type="dxa"/>
            <w:tcBorders>
              <w:top w:val="nil"/>
              <w:left w:val="single" w:color="auto" w:sz="6" w:space="0"/>
              <w:bottom w:val="single" w:color="auto" w:sz="6" w:space="0"/>
              <w:right w:val="single" w:color="auto" w:sz="6" w:space="0"/>
            </w:tcBorders>
            <w:tcMar>
              <w:left w:w="60" w:type="dxa"/>
              <w:right w:w="60" w:type="dxa"/>
            </w:tcMar>
            <w:vAlign w:val="center"/>
          </w:tcPr>
          <w:p>
            <w:pPr>
              <w:pStyle w:val="13"/>
              <w:widowControl/>
              <w:spacing w:before="0" w:beforeAutospacing="0" w:after="0" w:afterAutospacing="0" w:line="30" w:lineRule="atLeas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行政许可</w:t>
            </w:r>
          </w:p>
        </w:tc>
        <w:tc>
          <w:tcPr>
            <w:tcW w:w="6430" w:type="dxa"/>
            <w:gridSpan w:val="3"/>
            <w:tcBorders>
              <w:top w:val="nil"/>
              <w:left w:val="nil"/>
              <w:bottom w:val="single" w:color="auto" w:sz="6" w:space="0"/>
              <w:right w:val="single" w:color="auto" w:sz="6" w:space="0"/>
            </w:tcBorders>
            <w:tcMar>
              <w:left w:w="60" w:type="dxa"/>
              <w:right w:w="60"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86" w:hRule="atLeast"/>
          <w:jc w:val="center"/>
        </w:trPr>
        <w:tc>
          <w:tcPr>
            <w:tcW w:w="8720"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第二十条第（六）项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86" w:hRule="atLeast"/>
          <w:jc w:val="center"/>
        </w:trPr>
        <w:tc>
          <w:tcPr>
            <w:tcW w:w="2290" w:type="dxa"/>
            <w:tcBorders>
              <w:top w:val="single" w:color="auto" w:sz="6" w:space="0"/>
              <w:left w:val="single" w:color="auto" w:sz="6" w:space="0"/>
              <w:bottom w:val="single" w:color="auto" w:sz="6" w:space="0"/>
              <w:right w:val="single" w:color="auto" w:sz="6" w:space="0"/>
            </w:tcBorders>
            <w:tcMar>
              <w:left w:w="60" w:type="dxa"/>
              <w:right w:w="60"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信息内容</w:t>
            </w:r>
          </w:p>
        </w:tc>
        <w:tc>
          <w:tcPr>
            <w:tcW w:w="6430" w:type="dxa"/>
            <w:gridSpan w:val="3"/>
            <w:tcBorders>
              <w:top w:val="single" w:color="auto" w:sz="6" w:space="0"/>
              <w:left w:val="single" w:color="auto" w:sz="6" w:space="0"/>
              <w:bottom w:val="single" w:color="auto" w:sz="6" w:space="0"/>
              <w:right w:val="single" w:color="auto" w:sz="6" w:space="0"/>
            </w:tcBorders>
            <w:tcMar>
              <w:left w:w="60" w:type="dxa"/>
              <w:right w:w="60"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2290" w:type="dxa"/>
            <w:tcBorders>
              <w:top w:val="single" w:color="auto" w:sz="6" w:space="0"/>
              <w:left w:val="single" w:color="auto" w:sz="6" w:space="0"/>
              <w:bottom w:val="single" w:color="auto" w:sz="6" w:space="0"/>
              <w:right w:val="single" w:color="auto" w:sz="6" w:space="0"/>
            </w:tcBorders>
            <w:tcMar>
              <w:left w:w="60" w:type="dxa"/>
              <w:right w:w="60" w:type="dxa"/>
            </w:tcMar>
            <w:vAlign w:val="center"/>
          </w:tcPr>
          <w:p>
            <w:pPr>
              <w:pStyle w:val="13"/>
              <w:widowControl/>
              <w:spacing w:before="0" w:beforeAutospacing="0" w:after="0" w:afterAutospacing="0" w:line="30" w:lineRule="atLeas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行政处罚</w:t>
            </w:r>
          </w:p>
        </w:tc>
        <w:tc>
          <w:tcPr>
            <w:tcW w:w="6430" w:type="dxa"/>
            <w:gridSpan w:val="3"/>
            <w:tcBorders>
              <w:top w:val="single" w:color="auto" w:sz="6" w:space="0"/>
              <w:left w:val="nil"/>
              <w:bottom w:val="single" w:color="auto" w:sz="6" w:space="0"/>
              <w:right w:val="single" w:color="auto" w:sz="6" w:space="0"/>
            </w:tcBorders>
            <w:tcMar>
              <w:left w:w="60" w:type="dxa"/>
              <w:right w:w="60"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86" w:hRule="atLeast"/>
          <w:jc w:val="center"/>
        </w:trPr>
        <w:tc>
          <w:tcPr>
            <w:tcW w:w="2290" w:type="dxa"/>
            <w:tcBorders>
              <w:top w:val="nil"/>
              <w:left w:val="single" w:color="auto" w:sz="6" w:space="0"/>
              <w:bottom w:val="single" w:color="auto" w:sz="6" w:space="0"/>
              <w:right w:val="single" w:color="auto" w:sz="6" w:space="0"/>
            </w:tcBorders>
            <w:tcMar>
              <w:left w:w="60" w:type="dxa"/>
              <w:right w:w="60" w:type="dxa"/>
            </w:tcMar>
            <w:vAlign w:val="center"/>
          </w:tcPr>
          <w:p>
            <w:pPr>
              <w:pStyle w:val="13"/>
              <w:widowControl/>
              <w:spacing w:before="0" w:beforeAutospacing="0" w:after="0" w:afterAutospacing="0" w:line="30" w:lineRule="atLeas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行政强制</w:t>
            </w:r>
          </w:p>
        </w:tc>
        <w:tc>
          <w:tcPr>
            <w:tcW w:w="6430" w:type="dxa"/>
            <w:gridSpan w:val="3"/>
            <w:tcBorders>
              <w:top w:val="nil"/>
              <w:left w:val="nil"/>
              <w:bottom w:val="single" w:color="auto" w:sz="6" w:space="0"/>
              <w:right w:val="single" w:color="auto" w:sz="6" w:space="0"/>
            </w:tcBorders>
            <w:tcMar>
              <w:left w:w="60" w:type="dxa"/>
              <w:right w:w="60"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8720"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2290" w:type="dxa"/>
            <w:tcBorders>
              <w:top w:val="nil"/>
              <w:left w:val="single" w:color="auto" w:sz="6" w:space="0"/>
              <w:bottom w:val="single" w:color="auto" w:sz="6" w:space="0"/>
              <w:right w:val="single" w:color="auto" w:sz="6" w:space="0"/>
            </w:tcBorders>
            <w:tcMar>
              <w:left w:w="60" w:type="dxa"/>
              <w:right w:w="60"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信息内容</w:t>
            </w:r>
          </w:p>
        </w:tc>
        <w:tc>
          <w:tcPr>
            <w:tcW w:w="6430" w:type="dxa"/>
            <w:gridSpan w:val="3"/>
            <w:tcBorders>
              <w:top w:val="nil"/>
              <w:left w:val="nil"/>
              <w:bottom w:val="single" w:color="auto" w:sz="6" w:space="0"/>
              <w:right w:val="single" w:color="000000" w:sz="6" w:space="0"/>
            </w:tcBorders>
            <w:tcMar>
              <w:left w:w="60" w:type="dxa"/>
              <w:right w:w="60"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本年收费金额（单位：万元）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86" w:hRule="atLeast"/>
          <w:jc w:val="center"/>
        </w:trPr>
        <w:tc>
          <w:tcPr>
            <w:tcW w:w="2290" w:type="dxa"/>
            <w:tcBorders>
              <w:top w:val="nil"/>
              <w:left w:val="single" w:color="auto" w:sz="6" w:space="0"/>
              <w:bottom w:val="single" w:color="auto" w:sz="6" w:space="0"/>
              <w:right w:val="single" w:color="auto" w:sz="6" w:space="0"/>
            </w:tcBorders>
            <w:tcMar>
              <w:left w:w="60" w:type="dxa"/>
              <w:right w:w="60" w:type="dxa"/>
            </w:tcMar>
            <w:vAlign w:val="center"/>
          </w:tcPr>
          <w:p>
            <w:pPr>
              <w:pStyle w:val="13"/>
              <w:widowControl/>
              <w:spacing w:before="0" w:beforeAutospacing="0" w:after="0" w:afterAutospacing="0" w:line="30" w:lineRule="atLeast"/>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行政事业性收费</w:t>
            </w:r>
          </w:p>
        </w:tc>
        <w:tc>
          <w:tcPr>
            <w:tcW w:w="6430" w:type="dxa"/>
            <w:gridSpan w:val="3"/>
            <w:tcBorders>
              <w:top w:val="nil"/>
              <w:left w:val="nil"/>
              <w:bottom w:val="single" w:color="auto" w:sz="6" w:space="0"/>
              <w:right w:val="single" w:color="000000" w:sz="6" w:space="0"/>
            </w:tcBorders>
            <w:tcMar>
              <w:left w:w="60" w:type="dxa"/>
              <w:right w:w="60"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bl>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黑体" w:cs="Times New Roman"/>
          <w:sz w:val="32"/>
          <w:szCs w:val="32"/>
          <w:shd w:val="clear"/>
        </w:rPr>
      </w:pPr>
      <w:r>
        <w:rPr>
          <w:rFonts w:hint="default" w:ascii="Times New Roman" w:hAnsi="Times New Roman" w:eastAsia="黑体" w:cs="Times New Roman"/>
          <w:sz w:val="32"/>
          <w:szCs w:val="32"/>
          <w:shd w:val="clear"/>
        </w:rPr>
        <w:t>三、收到和处理政府信息公开申请情况</w:t>
      </w:r>
    </w:p>
    <w:tbl>
      <w:tblPr>
        <w:tblStyle w:val="14"/>
        <w:tblW w:w="8763"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
      <w:tblGrid>
        <w:gridCol w:w="627"/>
        <w:gridCol w:w="681"/>
        <w:gridCol w:w="3192"/>
        <w:gridCol w:w="731"/>
        <w:gridCol w:w="487"/>
        <w:gridCol w:w="609"/>
        <w:gridCol w:w="727"/>
        <w:gridCol w:w="715"/>
        <w:gridCol w:w="485"/>
        <w:gridCol w:w="50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tblHeader/>
          <w:jc w:val="center"/>
        </w:trPr>
        <w:tc>
          <w:tcPr>
            <w:tcW w:w="4500" w:type="dxa"/>
            <w:gridSpan w:val="3"/>
            <w:vMerge w:val="restart"/>
            <w:tcBorders>
              <w:top w:val="single" w:color="auto" w:sz="6" w:space="0"/>
              <w:left w:val="single" w:color="auto" w:sz="6" w:space="0"/>
              <w:bottom w:val="outset"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both"/>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（本列数据的勾稽关系为：第一项加第二项之和，等于第三项加第四项之和）</w:t>
            </w:r>
          </w:p>
        </w:tc>
        <w:tc>
          <w:tcPr>
            <w:tcW w:w="4263" w:type="dxa"/>
            <w:gridSpan w:val="7"/>
            <w:tcBorders>
              <w:top w:val="single" w:color="auto" w:sz="6" w:space="0"/>
              <w:left w:val="nil"/>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tblHeader/>
          <w:jc w:val="center"/>
        </w:trPr>
        <w:tc>
          <w:tcPr>
            <w:tcW w:w="4500" w:type="dxa"/>
            <w:gridSpan w:val="3"/>
            <w:vMerge w:val="continue"/>
            <w:tcBorders>
              <w:top w:val="single" w:color="auto" w:sz="6" w:space="0"/>
              <w:left w:val="single" w:color="auto" w:sz="6" w:space="0"/>
              <w:bottom w:val="outset" w:color="auto" w:sz="6" w:space="0"/>
              <w:right w:val="single" w:color="auto" w:sz="6" w:space="0"/>
            </w:tcBorders>
            <w:tcMar>
              <w:left w:w="28" w:type="dxa"/>
              <w:right w:w="28" w:type="dxa"/>
            </w:tcMar>
            <w:vAlign w:val="center"/>
          </w:tcPr>
          <w:p>
            <w:pPr>
              <w:jc w:val="both"/>
              <w:rPr>
                <w:rFonts w:hint="default" w:ascii="Times New Roman" w:hAnsi="Times New Roman" w:eastAsia="黑体" w:cs="Times New Roman"/>
                <w:sz w:val="21"/>
                <w:szCs w:val="21"/>
              </w:rPr>
            </w:pPr>
          </w:p>
        </w:tc>
        <w:tc>
          <w:tcPr>
            <w:tcW w:w="731" w:type="dxa"/>
            <w:vMerge w:val="restart"/>
            <w:tcBorders>
              <w:top w:val="nil"/>
              <w:left w:val="nil"/>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自然人</w:t>
            </w:r>
          </w:p>
        </w:tc>
        <w:tc>
          <w:tcPr>
            <w:tcW w:w="3023" w:type="dxa"/>
            <w:gridSpan w:val="5"/>
            <w:tcBorders>
              <w:top w:val="single" w:color="auto" w:sz="6" w:space="0"/>
              <w:left w:val="nil"/>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法人或其他组织</w:t>
            </w:r>
          </w:p>
        </w:tc>
        <w:tc>
          <w:tcPr>
            <w:tcW w:w="509" w:type="dxa"/>
            <w:vMerge w:val="restart"/>
            <w:tcBorders>
              <w:top w:val="single" w:color="auto" w:sz="6" w:space="0"/>
              <w:left w:val="nil"/>
              <w:bottom w:val="outset"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tblHeader/>
          <w:jc w:val="center"/>
        </w:trPr>
        <w:tc>
          <w:tcPr>
            <w:tcW w:w="4500" w:type="dxa"/>
            <w:gridSpan w:val="3"/>
            <w:vMerge w:val="continue"/>
            <w:tcBorders>
              <w:top w:val="single" w:color="auto" w:sz="6" w:space="0"/>
              <w:left w:val="single" w:color="auto" w:sz="6" w:space="0"/>
              <w:bottom w:val="outset" w:color="auto" w:sz="6" w:space="0"/>
              <w:right w:val="single" w:color="auto" w:sz="6" w:space="0"/>
            </w:tcBorders>
            <w:tcMar>
              <w:left w:w="28" w:type="dxa"/>
              <w:right w:w="28" w:type="dxa"/>
            </w:tcMar>
            <w:vAlign w:val="center"/>
          </w:tcPr>
          <w:p>
            <w:pPr>
              <w:jc w:val="both"/>
              <w:rPr>
                <w:rFonts w:hint="default" w:ascii="Times New Roman" w:hAnsi="Times New Roman" w:eastAsia="黑体" w:cs="Times New Roman"/>
                <w:sz w:val="21"/>
                <w:szCs w:val="21"/>
              </w:rPr>
            </w:pPr>
          </w:p>
        </w:tc>
        <w:tc>
          <w:tcPr>
            <w:tcW w:w="731" w:type="dxa"/>
            <w:vMerge w:val="continue"/>
            <w:tcBorders>
              <w:top w:val="nil"/>
              <w:left w:val="nil"/>
              <w:bottom w:val="single" w:color="auto" w:sz="6" w:space="0"/>
              <w:right w:val="single" w:color="auto" w:sz="6" w:space="0"/>
            </w:tcBorders>
            <w:tcMar>
              <w:left w:w="28" w:type="dxa"/>
              <w:right w:w="28" w:type="dxa"/>
            </w:tcMar>
            <w:vAlign w:val="center"/>
          </w:tcPr>
          <w:p>
            <w:pPr>
              <w:jc w:val="center"/>
              <w:rPr>
                <w:rFonts w:hint="default" w:ascii="Times New Roman" w:hAnsi="Times New Roman" w:eastAsia="黑体" w:cs="Times New Roman"/>
                <w:sz w:val="21"/>
                <w:szCs w:val="21"/>
              </w:rPr>
            </w:pPr>
          </w:p>
        </w:tc>
        <w:tc>
          <w:tcPr>
            <w:tcW w:w="487" w:type="dxa"/>
            <w:tcBorders>
              <w:top w:val="nil"/>
              <w:left w:val="nil"/>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商业</w:t>
            </w:r>
          </w:p>
          <w:p>
            <w:pPr>
              <w:pStyle w:val="13"/>
              <w:widowControl/>
              <w:spacing w:before="0" w:beforeAutospacing="0" w:after="0" w:afterAutospacing="0" w:line="3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企业</w:t>
            </w:r>
          </w:p>
        </w:tc>
        <w:tc>
          <w:tcPr>
            <w:tcW w:w="609" w:type="dxa"/>
            <w:tcBorders>
              <w:top w:val="nil"/>
              <w:left w:val="nil"/>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科研</w:t>
            </w:r>
          </w:p>
          <w:p>
            <w:pPr>
              <w:pStyle w:val="13"/>
              <w:widowControl/>
              <w:spacing w:before="0" w:beforeAutospacing="0" w:after="0" w:afterAutospacing="0" w:line="3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机构</w:t>
            </w:r>
          </w:p>
        </w:tc>
        <w:tc>
          <w:tcPr>
            <w:tcW w:w="727" w:type="dxa"/>
            <w:tcBorders>
              <w:top w:val="single" w:color="auto" w:sz="6" w:space="0"/>
              <w:left w:val="nil"/>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社会公益组织</w:t>
            </w:r>
          </w:p>
        </w:tc>
        <w:tc>
          <w:tcPr>
            <w:tcW w:w="715" w:type="dxa"/>
            <w:tcBorders>
              <w:top w:val="single" w:color="auto" w:sz="6" w:space="0"/>
              <w:left w:val="nil"/>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法律服务机构</w:t>
            </w:r>
          </w:p>
        </w:tc>
        <w:tc>
          <w:tcPr>
            <w:tcW w:w="485" w:type="dxa"/>
            <w:tcBorders>
              <w:top w:val="single" w:color="auto" w:sz="6" w:space="0"/>
              <w:left w:val="nil"/>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其他</w:t>
            </w:r>
          </w:p>
        </w:tc>
        <w:tc>
          <w:tcPr>
            <w:tcW w:w="509" w:type="dxa"/>
            <w:vMerge w:val="continue"/>
            <w:tcBorders>
              <w:top w:val="single" w:color="auto" w:sz="6" w:space="0"/>
              <w:left w:val="nil"/>
              <w:bottom w:val="outset" w:color="auto" w:sz="6" w:space="0"/>
              <w:right w:val="single" w:color="auto" w:sz="6" w:space="0"/>
            </w:tcBorders>
            <w:tcMar>
              <w:left w:w="28" w:type="dxa"/>
              <w:right w:w="28" w:type="dxa"/>
            </w:tcMar>
            <w:vAlign w:val="center"/>
          </w:tcPr>
          <w:p>
            <w:pPr>
              <w:jc w:val="center"/>
              <w:rPr>
                <w:rFonts w:hint="default" w:ascii="Times New Roman" w:hAnsi="Times New Roman" w:eastAsia="黑体" w:cs="Times New Roman"/>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4500" w:type="dxa"/>
            <w:gridSpan w:val="3"/>
            <w:tcBorders>
              <w:top w:val="nil"/>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一、本年新收政府信息公开申请数量</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161</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163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4500" w:type="dxa"/>
            <w:gridSpan w:val="3"/>
            <w:tcBorders>
              <w:top w:val="nil"/>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二、上年结转政府信息公开申请数量</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46</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627" w:type="dxa"/>
            <w:vMerge w:val="restart"/>
            <w:tcBorders>
              <w:top w:val="single" w:color="auto" w:sz="6" w:space="0"/>
              <w:left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三、本年度办理结果</w:t>
            </w:r>
          </w:p>
        </w:tc>
        <w:tc>
          <w:tcPr>
            <w:tcW w:w="3873" w:type="dxa"/>
            <w:gridSpan w:val="2"/>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（一）予以公开</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13</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single" w:color="auto" w:sz="6" w:space="0"/>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3873" w:type="dxa"/>
            <w:gridSpan w:val="2"/>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（二）部分公开（区分处理的，只计这一情形，不计其他情形）</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restart"/>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（三）不予公开</w:t>
            </w: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1.属于国家秘密</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single" w:color="auto" w:sz="6" w:space="0"/>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2.其他法律行政法规禁止公开</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3.危及“三安全一稳定”</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4.保护第三方合法权益</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5.属于三类内部事务信息</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6.属于四类过程性信息</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7.属于行政执法案卷</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627" w:type="dxa"/>
            <w:vMerge w:val="continue"/>
            <w:tcBorders>
              <w:left w:val="single" w:color="auto" w:sz="6" w:space="0"/>
              <w:bottom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8.属于行政查询事项</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627" w:type="dxa"/>
            <w:vMerge w:val="restart"/>
            <w:tcBorders>
              <w:top w:val="single" w:color="auto" w:sz="6" w:space="0"/>
              <w:left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三、本年度办理结果</w:t>
            </w:r>
          </w:p>
        </w:tc>
        <w:tc>
          <w:tcPr>
            <w:tcW w:w="681" w:type="dxa"/>
            <w:vMerge w:val="restart"/>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（四）无法提供</w:t>
            </w: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1.本机关不掌握相关政府信息</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167</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168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2.没有现成信息需要另行制作</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3.补正后申请内容仍不明确</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restart"/>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（五）不予处理</w:t>
            </w: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1.信访举报投诉类申请</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2.重复申请</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3.要求提供公开出版物</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4.无正当理由大量反复申请</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center"/>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5.要求行政机关确认或重新出具已获取信息</w:t>
            </w:r>
          </w:p>
        </w:tc>
        <w:tc>
          <w:tcPr>
            <w:tcW w:w="731" w:type="dxa"/>
            <w:tcBorders>
              <w:top w:val="nil"/>
              <w:left w:val="nil"/>
              <w:bottom w:val="outset"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7" w:type="dxa"/>
            <w:tcBorders>
              <w:top w:val="nil"/>
              <w:left w:val="nil"/>
              <w:bottom w:val="outset"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outset"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outset"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outset"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outset"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outset"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restart"/>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（六）其他处理</w:t>
            </w: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1.申请人无正当理由逾期不补正、行政机关不再处理其政府信息公开申请</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3192"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2.申请人逾期未按收费通知要求缴纳费用、行政机关不再处理其政府信息公开申请</w:t>
            </w:r>
          </w:p>
        </w:tc>
        <w:tc>
          <w:tcPr>
            <w:tcW w:w="731"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7"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627" w:type="dxa"/>
            <w:vMerge w:val="continue"/>
            <w:tcBorders>
              <w:left w:val="single"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681" w:type="dxa"/>
            <w:vMerge w:val="continue"/>
            <w:tcBorders>
              <w:top w:val="single" w:color="auto" w:sz="6" w:space="0"/>
              <w:left w:val="nil"/>
              <w:bottom w:val="outset"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3192" w:type="dxa"/>
            <w:tcBorders>
              <w:top w:val="single" w:color="auto" w:sz="6" w:space="0"/>
              <w:left w:val="nil"/>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3.其他</w:t>
            </w:r>
          </w:p>
        </w:tc>
        <w:tc>
          <w:tcPr>
            <w:tcW w:w="731" w:type="dxa"/>
            <w:tcBorders>
              <w:top w:val="single" w:color="auto" w:sz="6" w:space="0"/>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3</w:t>
            </w:r>
          </w:p>
        </w:tc>
        <w:tc>
          <w:tcPr>
            <w:tcW w:w="487" w:type="dxa"/>
            <w:tcBorders>
              <w:top w:val="single" w:color="auto" w:sz="6" w:space="0"/>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single" w:color="auto" w:sz="6" w:space="0"/>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single" w:color="auto" w:sz="6" w:space="0"/>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single" w:color="auto" w:sz="6" w:space="0"/>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single" w:color="auto" w:sz="6" w:space="0"/>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single" w:color="auto" w:sz="6" w:space="0"/>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627" w:type="dxa"/>
            <w:vMerge w:val="continue"/>
            <w:tcBorders>
              <w:left w:val="single" w:color="auto" w:sz="6" w:space="0"/>
              <w:bottom w:val="outset" w:color="auto" w:sz="6" w:space="0"/>
              <w:right w:val="single" w:color="auto" w:sz="6" w:space="0"/>
            </w:tcBorders>
            <w:tcMar>
              <w:left w:w="28" w:type="dxa"/>
              <w:right w:w="28" w:type="dxa"/>
            </w:tcMar>
            <w:vAlign w:val="center"/>
          </w:tcPr>
          <w:p>
            <w:pPr>
              <w:jc w:val="both"/>
              <w:rPr>
                <w:rFonts w:hint="default" w:ascii="Times New Roman" w:hAnsi="Times New Roman" w:cs="Times New Roman" w:eastAsiaTheme="minorEastAsia"/>
                <w:sz w:val="21"/>
                <w:szCs w:val="21"/>
              </w:rPr>
            </w:pPr>
          </w:p>
        </w:tc>
        <w:tc>
          <w:tcPr>
            <w:tcW w:w="3873" w:type="dxa"/>
            <w:gridSpan w:val="2"/>
            <w:tcBorders>
              <w:top w:val="nil"/>
              <w:left w:val="nil"/>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（七）总计</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206</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4500" w:type="dxa"/>
            <w:gridSpan w:val="3"/>
            <w:tcBorders>
              <w:top w:val="nil"/>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both"/>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四、结转下年度继续办理</w:t>
            </w:r>
          </w:p>
        </w:tc>
        <w:tc>
          <w:tcPr>
            <w:tcW w:w="731"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48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6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27"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71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485"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p>
        </w:tc>
        <w:tc>
          <w:tcPr>
            <w:tcW w:w="509" w:type="dxa"/>
            <w:tcBorders>
              <w:top w:val="nil"/>
              <w:left w:val="nil"/>
              <w:bottom w:val="single" w:color="auto" w:sz="6" w:space="0"/>
              <w:right w:val="single" w:color="auto" w:sz="6" w:space="0"/>
            </w:tcBorders>
            <w:tcMar>
              <w:left w:w="28" w:type="dxa"/>
              <w:right w:w="28" w:type="dxa"/>
            </w:tcMar>
            <w:vAlign w:val="center"/>
          </w:tcPr>
          <w:p>
            <w:pPr>
              <w:spacing w:after="0" w:line="30" w:lineRule="atLeas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r>
    </w:tbl>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黑体" w:cs="Times New Roman"/>
          <w:sz w:val="32"/>
          <w:szCs w:val="32"/>
          <w:shd w:val="clear"/>
        </w:rPr>
      </w:pPr>
      <w:r>
        <w:rPr>
          <w:rFonts w:hint="default" w:ascii="Times New Roman" w:hAnsi="Times New Roman" w:eastAsia="黑体" w:cs="Times New Roman"/>
          <w:sz w:val="32"/>
          <w:szCs w:val="32"/>
          <w:shd w:val="clear"/>
        </w:rPr>
        <w:t>四、政府信息公开行政复议、行政诉讼情况</w:t>
      </w:r>
    </w:p>
    <w:tbl>
      <w:tblPr>
        <w:tblStyle w:val="14"/>
        <w:tblW w:w="8822"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
      <w:tblGrid>
        <w:gridCol w:w="526"/>
        <w:gridCol w:w="526"/>
        <w:gridCol w:w="526"/>
        <w:gridCol w:w="526"/>
        <w:gridCol w:w="528"/>
        <w:gridCol w:w="619"/>
        <w:gridCol w:w="619"/>
        <w:gridCol w:w="619"/>
        <w:gridCol w:w="619"/>
        <w:gridCol w:w="619"/>
        <w:gridCol w:w="619"/>
        <w:gridCol w:w="619"/>
        <w:gridCol w:w="619"/>
        <w:gridCol w:w="619"/>
        <w:gridCol w:w="61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2632" w:type="dxa"/>
            <w:gridSpan w:val="5"/>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行政复议</w:t>
            </w:r>
          </w:p>
        </w:tc>
        <w:tc>
          <w:tcPr>
            <w:tcW w:w="6190" w:type="dxa"/>
            <w:gridSpan w:val="10"/>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526" w:type="dxa"/>
            <w:vMerge w:val="restart"/>
            <w:tcBorders>
              <w:top w:val="nil"/>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结果维持</w:t>
            </w:r>
          </w:p>
        </w:tc>
        <w:tc>
          <w:tcPr>
            <w:tcW w:w="526" w:type="dxa"/>
            <w:vMerge w:val="restart"/>
            <w:tcBorders>
              <w:top w:val="nil"/>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eastAsia" w:ascii="黑体" w:hAnsi="黑体" w:eastAsia="黑体" w:cs="黑体"/>
                <w:sz w:val="18"/>
                <w:szCs w:val="18"/>
                <w:lang w:eastAsia="zh-CN"/>
              </w:rPr>
            </w:pPr>
            <w:r>
              <w:rPr>
                <w:rFonts w:hint="eastAsia" w:ascii="黑体" w:hAnsi="黑体" w:eastAsia="黑体" w:cs="黑体"/>
                <w:sz w:val="18"/>
                <w:szCs w:val="18"/>
              </w:rPr>
              <w:t>结果</w:t>
            </w:r>
          </w:p>
          <w:p>
            <w:pPr>
              <w:pStyle w:val="13"/>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纠正</w:t>
            </w:r>
          </w:p>
        </w:tc>
        <w:tc>
          <w:tcPr>
            <w:tcW w:w="526" w:type="dxa"/>
            <w:vMerge w:val="restart"/>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eastAsia" w:ascii="黑体" w:hAnsi="黑体" w:eastAsia="黑体" w:cs="黑体"/>
                <w:sz w:val="18"/>
                <w:szCs w:val="18"/>
                <w:lang w:eastAsia="zh-CN"/>
              </w:rPr>
            </w:pPr>
            <w:r>
              <w:rPr>
                <w:rFonts w:hint="eastAsia" w:ascii="黑体" w:hAnsi="黑体" w:eastAsia="黑体" w:cs="黑体"/>
                <w:sz w:val="18"/>
                <w:szCs w:val="18"/>
              </w:rPr>
              <w:t>其他</w:t>
            </w:r>
          </w:p>
          <w:p>
            <w:pPr>
              <w:pStyle w:val="13"/>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结果</w:t>
            </w:r>
          </w:p>
        </w:tc>
        <w:tc>
          <w:tcPr>
            <w:tcW w:w="526" w:type="dxa"/>
            <w:vMerge w:val="restart"/>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eastAsia" w:ascii="黑体" w:hAnsi="黑体" w:eastAsia="黑体" w:cs="黑体"/>
                <w:sz w:val="18"/>
                <w:szCs w:val="18"/>
                <w:lang w:eastAsia="zh-CN"/>
              </w:rPr>
            </w:pPr>
            <w:r>
              <w:rPr>
                <w:rFonts w:hint="eastAsia" w:ascii="黑体" w:hAnsi="黑体" w:eastAsia="黑体" w:cs="黑体"/>
                <w:sz w:val="18"/>
                <w:szCs w:val="18"/>
              </w:rPr>
              <w:t>尚未</w:t>
            </w:r>
          </w:p>
          <w:p>
            <w:pPr>
              <w:pStyle w:val="13"/>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审结</w:t>
            </w:r>
          </w:p>
        </w:tc>
        <w:tc>
          <w:tcPr>
            <w:tcW w:w="528" w:type="dxa"/>
            <w:vMerge w:val="restart"/>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总计</w:t>
            </w:r>
          </w:p>
        </w:tc>
        <w:tc>
          <w:tcPr>
            <w:tcW w:w="3095" w:type="dxa"/>
            <w:gridSpan w:val="5"/>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未经复议直接起诉</w:t>
            </w:r>
          </w:p>
        </w:tc>
        <w:tc>
          <w:tcPr>
            <w:tcW w:w="3095" w:type="dxa"/>
            <w:gridSpan w:val="5"/>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复议后起诉</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561" w:hRule="atLeast"/>
          <w:jc w:val="center"/>
        </w:trPr>
        <w:tc>
          <w:tcPr>
            <w:tcW w:w="526" w:type="dxa"/>
            <w:vMerge w:val="continue"/>
            <w:tcBorders>
              <w:top w:val="nil"/>
              <w:left w:val="single" w:color="auto" w:sz="6" w:space="0"/>
              <w:bottom w:val="single" w:color="auto" w:sz="6" w:space="0"/>
              <w:right w:val="single" w:color="auto" w:sz="6" w:space="0"/>
            </w:tcBorders>
            <w:tcMar>
              <w:left w:w="28" w:type="dxa"/>
              <w:right w:w="28" w:type="dxa"/>
            </w:tcMar>
            <w:vAlign w:val="center"/>
          </w:tcPr>
          <w:p>
            <w:pPr>
              <w:rPr>
                <w:rFonts w:hint="eastAsia" w:ascii="黑体" w:hAnsi="黑体" w:eastAsia="黑体" w:cs="黑体"/>
                <w:sz w:val="18"/>
                <w:szCs w:val="18"/>
              </w:rPr>
            </w:pPr>
          </w:p>
        </w:tc>
        <w:tc>
          <w:tcPr>
            <w:tcW w:w="526" w:type="dxa"/>
            <w:vMerge w:val="continue"/>
            <w:tcBorders>
              <w:top w:val="nil"/>
              <w:left w:val="single" w:color="auto" w:sz="6" w:space="0"/>
              <w:bottom w:val="single" w:color="auto" w:sz="6" w:space="0"/>
              <w:right w:val="single" w:color="auto" w:sz="6" w:space="0"/>
            </w:tcBorders>
            <w:tcMar>
              <w:left w:w="28" w:type="dxa"/>
              <w:right w:w="28" w:type="dxa"/>
            </w:tcMar>
            <w:vAlign w:val="center"/>
          </w:tcPr>
          <w:p>
            <w:pPr>
              <w:rPr>
                <w:rFonts w:hint="eastAsia" w:ascii="黑体" w:hAnsi="黑体" w:eastAsia="黑体" w:cs="黑体"/>
                <w:sz w:val="18"/>
                <w:szCs w:val="18"/>
              </w:rPr>
            </w:pPr>
          </w:p>
        </w:tc>
        <w:tc>
          <w:tcPr>
            <w:tcW w:w="526"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rPr>
                <w:rFonts w:hint="eastAsia" w:ascii="黑体" w:hAnsi="黑体" w:eastAsia="黑体" w:cs="黑体"/>
                <w:sz w:val="18"/>
                <w:szCs w:val="18"/>
              </w:rPr>
            </w:pPr>
          </w:p>
        </w:tc>
        <w:tc>
          <w:tcPr>
            <w:tcW w:w="526"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rPr>
                <w:rFonts w:hint="eastAsia" w:ascii="黑体" w:hAnsi="黑体" w:eastAsia="黑体" w:cs="黑体"/>
                <w:sz w:val="18"/>
                <w:szCs w:val="18"/>
              </w:rPr>
            </w:pPr>
          </w:p>
        </w:tc>
        <w:tc>
          <w:tcPr>
            <w:tcW w:w="528" w:type="dxa"/>
            <w:vMerge w:val="continue"/>
            <w:tcBorders>
              <w:top w:val="single" w:color="auto" w:sz="6" w:space="0"/>
              <w:left w:val="single" w:color="auto" w:sz="6" w:space="0"/>
              <w:bottom w:val="single" w:color="auto" w:sz="6" w:space="0"/>
              <w:right w:val="single" w:color="auto" w:sz="6" w:space="0"/>
            </w:tcBorders>
            <w:tcMar>
              <w:left w:w="28" w:type="dxa"/>
              <w:right w:w="28" w:type="dxa"/>
            </w:tcMar>
            <w:vAlign w:val="center"/>
          </w:tcPr>
          <w:p>
            <w:pPr>
              <w:rPr>
                <w:rFonts w:hint="eastAsia" w:ascii="黑体" w:hAnsi="黑体" w:eastAsia="黑体" w:cs="黑体"/>
                <w:sz w:val="18"/>
                <w:szCs w:val="18"/>
              </w:rPr>
            </w:pPr>
          </w:p>
        </w:tc>
        <w:tc>
          <w:tcPr>
            <w:tcW w:w="619" w:type="dxa"/>
            <w:tcBorders>
              <w:top w:val="nil"/>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eastAsia" w:ascii="黑体" w:hAnsi="黑体" w:eastAsia="黑体" w:cs="黑体"/>
                <w:sz w:val="18"/>
                <w:szCs w:val="18"/>
                <w:lang w:eastAsia="zh-CN"/>
              </w:rPr>
            </w:pPr>
            <w:r>
              <w:rPr>
                <w:rFonts w:hint="eastAsia" w:ascii="黑体" w:hAnsi="黑体" w:eastAsia="黑体" w:cs="黑体"/>
                <w:sz w:val="18"/>
                <w:szCs w:val="18"/>
              </w:rPr>
              <w:t>结果</w:t>
            </w:r>
          </w:p>
          <w:p>
            <w:pPr>
              <w:pStyle w:val="13"/>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维持</w:t>
            </w:r>
          </w:p>
        </w:tc>
        <w:tc>
          <w:tcPr>
            <w:tcW w:w="619" w:type="dxa"/>
            <w:tcBorders>
              <w:top w:val="nil"/>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eastAsia" w:ascii="黑体" w:hAnsi="黑体" w:eastAsia="黑体" w:cs="黑体"/>
                <w:sz w:val="18"/>
                <w:szCs w:val="18"/>
                <w:lang w:eastAsia="zh-CN"/>
              </w:rPr>
            </w:pPr>
            <w:r>
              <w:rPr>
                <w:rFonts w:hint="eastAsia" w:ascii="黑体" w:hAnsi="黑体" w:eastAsia="黑体" w:cs="黑体"/>
                <w:sz w:val="18"/>
                <w:szCs w:val="18"/>
              </w:rPr>
              <w:t>结果</w:t>
            </w:r>
          </w:p>
          <w:p>
            <w:pPr>
              <w:pStyle w:val="13"/>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纠正</w:t>
            </w:r>
          </w:p>
        </w:tc>
        <w:tc>
          <w:tcPr>
            <w:tcW w:w="619"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eastAsia" w:ascii="黑体" w:hAnsi="黑体" w:eastAsia="黑体" w:cs="黑体"/>
                <w:sz w:val="18"/>
                <w:szCs w:val="18"/>
                <w:lang w:eastAsia="zh-CN"/>
              </w:rPr>
            </w:pPr>
            <w:r>
              <w:rPr>
                <w:rFonts w:hint="eastAsia" w:ascii="黑体" w:hAnsi="黑体" w:eastAsia="黑体" w:cs="黑体"/>
                <w:sz w:val="18"/>
                <w:szCs w:val="18"/>
              </w:rPr>
              <w:t>其他</w:t>
            </w:r>
          </w:p>
          <w:p>
            <w:pPr>
              <w:pStyle w:val="13"/>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结果</w:t>
            </w:r>
          </w:p>
        </w:tc>
        <w:tc>
          <w:tcPr>
            <w:tcW w:w="619"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eastAsia" w:ascii="黑体" w:hAnsi="黑体" w:eastAsia="黑体" w:cs="黑体"/>
                <w:sz w:val="18"/>
                <w:szCs w:val="18"/>
                <w:lang w:eastAsia="zh-CN"/>
              </w:rPr>
            </w:pPr>
            <w:r>
              <w:rPr>
                <w:rFonts w:hint="eastAsia" w:ascii="黑体" w:hAnsi="黑体" w:eastAsia="黑体" w:cs="黑体"/>
                <w:sz w:val="18"/>
                <w:szCs w:val="18"/>
              </w:rPr>
              <w:t>尚未</w:t>
            </w:r>
          </w:p>
          <w:p>
            <w:pPr>
              <w:pStyle w:val="13"/>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审结</w:t>
            </w:r>
          </w:p>
        </w:tc>
        <w:tc>
          <w:tcPr>
            <w:tcW w:w="619"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color w:val="000000"/>
                <w:sz w:val="18"/>
                <w:szCs w:val="18"/>
              </w:rPr>
              <w:t>总计</w:t>
            </w:r>
          </w:p>
        </w:tc>
        <w:tc>
          <w:tcPr>
            <w:tcW w:w="619"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eastAsia" w:ascii="黑体" w:hAnsi="黑体" w:eastAsia="黑体" w:cs="黑体"/>
                <w:sz w:val="18"/>
                <w:szCs w:val="18"/>
                <w:lang w:eastAsia="zh-CN"/>
              </w:rPr>
            </w:pPr>
            <w:r>
              <w:rPr>
                <w:rFonts w:hint="eastAsia" w:ascii="黑体" w:hAnsi="黑体" w:eastAsia="黑体" w:cs="黑体"/>
                <w:sz w:val="18"/>
                <w:szCs w:val="18"/>
              </w:rPr>
              <w:t>结果</w:t>
            </w:r>
          </w:p>
          <w:p>
            <w:pPr>
              <w:pStyle w:val="13"/>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维持</w:t>
            </w:r>
          </w:p>
        </w:tc>
        <w:tc>
          <w:tcPr>
            <w:tcW w:w="619"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eastAsia" w:ascii="黑体" w:hAnsi="黑体" w:eastAsia="黑体" w:cs="黑体"/>
                <w:sz w:val="18"/>
                <w:szCs w:val="18"/>
                <w:lang w:eastAsia="zh-CN"/>
              </w:rPr>
            </w:pPr>
            <w:r>
              <w:rPr>
                <w:rFonts w:hint="eastAsia" w:ascii="黑体" w:hAnsi="黑体" w:eastAsia="黑体" w:cs="黑体"/>
                <w:sz w:val="18"/>
                <w:szCs w:val="18"/>
              </w:rPr>
              <w:t>结果</w:t>
            </w:r>
          </w:p>
          <w:p>
            <w:pPr>
              <w:pStyle w:val="13"/>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纠正</w:t>
            </w:r>
          </w:p>
        </w:tc>
        <w:tc>
          <w:tcPr>
            <w:tcW w:w="619"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eastAsia" w:ascii="黑体" w:hAnsi="黑体" w:eastAsia="黑体" w:cs="黑体"/>
                <w:color w:val="000000"/>
                <w:sz w:val="18"/>
                <w:szCs w:val="18"/>
                <w:lang w:eastAsia="zh-CN"/>
              </w:rPr>
            </w:pPr>
            <w:r>
              <w:rPr>
                <w:rFonts w:hint="eastAsia" w:ascii="黑体" w:hAnsi="黑体" w:eastAsia="黑体" w:cs="黑体"/>
                <w:color w:val="000000"/>
                <w:sz w:val="18"/>
                <w:szCs w:val="18"/>
              </w:rPr>
              <w:t>其他</w:t>
            </w:r>
          </w:p>
          <w:p>
            <w:pPr>
              <w:pStyle w:val="13"/>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color w:val="000000"/>
                <w:sz w:val="18"/>
                <w:szCs w:val="18"/>
              </w:rPr>
              <w:t>结果</w:t>
            </w:r>
          </w:p>
        </w:tc>
        <w:tc>
          <w:tcPr>
            <w:tcW w:w="619"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eastAsia" w:ascii="黑体" w:hAnsi="黑体" w:eastAsia="黑体" w:cs="黑体"/>
                <w:sz w:val="18"/>
                <w:szCs w:val="18"/>
                <w:lang w:eastAsia="zh-CN"/>
              </w:rPr>
            </w:pPr>
            <w:r>
              <w:rPr>
                <w:rFonts w:hint="eastAsia" w:ascii="黑体" w:hAnsi="黑体" w:eastAsia="黑体" w:cs="黑体"/>
                <w:sz w:val="18"/>
                <w:szCs w:val="18"/>
              </w:rPr>
              <w:t>尚未</w:t>
            </w:r>
          </w:p>
          <w:p>
            <w:pPr>
              <w:pStyle w:val="13"/>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sz w:val="18"/>
                <w:szCs w:val="18"/>
              </w:rPr>
              <w:t>审结</w:t>
            </w:r>
          </w:p>
        </w:tc>
        <w:tc>
          <w:tcPr>
            <w:tcW w:w="619" w:type="dxa"/>
            <w:tcBorders>
              <w:top w:val="single" w:color="auto" w:sz="6" w:space="0"/>
              <w:left w:val="single" w:color="auto" w:sz="6" w:space="0"/>
              <w:bottom w:val="single" w:color="auto" w:sz="6" w:space="0"/>
              <w:right w:val="single" w:color="auto" w:sz="6" w:space="0"/>
            </w:tcBorders>
            <w:tcMar>
              <w:left w:w="28" w:type="dxa"/>
              <w:right w:w="28" w:type="dxa"/>
            </w:tcMar>
            <w:vAlign w:val="center"/>
          </w:tcPr>
          <w:p>
            <w:pPr>
              <w:pStyle w:val="13"/>
              <w:widowControl/>
              <w:spacing w:before="0" w:beforeAutospacing="0" w:after="0" w:afterAutospacing="0" w:line="30" w:lineRule="atLeast"/>
              <w:jc w:val="center"/>
              <w:textAlignment w:val="center"/>
              <w:rPr>
                <w:rFonts w:hint="eastAsia" w:ascii="黑体" w:hAnsi="黑体" w:eastAsia="黑体" w:cs="黑体"/>
                <w:sz w:val="18"/>
                <w:szCs w:val="18"/>
              </w:rPr>
            </w:pPr>
            <w:r>
              <w:rPr>
                <w:rFonts w:hint="eastAsia" w:ascii="黑体" w:hAnsi="黑体" w:eastAsia="黑体" w:cs="黑体"/>
                <w:color w:val="000000"/>
                <w:sz w:val="18"/>
                <w:szCs w:val="18"/>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97" w:hRule="atLeast"/>
          <w:jc w:val="center"/>
        </w:trPr>
        <w:tc>
          <w:tcPr>
            <w:tcW w:w="526"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526"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526"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526"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528"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19"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619"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19"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19"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19"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619"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19"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19"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19"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19" w:type="dxa"/>
            <w:tcBorders>
              <w:top w:val="nil"/>
              <w:left w:val="single" w:color="auto" w:sz="6" w:space="0"/>
              <w:bottom w:val="single" w:color="auto" w:sz="6" w:space="0"/>
              <w:right w:val="single" w:color="auto" w:sz="6" w:space="0"/>
            </w:tcBorders>
            <w:tcMar>
              <w:left w:w="28" w:type="dxa"/>
              <w:right w:w="28" w:type="dxa"/>
            </w:tcMar>
            <w:vAlign w:val="center"/>
          </w:tcPr>
          <w:p>
            <w:pPr>
              <w:spacing w:after="0" w:line="3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r>
    </w:tbl>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黑体" w:cs="Times New Roman"/>
          <w:sz w:val="32"/>
          <w:szCs w:val="32"/>
          <w:shd w:val="clear"/>
        </w:rPr>
      </w:pPr>
      <w:r>
        <w:rPr>
          <w:rFonts w:hint="default" w:ascii="Times New Roman" w:hAnsi="Times New Roman" w:eastAsia="黑体" w:cs="Times New Roman"/>
          <w:sz w:val="32"/>
          <w:szCs w:val="32"/>
          <w:shd w:val="clear"/>
        </w:rPr>
        <w:t>五、存在的主要问题及改进情况</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sz w:val="32"/>
          <w:szCs w:val="32"/>
          <w:shd w:val="clear"/>
        </w:rPr>
      </w:pPr>
      <w:r>
        <w:rPr>
          <w:rFonts w:hint="default" w:ascii="Times New Roman" w:hAnsi="Times New Roman" w:eastAsia="仿宋_GB2312" w:cs="Times New Roman"/>
          <w:sz w:val="32"/>
          <w:szCs w:val="32"/>
          <w:shd w:val="clear"/>
        </w:rPr>
        <w:t>2021年，市政府办公厅高度重视政务公开工作，在推进、指导、协调、督促全市政务公开及政府信息公开工作做了大量工作，但与上级的要求仍然存在一定的差距。</w:t>
      </w:r>
      <w:r>
        <w:rPr>
          <w:rFonts w:hint="eastAsia" w:ascii="楷体_GB2312" w:hAnsi="楷体_GB2312" w:eastAsia="楷体_GB2312" w:cs="楷体_GB2312"/>
          <w:b/>
          <w:bCs/>
          <w:sz w:val="32"/>
          <w:szCs w:val="32"/>
          <w:shd w:val="clear"/>
          <w:lang w:val="en-US" w:eastAsia="zh-CN"/>
        </w:rPr>
        <w:t>一是</w:t>
      </w:r>
      <w:r>
        <w:rPr>
          <w:rFonts w:hint="eastAsia" w:ascii="Times New Roman" w:hAnsi="Times New Roman" w:eastAsia="仿宋_GB2312" w:cs="Times New Roman"/>
          <w:sz w:val="32"/>
          <w:szCs w:val="32"/>
          <w:shd w:val="clear"/>
          <w:lang w:val="en-US" w:eastAsia="zh-CN"/>
        </w:rPr>
        <w:t>主动公开意识有待加强。</w:t>
      </w:r>
      <w:r>
        <w:rPr>
          <w:rFonts w:hint="default" w:ascii="Times New Roman" w:hAnsi="Times New Roman" w:eastAsia="仿宋_GB2312" w:cs="Times New Roman"/>
          <w:sz w:val="32"/>
          <w:szCs w:val="32"/>
          <w:shd w:val="clear"/>
          <w:lang w:val="en-US" w:eastAsia="zh-CN"/>
        </w:rPr>
        <w:t>全市各级各部门“以公开为常态，不公开为例外”的公开思维和理念还有待进一步强化和提升</w:t>
      </w:r>
      <w:r>
        <w:rPr>
          <w:rFonts w:hint="default" w:ascii="Times New Roman" w:hAnsi="Times New Roman" w:eastAsia="仿宋_GB2312" w:cs="Times New Roman"/>
          <w:sz w:val="32"/>
          <w:szCs w:val="32"/>
          <w:shd w:val="clear"/>
        </w:rPr>
        <w:t>；</w:t>
      </w:r>
      <w:r>
        <w:rPr>
          <w:rFonts w:hint="default" w:ascii="楷体_GB2312" w:hAnsi="楷体_GB2312" w:eastAsia="楷体_GB2312" w:cs="楷体_GB2312"/>
          <w:b/>
          <w:bCs/>
          <w:sz w:val="32"/>
          <w:szCs w:val="32"/>
          <w:shd w:val="clear"/>
          <w:lang w:val="en-US" w:eastAsia="zh-CN"/>
        </w:rPr>
        <w:t>二是</w:t>
      </w:r>
      <w:r>
        <w:rPr>
          <w:rFonts w:hint="default" w:ascii="Times New Roman" w:hAnsi="Times New Roman" w:eastAsia="仿宋_GB2312" w:cs="Times New Roman"/>
          <w:sz w:val="32"/>
          <w:szCs w:val="32"/>
          <w:shd w:val="clear"/>
        </w:rPr>
        <w:t>政策解读形式不够丰富；</w:t>
      </w:r>
      <w:r>
        <w:rPr>
          <w:rFonts w:hint="default" w:ascii="楷体_GB2312" w:hAnsi="楷体_GB2312" w:eastAsia="楷体_GB2312" w:cs="楷体_GB2312"/>
          <w:b/>
          <w:bCs/>
          <w:sz w:val="32"/>
          <w:szCs w:val="32"/>
          <w:shd w:val="clear"/>
          <w:lang w:val="en-US" w:eastAsia="zh-CN"/>
        </w:rPr>
        <w:t>三是</w:t>
      </w:r>
      <w:r>
        <w:rPr>
          <w:rFonts w:hint="default" w:ascii="Times New Roman" w:hAnsi="Times New Roman" w:eastAsia="仿宋_GB2312" w:cs="Times New Roman"/>
          <w:sz w:val="32"/>
          <w:szCs w:val="32"/>
          <w:shd w:val="clear"/>
        </w:rPr>
        <w:t>政务公开队伍需进一步加强。</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sz w:val="32"/>
          <w:szCs w:val="32"/>
          <w:shd w:val="clear"/>
        </w:rPr>
      </w:pPr>
      <w:r>
        <w:rPr>
          <w:rFonts w:hint="default" w:ascii="Times New Roman" w:hAnsi="Times New Roman" w:eastAsia="仿宋_GB2312" w:cs="Times New Roman"/>
          <w:sz w:val="32"/>
          <w:szCs w:val="32"/>
          <w:shd w:val="clear"/>
        </w:rPr>
        <w:t>针对上述不足，将深入贯彻落实《条例》</w:t>
      </w:r>
      <w:r>
        <w:rPr>
          <w:rFonts w:hint="default" w:ascii="Times New Roman" w:hAnsi="Times New Roman" w:eastAsia="仿宋_GB2312" w:cs="Times New Roman"/>
          <w:sz w:val="32"/>
          <w:szCs w:val="32"/>
          <w:shd w:val="clear"/>
          <w:lang w:eastAsia="zh-CN"/>
        </w:rPr>
        <w:t>精神</w:t>
      </w:r>
      <w:r>
        <w:rPr>
          <w:rFonts w:hint="default" w:ascii="Times New Roman" w:hAnsi="Times New Roman" w:eastAsia="仿宋_GB2312" w:cs="Times New Roman"/>
          <w:sz w:val="32"/>
          <w:szCs w:val="32"/>
          <w:shd w:val="clear"/>
        </w:rPr>
        <w:t>，进一步加强政府信息公开工作。</w:t>
      </w:r>
      <w:r>
        <w:rPr>
          <w:rFonts w:hint="default" w:ascii="楷体_GB2312" w:hAnsi="楷体_GB2312" w:eastAsia="楷体_GB2312" w:cs="楷体_GB2312"/>
          <w:b/>
          <w:bCs/>
          <w:sz w:val="32"/>
          <w:szCs w:val="32"/>
          <w:shd w:val="clear"/>
          <w:lang w:val="en-US" w:eastAsia="zh-CN"/>
        </w:rPr>
        <w:t>一是</w:t>
      </w:r>
      <w:r>
        <w:rPr>
          <w:rFonts w:hint="default" w:ascii="Times New Roman" w:hAnsi="Times New Roman" w:eastAsia="仿宋_GB2312" w:cs="Times New Roman"/>
          <w:sz w:val="32"/>
          <w:szCs w:val="32"/>
          <w:shd w:val="clear"/>
        </w:rPr>
        <w:t>加强</w:t>
      </w:r>
      <w:r>
        <w:rPr>
          <w:rFonts w:hint="default" w:ascii="Times New Roman" w:hAnsi="Times New Roman" w:eastAsia="仿宋_GB2312" w:cs="Times New Roman"/>
          <w:sz w:val="32"/>
          <w:szCs w:val="32"/>
          <w:shd w:val="clear"/>
          <w:lang w:val="en-US" w:eastAsia="zh-CN"/>
        </w:rPr>
        <w:t>督促考核，</w:t>
      </w:r>
      <w:r>
        <w:rPr>
          <w:rFonts w:hint="default" w:ascii="Times New Roman" w:hAnsi="Times New Roman" w:eastAsia="仿宋_GB2312" w:cs="Times New Roman"/>
          <w:sz w:val="32"/>
          <w:szCs w:val="32"/>
          <w:shd w:val="clear"/>
        </w:rPr>
        <w:t>对各部门网站</w:t>
      </w:r>
      <w:r>
        <w:rPr>
          <w:rFonts w:hint="default" w:ascii="Times New Roman" w:hAnsi="Times New Roman" w:eastAsia="仿宋_GB2312" w:cs="Times New Roman"/>
          <w:sz w:val="32"/>
          <w:szCs w:val="32"/>
          <w:shd w:val="clear"/>
          <w:lang w:val="en-US" w:eastAsia="zh-CN"/>
        </w:rPr>
        <w:t>信息发布、政策解读、工作进展等加大</w:t>
      </w:r>
      <w:r>
        <w:rPr>
          <w:rFonts w:hint="default" w:ascii="Times New Roman" w:hAnsi="Times New Roman" w:eastAsia="仿宋_GB2312" w:cs="Times New Roman"/>
          <w:sz w:val="32"/>
          <w:szCs w:val="32"/>
          <w:shd w:val="clear"/>
        </w:rPr>
        <w:t>督促指导</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lang w:val="en-US" w:eastAsia="zh-CN"/>
        </w:rPr>
        <w:t>业务培训、评估评议力度</w:t>
      </w:r>
      <w:r>
        <w:rPr>
          <w:rFonts w:hint="default" w:ascii="Times New Roman" w:hAnsi="Times New Roman" w:eastAsia="仿宋_GB2312" w:cs="Times New Roman"/>
          <w:sz w:val="32"/>
          <w:szCs w:val="32"/>
          <w:shd w:val="clear"/>
        </w:rPr>
        <w:t>，进一步提升</w:t>
      </w:r>
      <w:r>
        <w:rPr>
          <w:rFonts w:hint="default" w:ascii="Times New Roman" w:hAnsi="Times New Roman" w:eastAsia="仿宋_GB2312" w:cs="Times New Roman"/>
          <w:sz w:val="32"/>
          <w:szCs w:val="32"/>
          <w:shd w:val="clear"/>
          <w:lang w:val="en-US" w:eastAsia="zh-CN"/>
        </w:rPr>
        <w:t>公开意识</w:t>
      </w:r>
      <w:r>
        <w:rPr>
          <w:rFonts w:hint="default" w:ascii="Times New Roman" w:hAnsi="Times New Roman" w:eastAsia="仿宋_GB2312" w:cs="Times New Roman"/>
          <w:sz w:val="32"/>
          <w:szCs w:val="32"/>
          <w:shd w:val="clear"/>
        </w:rPr>
        <w:t>。</w:t>
      </w:r>
      <w:r>
        <w:rPr>
          <w:rFonts w:hint="default" w:ascii="楷体_GB2312" w:hAnsi="楷体_GB2312" w:eastAsia="楷体_GB2312" w:cs="楷体_GB2312"/>
          <w:b/>
          <w:bCs/>
          <w:sz w:val="32"/>
          <w:szCs w:val="32"/>
          <w:shd w:val="clear"/>
          <w:lang w:val="en-US" w:eastAsia="zh-CN"/>
        </w:rPr>
        <w:t>二是</w:t>
      </w:r>
      <w:r>
        <w:rPr>
          <w:rFonts w:hint="default" w:ascii="Times New Roman" w:hAnsi="Times New Roman" w:eastAsia="仿宋_GB2312" w:cs="Times New Roman"/>
          <w:sz w:val="32"/>
          <w:szCs w:val="32"/>
          <w:shd w:val="clear"/>
        </w:rPr>
        <w:t>提高政策解读的质量和效果，对涉及群众切身利益的重点政策措施，</w:t>
      </w:r>
      <w:r>
        <w:rPr>
          <w:rFonts w:hint="default" w:ascii="Times New Roman" w:hAnsi="Times New Roman" w:eastAsia="仿宋_GB2312" w:cs="Times New Roman"/>
          <w:sz w:val="32"/>
          <w:szCs w:val="32"/>
          <w:shd w:val="clear"/>
          <w:lang w:val="en-US" w:eastAsia="zh-CN"/>
        </w:rPr>
        <w:t>督促</w:t>
      </w:r>
      <w:r>
        <w:rPr>
          <w:rFonts w:hint="default" w:ascii="Times New Roman" w:hAnsi="Times New Roman" w:eastAsia="仿宋_GB2312" w:cs="Times New Roman"/>
          <w:sz w:val="32"/>
          <w:szCs w:val="32"/>
          <w:shd w:val="clear"/>
        </w:rPr>
        <w:t>相关单位进行多形式深入解读，提升政策知晓度。</w:t>
      </w:r>
      <w:r>
        <w:rPr>
          <w:rFonts w:hint="default" w:ascii="楷体_GB2312" w:hAnsi="楷体_GB2312" w:eastAsia="楷体_GB2312" w:cs="楷体_GB2312"/>
          <w:b/>
          <w:bCs/>
          <w:sz w:val="32"/>
          <w:szCs w:val="32"/>
          <w:shd w:val="clear"/>
          <w:lang w:val="en-US" w:eastAsia="zh-CN"/>
        </w:rPr>
        <w:t>三是</w:t>
      </w:r>
      <w:r>
        <w:rPr>
          <w:rFonts w:hint="default" w:ascii="Times New Roman" w:hAnsi="Times New Roman" w:eastAsia="仿宋_GB2312" w:cs="Times New Roman"/>
          <w:sz w:val="32"/>
          <w:szCs w:val="32"/>
          <w:shd w:val="clear"/>
        </w:rPr>
        <w:t>加强政务公开队伍建设，配齐配强政务公开专职工作人员，保障必要的工作力量，并强化培训，提高队伍的政策把握能力、舆情研判能力、解疑释惑能力和回应引导能力，及时高效回应社会关切、群众诉求。</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黑体" w:cs="Times New Roman"/>
          <w:sz w:val="32"/>
          <w:szCs w:val="32"/>
          <w:shd w:val="clear"/>
        </w:rPr>
      </w:pPr>
      <w:r>
        <w:rPr>
          <w:rFonts w:hint="default" w:ascii="Times New Roman" w:hAnsi="Times New Roman" w:eastAsia="黑体" w:cs="Times New Roman"/>
          <w:sz w:val="32"/>
          <w:szCs w:val="32"/>
          <w:shd w:val="clear"/>
        </w:rPr>
        <w:t>六、其他需要报告的事项</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sz w:val="32"/>
          <w:szCs w:val="32"/>
          <w:shd w:val="clear"/>
        </w:rPr>
      </w:pPr>
      <w:r>
        <w:rPr>
          <w:rFonts w:hint="default" w:ascii="Times New Roman" w:hAnsi="Times New Roman" w:eastAsia="仿宋_GB2312" w:cs="Times New Roman"/>
          <w:sz w:val="32"/>
          <w:szCs w:val="32"/>
          <w:shd w:val="clear"/>
        </w:rPr>
        <w:t>长沙市政府办公厅本年度未收取政府信息处理费。年报中所列数据的统计期限自2021年1月1日起至2021年12月31日止。如对本年报有疑义，请与长沙市政务公开政务服务工作领导小组办公室联系</w:t>
      </w:r>
      <w:r>
        <w:rPr>
          <w:rFonts w:hint="eastAsia"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联系电话</w:t>
      </w:r>
      <w:r>
        <w:rPr>
          <w:rFonts w:hint="eastAsia"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0731-88665077</w:t>
      </w:r>
      <w:r>
        <w:rPr>
          <w:rFonts w:hint="eastAsia"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sz w:val="32"/>
          <w:szCs w:val="32"/>
          <w:shd w:val="clear"/>
        </w:rPr>
      </w:pPr>
    </w:p>
    <w:p>
      <w:pPr>
        <w:pStyle w:val="2"/>
        <w:jc w:val="left"/>
      </w:pPr>
    </w:p>
    <w:p>
      <w:pPr>
        <w:pStyle w:val="2"/>
      </w:pPr>
    </w:p>
    <w:p>
      <w:pPr>
        <w:pStyle w:val="2"/>
      </w:pPr>
    </w:p>
    <w:p>
      <w:pPr>
        <w:pStyle w:val="2"/>
      </w:pPr>
    </w:p>
    <w:p>
      <w:pPr>
        <w:pStyle w:val="2"/>
      </w:pPr>
    </w:p>
    <w:p>
      <w:pPr>
        <w:pStyle w:val="2"/>
      </w:pPr>
    </w:p>
    <w:p>
      <w:pPr>
        <w:pStyle w:val="2"/>
      </w:pPr>
    </w:p>
    <w:p>
      <w:pPr>
        <w:keepNext w:val="0"/>
        <w:keepLines w:val="0"/>
        <w:pageBreakBefore w:val="0"/>
        <w:widowControl w:val="0"/>
        <w:kinsoku/>
        <w:wordWrap/>
        <w:overflowPunct/>
        <w:topLinePunct w:val="0"/>
        <w:autoSpaceDE/>
        <w:autoSpaceDN/>
        <w:bidi w:val="0"/>
        <w:adjustRightInd/>
        <w:snapToGrid/>
        <w:spacing w:after="0" w:line="20" w:lineRule="exact"/>
        <w:jc w:val="both"/>
        <w:textAlignment w:val="auto"/>
        <w:rPr>
          <w:rFonts w:hint="default" w:ascii="Times New Roman" w:hAnsi="Times New Roman" w:eastAsia="仿宋_GB2312" w:cs="Times New Roman"/>
          <w:sz w:val="32"/>
          <w:szCs w:val="32"/>
          <w:shd w:val="clear"/>
          <w:lang w:val="en-US" w:eastAsia="zh-CN"/>
        </w:rPr>
      </w:pPr>
    </w:p>
    <w:sectPr>
      <w:footerReference r:id="rId3" w:type="default"/>
      <w:pgSz w:w="11906" w:h="16838"/>
      <w:pgMar w:top="1701" w:right="1587" w:bottom="1701" w:left="1587" w:header="850" w:footer="1417" w:gutter="0"/>
      <w:pgBorders>
        <w:top w:val="none" w:sz="0" w:space="0"/>
        <w:left w:val="none" w:sz="0" w:space="0"/>
        <w:bottom w:val="none" w:sz="0" w:space="0"/>
        <w:right w:val="none" w:sz="0" w:space="0"/>
      </w:pgBorders>
      <w:pgNumType w:fmt="decimal"/>
      <w:cols w:space="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大标宋简体">
    <w:altName w:val="方正书宋_GBK"/>
    <w:panose1 w:val="02010601030101010101"/>
    <w:charset w:val="86"/>
    <w:family w:val="auto"/>
    <w:pitch w:val="default"/>
    <w:sig w:usb0="00000000" w:usb1="00000000" w:usb2="00000000" w:usb3="00000000" w:csb0="00040000" w:csb1="00000000"/>
  </w:font>
  <w:font w:name="方正仿宋简体">
    <w:altName w:val="方正仿宋_GBK"/>
    <w:panose1 w:val="03000509000000000000"/>
    <w:charset w:val="86"/>
    <w:family w:val="script"/>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210"/>
  <w:drawingGridVerticalSpacing w:val="999999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D33D6"/>
    <w:rsid w:val="03752609"/>
    <w:rsid w:val="0466463D"/>
    <w:rsid w:val="04E166A4"/>
    <w:rsid w:val="06A767B4"/>
    <w:rsid w:val="0732174C"/>
    <w:rsid w:val="07D0515B"/>
    <w:rsid w:val="081C696B"/>
    <w:rsid w:val="082D7CB2"/>
    <w:rsid w:val="084E4497"/>
    <w:rsid w:val="093A38AA"/>
    <w:rsid w:val="09962638"/>
    <w:rsid w:val="09E447CF"/>
    <w:rsid w:val="0A51674C"/>
    <w:rsid w:val="0AA01CBB"/>
    <w:rsid w:val="0B251D84"/>
    <w:rsid w:val="0D5B2F95"/>
    <w:rsid w:val="0DA972E1"/>
    <w:rsid w:val="0F106C11"/>
    <w:rsid w:val="0F2F34C3"/>
    <w:rsid w:val="10FD33D6"/>
    <w:rsid w:val="11E1223D"/>
    <w:rsid w:val="143230A5"/>
    <w:rsid w:val="15621F97"/>
    <w:rsid w:val="158561FF"/>
    <w:rsid w:val="1644249A"/>
    <w:rsid w:val="16F979AF"/>
    <w:rsid w:val="1AE61E92"/>
    <w:rsid w:val="1CD35C31"/>
    <w:rsid w:val="21B0059C"/>
    <w:rsid w:val="223A2C29"/>
    <w:rsid w:val="22B22F0D"/>
    <w:rsid w:val="22E534E7"/>
    <w:rsid w:val="23C357AF"/>
    <w:rsid w:val="248A6A48"/>
    <w:rsid w:val="267F0ED9"/>
    <w:rsid w:val="276B2BA0"/>
    <w:rsid w:val="283F217C"/>
    <w:rsid w:val="288A36E8"/>
    <w:rsid w:val="291F1FE2"/>
    <w:rsid w:val="2962111F"/>
    <w:rsid w:val="2A137BCC"/>
    <w:rsid w:val="2A5139BC"/>
    <w:rsid w:val="2ABC0D35"/>
    <w:rsid w:val="2ACE40BF"/>
    <w:rsid w:val="2B657869"/>
    <w:rsid w:val="2B9850E7"/>
    <w:rsid w:val="2BE31B34"/>
    <w:rsid w:val="2DCD578C"/>
    <w:rsid w:val="2E0C1292"/>
    <w:rsid w:val="2E2862CE"/>
    <w:rsid w:val="2E5C0434"/>
    <w:rsid w:val="2EE30979"/>
    <w:rsid w:val="2F0574EA"/>
    <w:rsid w:val="2FBB453C"/>
    <w:rsid w:val="31F51E3E"/>
    <w:rsid w:val="327F0BDD"/>
    <w:rsid w:val="331FCBF8"/>
    <w:rsid w:val="335E0228"/>
    <w:rsid w:val="339C1213"/>
    <w:rsid w:val="350A0A6E"/>
    <w:rsid w:val="35845CB0"/>
    <w:rsid w:val="35B55D6C"/>
    <w:rsid w:val="36224858"/>
    <w:rsid w:val="36AC06DE"/>
    <w:rsid w:val="37517AA7"/>
    <w:rsid w:val="386178B4"/>
    <w:rsid w:val="38840AEA"/>
    <w:rsid w:val="39E256C0"/>
    <w:rsid w:val="3B0D674C"/>
    <w:rsid w:val="3BC02BE1"/>
    <w:rsid w:val="3BD43920"/>
    <w:rsid w:val="3C331CC6"/>
    <w:rsid w:val="3D616376"/>
    <w:rsid w:val="3D7C06A6"/>
    <w:rsid w:val="3DAE61E5"/>
    <w:rsid w:val="4003304F"/>
    <w:rsid w:val="402C384A"/>
    <w:rsid w:val="42076750"/>
    <w:rsid w:val="446753F7"/>
    <w:rsid w:val="461A2243"/>
    <w:rsid w:val="475826E8"/>
    <w:rsid w:val="488C37F1"/>
    <w:rsid w:val="49E84823"/>
    <w:rsid w:val="4B437CCD"/>
    <w:rsid w:val="4BCF0C43"/>
    <w:rsid w:val="4BE72000"/>
    <w:rsid w:val="4D11273F"/>
    <w:rsid w:val="4DF93AC6"/>
    <w:rsid w:val="4E67459F"/>
    <w:rsid w:val="4F0B705B"/>
    <w:rsid w:val="4F764366"/>
    <w:rsid w:val="520860E2"/>
    <w:rsid w:val="52A41162"/>
    <w:rsid w:val="545B7C00"/>
    <w:rsid w:val="54C35E02"/>
    <w:rsid w:val="55967106"/>
    <w:rsid w:val="55C767C1"/>
    <w:rsid w:val="55F621DB"/>
    <w:rsid w:val="566C4194"/>
    <w:rsid w:val="56D72D1D"/>
    <w:rsid w:val="56E244DB"/>
    <w:rsid w:val="56F13E27"/>
    <w:rsid w:val="573FD88A"/>
    <w:rsid w:val="5872129B"/>
    <w:rsid w:val="596F2512"/>
    <w:rsid w:val="59B34C08"/>
    <w:rsid w:val="5A674666"/>
    <w:rsid w:val="5B1A0FAD"/>
    <w:rsid w:val="5B4425AB"/>
    <w:rsid w:val="5BF21590"/>
    <w:rsid w:val="5D1F3C79"/>
    <w:rsid w:val="5DFE6234"/>
    <w:rsid w:val="5F4F40D1"/>
    <w:rsid w:val="5F9570F4"/>
    <w:rsid w:val="5FB16925"/>
    <w:rsid w:val="5FD145D3"/>
    <w:rsid w:val="608A7DCE"/>
    <w:rsid w:val="62E03F60"/>
    <w:rsid w:val="63EC4718"/>
    <w:rsid w:val="64B6389F"/>
    <w:rsid w:val="66C634FA"/>
    <w:rsid w:val="66D37679"/>
    <w:rsid w:val="68170072"/>
    <w:rsid w:val="68775D96"/>
    <w:rsid w:val="68F9350D"/>
    <w:rsid w:val="69F74E3F"/>
    <w:rsid w:val="6B0B3B8D"/>
    <w:rsid w:val="6B3F4293"/>
    <w:rsid w:val="6C64419F"/>
    <w:rsid w:val="6C9E3BC4"/>
    <w:rsid w:val="6D655DBF"/>
    <w:rsid w:val="6D7B6E97"/>
    <w:rsid w:val="6DBD3CEC"/>
    <w:rsid w:val="6E087615"/>
    <w:rsid w:val="6F241A15"/>
    <w:rsid w:val="709960A1"/>
    <w:rsid w:val="71865A6C"/>
    <w:rsid w:val="71942DE7"/>
    <w:rsid w:val="71D07A65"/>
    <w:rsid w:val="726E1084"/>
    <w:rsid w:val="737F022D"/>
    <w:rsid w:val="73894C8F"/>
    <w:rsid w:val="7557550C"/>
    <w:rsid w:val="76286888"/>
    <w:rsid w:val="776C6899"/>
    <w:rsid w:val="77957922"/>
    <w:rsid w:val="77FCF258"/>
    <w:rsid w:val="786A6E35"/>
    <w:rsid w:val="7964255B"/>
    <w:rsid w:val="79713068"/>
    <w:rsid w:val="79C02261"/>
    <w:rsid w:val="7A4E7799"/>
    <w:rsid w:val="7B527E9B"/>
    <w:rsid w:val="7C1726BD"/>
    <w:rsid w:val="7C854CE5"/>
    <w:rsid w:val="7D147744"/>
    <w:rsid w:val="7DBF989F"/>
    <w:rsid w:val="7F4B4961"/>
    <w:rsid w:val="7F7BCB37"/>
    <w:rsid w:val="B9BEFBB6"/>
    <w:rsid w:val="DDEB411F"/>
    <w:rsid w:val="F9DF0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Body Text Indent"/>
    <w:basedOn w:val="1"/>
    <w:next w:val="7"/>
    <w:semiHidden/>
    <w:qFormat/>
    <w:uiPriority w:val="99"/>
    <w:pPr>
      <w:spacing w:after="120"/>
      <w:ind w:left="420" w:leftChars="200"/>
    </w:pPr>
  </w:style>
  <w:style w:type="paragraph" w:styleId="7">
    <w:name w:val="Body Text First Indent 2"/>
    <w:basedOn w:val="6"/>
    <w:qFormat/>
    <w:uiPriority w:val="99"/>
    <w:pPr>
      <w:widowControl w:val="0"/>
      <w:adjustRightInd/>
      <w:snapToGrid/>
      <w:ind w:left="200" w:firstLine="200" w:firstLineChars="200"/>
      <w:jc w:val="both"/>
    </w:pPr>
    <w:rPr>
      <w:rFonts w:ascii="Calibri" w:hAnsi="Calibri" w:eastAsia="宋体" w:cs="Calibri"/>
    </w:rPr>
  </w:style>
  <w:style w:type="paragraph" w:styleId="8">
    <w:name w:val="Block Text"/>
    <w:basedOn w:val="1"/>
    <w:unhideWhenUsed/>
    <w:qFormat/>
    <w:uiPriority w:val="99"/>
    <w:pPr>
      <w:spacing w:after="120"/>
      <w:ind w:left="1440" w:leftChars="700" w:right="1440" w:rightChars="700"/>
    </w:pPr>
  </w:style>
  <w:style w:type="paragraph" w:styleId="9">
    <w:name w:val="footer"/>
    <w:basedOn w:val="1"/>
    <w:next w:val="10"/>
    <w:qFormat/>
    <w:uiPriority w:val="0"/>
    <w:pPr>
      <w:tabs>
        <w:tab w:val="center" w:pos="4153"/>
        <w:tab w:val="right" w:pos="8306"/>
      </w:tabs>
      <w:snapToGrid w:val="0"/>
      <w:jc w:val="left"/>
    </w:pPr>
    <w:rPr>
      <w:sz w:val="18"/>
      <w:szCs w:val="18"/>
    </w:rPr>
  </w:style>
  <w:style w:type="paragraph" w:customStyle="1" w:styleId="10">
    <w:name w:val="索引 51"/>
    <w:basedOn w:val="1"/>
    <w:next w:val="1"/>
    <w:qFormat/>
    <w:uiPriority w:val="0"/>
    <w:pPr>
      <w:ind w:left="1680"/>
    </w:pPr>
    <w:rPr>
      <w:rFonts w:ascii="Times New Roman" w:hAnsi="Times New Roman" w:eastAsia="宋体" w:cs="Times New Roman"/>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style>
  <w:style w:type="paragraph" w:styleId="13">
    <w:name w:val="Normal (Web)"/>
    <w:basedOn w:val="1"/>
    <w:qFormat/>
    <w:uiPriority w:val="99"/>
    <w:pPr>
      <w:spacing w:before="100" w:beforeAutospacing="1" w:after="100" w:afterAutospacing="1"/>
      <w:jc w:val="left"/>
    </w:pPr>
    <w:rPr>
      <w:rFonts w:cs="Times New Roman"/>
      <w:kern w:val="0"/>
      <w:sz w:val="24"/>
    </w:rPr>
  </w:style>
  <w:style w:type="character" w:styleId="16">
    <w:name w:val="Hyperlink"/>
    <w:basedOn w:val="15"/>
    <w:qFormat/>
    <w:uiPriority w:val="0"/>
    <w:rPr>
      <w:color w:val="0000FF"/>
      <w:u w:val="single"/>
    </w:rPr>
  </w:style>
  <w:style w:type="paragraph" w:customStyle="1" w:styleId="17">
    <w:name w:val="正文文本1"/>
    <w:basedOn w:val="1"/>
    <w:qFormat/>
    <w:uiPriority w:val="0"/>
    <w:rPr>
      <w:rFonts w:eastAsia="仿宋_GB2312"/>
      <w:sz w:val="32"/>
      <w:szCs w:val="32"/>
    </w:rPr>
  </w:style>
  <w:style w:type="paragraph" w:customStyle="1" w:styleId="18">
    <w:name w:val="Normal New"/>
    <w:qFormat/>
    <w:uiPriority w:val="0"/>
    <w:pPr>
      <w:widowControl w:val="0"/>
      <w:jc w:val="both"/>
    </w:pPr>
    <w:rPr>
      <w:rFonts w:hint="eastAsia" w:ascii="Calibri" w:hAnsi="Calibri" w:eastAsia="宋体" w:cstheme="minorBidi"/>
      <w:kern w:val="2"/>
      <w:sz w:val="21"/>
    </w:rPr>
  </w:style>
  <w:style w:type="paragraph" w:customStyle="1" w:styleId="19">
    <w:name w:val="样式 正文首行缩进 2 + 首行缩进:  2 字符"/>
    <w:basedOn w:val="1"/>
    <w:qFormat/>
    <w:uiPriority w:val="0"/>
    <w:pPr>
      <w:spacing w:line="360" w:lineRule="auto"/>
      <w:jc w:val="center"/>
    </w:pPr>
    <w:rPr>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Office_11.8.2.9701_F1E327BC-269C-435d-A152-05C5408002CA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2019-10-21T22:11:00Z</dcterms:created>
  <dc:creator>January</dc:creator>
  <cp:lastModifiedBy>kylin</cp:lastModifiedBy>
  <cp:lastPrinted>2022-01-25T15:42:00Z</cp:lastPrinted>
  <dcterms:modified xsi:type="dcterms:W3CDTF">2022-01-28T10:06:13Z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2052-11.8.2.9701</vt:lpwstr>
  </property>
  <property fmtid="{D5CDD505-2E9C-101B-9397-08002B2CF9AE}" pid="3" name="ICV">
    <vt:lpwstr>C22071EB987D440095181B96AAB56588</vt:lpwstr>
  </property>
</Properties>
</file>