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default" w:ascii="Times New Roman" w:hAnsi="Times New Roman" w:eastAsia="方正大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长沙市</w:t>
      </w:r>
      <w:r>
        <w:rPr>
          <w:rFonts w:hint="eastAsia" w:ascii="方正小标宋简体" w:hAnsi="方正小标宋简体" w:eastAsia="方正小标宋简体" w:cs="方正小标宋简体"/>
          <w:sz w:val="44"/>
          <w:szCs w:val="44"/>
          <w:lang w:val="en-US" w:eastAsia="zh-CN"/>
        </w:rPr>
        <w:t>人民</w:t>
      </w:r>
      <w:r>
        <w:rPr>
          <w:rFonts w:hint="eastAsia" w:ascii="方正小标宋简体" w:hAnsi="方正小标宋简体" w:eastAsia="方正小标宋简体" w:cs="方正小标宋简体"/>
          <w:sz w:val="44"/>
          <w:szCs w:val="44"/>
        </w:rPr>
        <w:t>政府办公厅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w:t>
      </w:r>
      <w:bookmarkStart w:id="0" w:name="_GoBack"/>
      <w:bookmarkEnd w:id="0"/>
      <w:r>
        <w:rPr>
          <w:rFonts w:hint="eastAsia" w:ascii="方正小标宋简体" w:hAnsi="方正小标宋简体" w:eastAsia="方正小标宋简体" w:cs="方正小标宋简体"/>
          <w:sz w:val="44"/>
          <w:szCs w:val="44"/>
        </w:rPr>
        <w:t>政府信息公开工作年度报告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方正大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shd w:val="clear"/>
        </w:rPr>
      </w:pPr>
      <w:r>
        <w:rPr>
          <w:rFonts w:hint="default" w:ascii="Times New Roman" w:hAnsi="Times New Roman" w:eastAsia="仿宋_GB2312" w:cs="Times New Roman"/>
          <w:sz w:val="32"/>
          <w:szCs w:val="32"/>
          <w:shd w:val="clear"/>
        </w:rPr>
        <w:t>本报告根据《中华人民共和国政府信息公开条例》（国务院令第711号）（以下简称</w:t>
      </w:r>
      <w:r>
        <w:rPr>
          <w:rFonts w:hint="default" w:ascii="Times New Roman" w:hAnsi="Times New Roman" w:eastAsia="仿宋_GB2312" w:cs="Times New Roman"/>
          <w:sz w:val="32"/>
          <w:szCs w:val="32"/>
          <w:shd w:val="clear"/>
          <w:lang w:eastAsia="zh-CN"/>
        </w:rPr>
        <w:t>《</w:t>
      </w:r>
      <w:r>
        <w:rPr>
          <w:rFonts w:hint="default" w:ascii="Times New Roman" w:hAnsi="Times New Roman" w:eastAsia="仿宋_GB2312" w:cs="Times New Roman"/>
          <w:sz w:val="32"/>
          <w:szCs w:val="32"/>
          <w:shd w:val="clear"/>
        </w:rPr>
        <w:t>条例</w:t>
      </w:r>
      <w:r>
        <w:rPr>
          <w:rFonts w:hint="default" w:ascii="Times New Roman" w:hAnsi="Times New Roman" w:eastAsia="仿宋_GB2312" w:cs="Times New Roman"/>
          <w:sz w:val="32"/>
          <w:szCs w:val="32"/>
          <w:shd w:val="clear"/>
          <w:lang w:eastAsia="zh-CN"/>
        </w:rPr>
        <w:t>》</w:t>
      </w:r>
      <w:r>
        <w:rPr>
          <w:rFonts w:hint="default" w:ascii="Times New Roman" w:hAnsi="Times New Roman" w:eastAsia="仿宋_GB2312" w:cs="Times New Roman"/>
          <w:sz w:val="32"/>
          <w:szCs w:val="32"/>
          <w:shd w:val="clear"/>
        </w:rPr>
        <w:t>）和《国务院办公厅政府信息与政务公开办公室关于印发</w:t>
      </w:r>
      <w:r>
        <w:rPr>
          <w:rFonts w:hint="eastAsia" w:ascii="宋体" w:hAnsi="宋体" w:eastAsia="宋体" w:cs="宋体"/>
          <w:sz w:val="32"/>
          <w:szCs w:val="32"/>
          <w:shd w:val="clear"/>
        </w:rPr>
        <w:t>〈</w:t>
      </w:r>
      <w:r>
        <w:rPr>
          <w:rFonts w:hint="default" w:ascii="Times New Roman" w:hAnsi="Times New Roman" w:eastAsia="仿宋_GB2312" w:cs="Times New Roman"/>
          <w:sz w:val="32"/>
          <w:szCs w:val="32"/>
          <w:shd w:val="clear"/>
        </w:rPr>
        <w:t>中华人民共和国政府信息公开工作年度报告格式</w:t>
      </w:r>
      <w:r>
        <w:rPr>
          <w:rFonts w:hint="eastAsia" w:ascii="宋体" w:hAnsi="宋体" w:eastAsia="宋体" w:cs="宋体"/>
          <w:sz w:val="32"/>
          <w:szCs w:val="32"/>
          <w:shd w:val="clear"/>
        </w:rPr>
        <w:t>〉</w:t>
      </w:r>
      <w:r>
        <w:rPr>
          <w:rFonts w:hint="default" w:ascii="Times New Roman" w:hAnsi="Times New Roman" w:eastAsia="仿宋_GB2312" w:cs="Times New Roman"/>
          <w:sz w:val="32"/>
          <w:szCs w:val="32"/>
          <w:shd w:val="clear"/>
        </w:rPr>
        <w:t>的通知》（国办公开办函﹝2021﹞30号）</w:t>
      </w:r>
      <w:r>
        <w:rPr>
          <w:rFonts w:hint="default" w:ascii="Times New Roman" w:hAnsi="Times New Roman" w:eastAsia="仿宋_GB2312" w:cs="Times New Roman"/>
          <w:sz w:val="32"/>
          <w:szCs w:val="32"/>
          <w:shd w:val="clear"/>
          <w:lang w:val="en-US" w:eastAsia="zh-CN"/>
        </w:rPr>
        <w:t>等文件</w:t>
      </w:r>
      <w:r>
        <w:rPr>
          <w:rFonts w:hint="default" w:ascii="Times New Roman" w:hAnsi="Times New Roman" w:eastAsia="仿宋_GB2312" w:cs="Times New Roman"/>
          <w:sz w:val="32"/>
          <w:szCs w:val="32"/>
          <w:shd w:val="clear"/>
        </w:rPr>
        <w:t>要求编制，全文包括总体情况、主动公开政府信息情况、收到和处理政府信息公开申请情况、政府信息公开行政复议和行政诉讼情况、存在的主要问题及改进情况、其他需要报告的事项六个部分组成。</w:t>
      </w:r>
      <w:r>
        <w:rPr>
          <w:rFonts w:hint="default" w:ascii="Times New Roman" w:hAnsi="Times New Roman" w:eastAsia="仿宋_GB2312" w:cs="Times New Roman"/>
          <w:sz w:val="32"/>
          <w:szCs w:val="32"/>
          <w:shd w:val="clear"/>
          <w:lang w:val="en-US" w:eastAsia="zh-CN"/>
        </w:rPr>
        <w:t>本年度报告电子版可从长沙市人民政府门户网站（http</w:t>
      </w:r>
      <w:r>
        <w:rPr>
          <w:rFonts w:hint="eastAsia" w:ascii="Times New Roman" w:hAnsi="Times New Roman" w:eastAsia="仿宋_GB2312" w:cs="Times New Roman"/>
          <w:sz w:val="32"/>
          <w:szCs w:val="32"/>
          <w:shd w:val="clear"/>
          <w:lang w:val="en-US" w:eastAsia="zh-CN"/>
        </w:rPr>
        <w:t>：</w:t>
      </w:r>
      <w:r>
        <w:rPr>
          <w:rFonts w:hint="default" w:ascii="Times New Roman" w:hAnsi="Times New Roman" w:eastAsia="仿宋_GB2312" w:cs="Times New Roman"/>
          <w:sz w:val="32"/>
          <w:szCs w:val="32"/>
          <w:shd w:val="clear"/>
          <w:lang w:val="en-US" w:eastAsia="zh-CN"/>
        </w:rPr>
        <w:t>//www.changsha.gov.cn/）下载</w:t>
      </w:r>
      <w:r>
        <w:rPr>
          <w:rFonts w:hint="default" w:ascii="Times New Roman" w:hAnsi="Times New Roman" w:eastAsia="仿宋_GB2312" w:cs="Times New Roman"/>
          <w:sz w:val="32"/>
          <w:szCs w:val="32"/>
          <w:shd w:val="clear"/>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sz w:val="32"/>
          <w:szCs w:val="32"/>
          <w:shd w:val="clear"/>
        </w:rPr>
      </w:pPr>
      <w:r>
        <w:rPr>
          <w:rFonts w:hint="default" w:ascii="Times New Roman" w:hAnsi="Times New Roman" w:eastAsia="黑体" w:cs="Times New Roman"/>
          <w:sz w:val="32"/>
          <w:szCs w:val="32"/>
          <w:shd w:val="clear"/>
        </w:rPr>
        <w:t>一、总体情况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shd w:val="clear"/>
        </w:rPr>
      </w:pPr>
      <w:r>
        <w:rPr>
          <w:rFonts w:hint="default" w:ascii="Times New Roman" w:hAnsi="Times New Roman" w:eastAsia="仿宋_GB2312" w:cs="Times New Roman"/>
          <w:sz w:val="32"/>
          <w:szCs w:val="32"/>
          <w:shd w:val="clear"/>
        </w:rPr>
        <w:t>20</w:t>
      </w:r>
      <w:r>
        <w:rPr>
          <w:rFonts w:hint="eastAsia" w:ascii="Times New Roman" w:hAnsi="Times New Roman" w:eastAsia="仿宋_GB2312" w:cs="Times New Roman"/>
          <w:sz w:val="32"/>
          <w:szCs w:val="32"/>
          <w:shd w:val="clear"/>
          <w:lang w:val="en-US" w:eastAsia="zh-CN"/>
        </w:rPr>
        <w:t>22</w:t>
      </w:r>
      <w:r>
        <w:rPr>
          <w:rFonts w:hint="default" w:ascii="Times New Roman" w:hAnsi="Times New Roman" w:eastAsia="仿宋_GB2312" w:cs="Times New Roman"/>
          <w:sz w:val="32"/>
          <w:szCs w:val="32"/>
          <w:shd w:val="clear"/>
        </w:rPr>
        <w:t>年，</w:t>
      </w:r>
      <w:r>
        <w:rPr>
          <w:rFonts w:hint="default" w:ascii="Times New Roman" w:hAnsi="Times New Roman" w:eastAsia="仿宋_GB2312" w:cs="Times New Roman"/>
          <w:sz w:val="32"/>
          <w:szCs w:val="32"/>
          <w:shd w:val="clear"/>
          <w:lang w:val="en-US" w:eastAsia="zh-CN"/>
        </w:rPr>
        <w:t>坚持</w:t>
      </w:r>
      <w:r>
        <w:rPr>
          <w:rFonts w:hint="default" w:ascii="Times New Roman" w:hAnsi="Times New Roman" w:eastAsia="仿宋_GB2312" w:cs="Times New Roman"/>
          <w:sz w:val="32"/>
          <w:szCs w:val="32"/>
          <w:shd w:val="clear"/>
        </w:rPr>
        <w:t>以习近平新时代中国特色社会主义思想为指导，按照“</w:t>
      </w:r>
      <w:r>
        <w:rPr>
          <w:rFonts w:hint="default" w:ascii="Times New Roman" w:hAnsi="Times New Roman" w:eastAsia="仿宋_GB2312" w:cs="Times New Roman"/>
          <w:sz w:val="32"/>
          <w:szCs w:val="32"/>
          <w:shd w:val="clear"/>
          <w:lang w:val="en-US" w:eastAsia="zh-CN"/>
        </w:rPr>
        <w:t>以</w:t>
      </w:r>
      <w:r>
        <w:rPr>
          <w:rFonts w:hint="default" w:ascii="Times New Roman" w:hAnsi="Times New Roman" w:eastAsia="仿宋_GB2312" w:cs="Times New Roman"/>
          <w:sz w:val="32"/>
          <w:szCs w:val="32"/>
          <w:shd w:val="clear"/>
        </w:rPr>
        <w:t>公开为常态、不公开为例外”的原则，认真落实</w:t>
      </w:r>
      <w:r>
        <w:rPr>
          <w:rFonts w:hint="default" w:ascii="Times New Roman" w:hAnsi="Times New Roman" w:eastAsia="仿宋_GB2312" w:cs="Times New Roman"/>
          <w:sz w:val="32"/>
          <w:szCs w:val="32"/>
          <w:shd w:val="clear"/>
          <w:lang w:eastAsia="zh-CN"/>
        </w:rPr>
        <w:t>《</w:t>
      </w:r>
      <w:r>
        <w:rPr>
          <w:rFonts w:hint="default" w:ascii="Times New Roman" w:hAnsi="Times New Roman" w:eastAsia="仿宋_GB2312" w:cs="Times New Roman"/>
          <w:sz w:val="32"/>
          <w:szCs w:val="32"/>
          <w:shd w:val="clear"/>
        </w:rPr>
        <w:t>条例</w:t>
      </w:r>
      <w:r>
        <w:rPr>
          <w:rFonts w:hint="default" w:ascii="Times New Roman" w:hAnsi="Times New Roman" w:eastAsia="仿宋_GB2312" w:cs="Times New Roman"/>
          <w:sz w:val="32"/>
          <w:szCs w:val="32"/>
          <w:shd w:val="clear"/>
          <w:lang w:eastAsia="zh-CN"/>
        </w:rPr>
        <w:t>》</w:t>
      </w:r>
      <w:r>
        <w:rPr>
          <w:rFonts w:hint="default" w:ascii="Times New Roman" w:hAnsi="Times New Roman" w:eastAsia="仿宋_GB2312" w:cs="Times New Roman"/>
          <w:sz w:val="32"/>
          <w:szCs w:val="32"/>
          <w:shd w:val="clear"/>
        </w:rPr>
        <w:t>和</w:t>
      </w:r>
      <w:r>
        <w:rPr>
          <w:rFonts w:hint="default" w:ascii="Times New Roman" w:hAnsi="Times New Roman" w:eastAsia="仿宋_GB2312" w:cs="Times New Roman"/>
          <w:sz w:val="32"/>
          <w:szCs w:val="32"/>
          <w:shd w:val="clear"/>
          <w:lang w:val="en-US" w:eastAsia="zh-CN"/>
        </w:rPr>
        <w:t>国务院</w:t>
      </w:r>
      <w:r>
        <w:rPr>
          <w:rFonts w:hint="default" w:ascii="Times New Roman" w:hAnsi="Times New Roman" w:eastAsia="仿宋_GB2312" w:cs="Times New Roman"/>
          <w:sz w:val="32"/>
          <w:szCs w:val="32"/>
          <w:shd w:val="clear"/>
        </w:rPr>
        <w:t>、省</w:t>
      </w:r>
      <w:r>
        <w:rPr>
          <w:rFonts w:hint="default" w:ascii="Times New Roman" w:hAnsi="Times New Roman" w:eastAsia="仿宋_GB2312" w:cs="Times New Roman"/>
          <w:sz w:val="32"/>
          <w:szCs w:val="32"/>
          <w:shd w:val="clear"/>
          <w:lang w:val="en-US" w:eastAsia="zh-CN"/>
        </w:rPr>
        <w:t>政府</w:t>
      </w:r>
      <w:r>
        <w:rPr>
          <w:rFonts w:hint="default" w:ascii="Times New Roman" w:hAnsi="Times New Roman" w:eastAsia="仿宋_GB2312" w:cs="Times New Roman"/>
          <w:sz w:val="32"/>
          <w:szCs w:val="32"/>
          <w:shd w:val="clear"/>
          <w:lang w:eastAsia="zh-CN"/>
        </w:rPr>
        <w:t>、市</w:t>
      </w:r>
      <w:r>
        <w:rPr>
          <w:rFonts w:hint="default" w:ascii="Times New Roman" w:hAnsi="Times New Roman" w:eastAsia="仿宋_GB2312" w:cs="Times New Roman"/>
          <w:sz w:val="32"/>
          <w:szCs w:val="32"/>
          <w:shd w:val="clear"/>
          <w:lang w:val="en-US" w:eastAsia="zh-CN"/>
        </w:rPr>
        <w:t>政府</w:t>
      </w:r>
      <w:r>
        <w:rPr>
          <w:rFonts w:hint="default" w:ascii="Times New Roman" w:hAnsi="Times New Roman" w:eastAsia="仿宋_GB2312" w:cs="Times New Roman"/>
          <w:sz w:val="32"/>
          <w:szCs w:val="32"/>
          <w:shd w:val="clear"/>
        </w:rPr>
        <w:t>有关政务公开的决策部署，紧紧围绕市委市政府中心工作和人民群众关注关切，充分发挥政务公开</w:t>
      </w:r>
      <w:r>
        <w:rPr>
          <w:rFonts w:hint="default" w:ascii="Times New Roman" w:hAnsi="Times New Roman" w:eastAsia="仿宋_GB2312" w:cs="Times New Roman"/>
          <w:sz w:val="32"/>
          <w:szCs w:val="32"/>
          <w:shd w:val="clear"/>
          <w:lang w:val="en-US" w:eastAsia="zh-CN"/>
        </w:rPr>
        <w:t>主管</w:t>
      </w:r>
      <w:r>
        <w:rPr>
          <w:rFonts w:hint="default" w:ascii="Times New Roman" w:hAnsi="Times New Roman" w:eastAsia="仿宋_GB2312" w:cs="Times New Roman"/>
          <w:sz w:val="32"/>
          <w:szCs w:val="32"/>
          <w:shd w:val="clear"/>
        </w:rPr>
        <w:t>职能作用，</w:t>
      </w:r>
      <w:r>
        <w:rPr>
          <w:rFonts w:hint="eastAsia" w:ascii="Times New Roman" w:hAnsi="Times New Roman" w:eastAsia="仿宋_GB2312" w:cs="Times New Roman"/>
          <w:sz w:val="32"/>
          <w:szCs w:val="32"/>
          <w:shd w:val="clear"/>
          <w:lang w:eastAsia="zh-CN"/>
        </w:rPr>
        <w:t>狠抓顶层设计，完善制度建设，主动公开持续强化，依申请公开办理不断规范，打造政策问答平台和“政务公开主题日”活动长沙品牌，</w:t>
      </w:r>
      <w:r>
        <w:rPr>
          <w:rFonts w:hint="default" w:ascii="Times New Roman" w:hAnsi="Times New Roman" w:eastAsia="仿宋_GB2312" w:cs="Times New Roman"/>
          <w:sz w:val="32"/>
          <w:szCs w:val="32"/>
          <w:shd w:val="clear"/>
          <w:lang w:eastAsia="zh-CN"/>
        </w:rPr>
        <w:t>切实</w:t>
      </w:r>
      <w:r>
        <w:rPr>
          <w:rFonts w:hint="default" w:ascii="Times New Roman" w:hAnsi="Times New Roman" w:eastAsia="仿宋_GB2312" w:cs="Times New Roman"/>
          <w:sz w:val="32"/>
          <w:szCs w:val="32"/>
          <w:shd w:val="clear"/>
        </w:rPr>
        <w:t>提升人民群众获取政府信息的便捷度和满意度。</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firstLine="642" w:firstLineChars="200"/>
        <w:jc w:val="left"/>
        <w:textAlignment w:val="auto"/>
        <w:rPr>
          <w:rFonts w:hint="default" w:ascii="Times New Roman" w:hAnsi="Times New Roman" w:eastAsia="仿宋_GB2312" w:cs="Times New Roman"/>
          <w:color w:val="auto"/>
          <w:sz w:val="32"/>
          <w:szCs w:val="32"/>
          <w:shd w:val="clear"/>
        </w:rPr>
      </w:pPr>
      <w:r>
        <w:rPr>
          <w:rFonts w:hint="eastAsia" w:ascii="Times New Roman" w:hAnsi="Times New Roman" w:eastAsia="楷体_GB2312" w:cs="Times New Roman"/>
          <w:b/>
          <w:bCs/>
          <w:kern w:val="2"/>
          <w:sz w:val="32"/>
          <w:szCs w:val="32"/>
          <w:shd w:val="clear"/>
          <w:lang w:val="en-US" w:eastAsia="zh-CN" w:bidi="ar-SA"/>
        </w:rPr>
        <w:t>（一）持续强化顶层设计。</w:t>
      </w:r>
      <w:r>
        <w:rPr>
          <w:rFonts w:hint="eastAsia" w:ascii="Times New Roman" w:hAnsi="Times New Roman" w:eastAsia="仿宋_GB2312" w:cs="Times New Roman"/>
          <w:b/>
          <w:bCs/>
          <w:kern w:val="2"/>
          <w:sz w:val="32"/>
          <w:szCs w:val="32"/>
          <w:shd w:val="clear"/>
          <w:lang w:val="en-US" w:eastAsia="zh-CN" w:bidi="ar-SA"/>
        </w:rPr>
        <w:t>一是</w:t>
      </w:r>
      <w:r>
        <w:rPr>
          <w:rFonts w:hint="eastAsia" w:ascii="Times New Roman" w:hAnsi="Times New Roman" w:eastAsia="仿宋_GB2312" w:cs="Times New Roman"/>
          <w:b w:val="0"/>
          <w:bCs w:val="0"/>
          <w:kern w:val="2"/>
          <w:sz w:val="32"/>
          <w:szCs w:val="32"/>
          <w:shd w:val="clear"/>
          <w:lang w:val="en-US" w:eastAsia="zh-CN" w:bidi="ar-SA"/>
        </w:rPr>
        <w:t>制定出台</w:t>
      </w:r>
      <w:r>
        <w:rPr>
          <w:rFonts w:hint="eastAsia" w:ascii="Times New Roman" w:hAnsi="Times New Roman" w:eastAsia="仿宋_GB2312" w:cs="Times New Roman"/>
          <w:kern w:val="2"/>
          <w:sz w:val="32"/>
          <w:szCs w:val="32"/>
          <w:shd w:val="clear"/>
          <w:lang w:val="en-US" w:eastAsia="zh-CN" w:bidi="ar-SA"/>
        </w:rPr>
        <w:t>《长沙市2022年政务公开工作要点》，紧扣“强省会”战略实施，部署推动优化营商环境、减税降费、疫情防控、民生领域、乡村振兴等14个重点领域政府信息主动公开，更好发挥以公开促落实、强监管的积极作用。</w:t>
      </w:r>
      <w:r>
        <w:rPr>
          <w:rFonts w:hint="eastAsia" w:ascii="Times New Roman" w:hAnsi="Times New Roman" w:eastAsia="仿宋_GB2312" w:cs="Times New Roman"/>
          <w:b/>
          <w:bCs/>
          <w:kern w:val="2"/>
          <w:sz w:val="32"/>
          <w:szCs w:val="32"/>
          <w:shd w:val="clear"/>
          <w:lang w:val="en-US" w:eastAsia="zh-CN" w:bidi="ar-SA"/>
        </w:rPr>
        <w:t>二是</w:t>
      </w:r>
      <w:r>
        <w:rPr>
          <w:rFonts w:hint="eastAsia" w:ascii="Times New Roman" w:hAnsi="Times New Roman" w:eastAsia="仿宋_GB2312" w:cs="Times New Roman"/>
          <w:kern w:val="2"/>
          <w:sz w:val="32"/>
          <w:szCs w:val="32"/>
          <w:shd w:val="clear"/>
          <w:lang w:val="en-US" w:eastAsia="zh-CN" w:bidi="ar-SA"/>
        </w:rPr>
        <w:t>成功申报编制《政务公开评估规范》湖南省地方标准，从政务公开组织和管理、公开渠道、主动公开、依申请公开、解读回应、监督保障、创新发展等7大方面43项指标规范全市政务公开评估标准，为全省乃至全国政务公开评估工作探索经验。</w:t>
      </w:r>
      <w:r>
        <w:rPr>
          <w:rFonts w:hint="eastAsia" w:ascii="Times New Roman" w:hAnsi="Times New Roman" w:eastAsia="仿宋_GB2312" w:cs="Times New Roman"/>
          <w:b/>
          <w:bCs/>
          <w:kern w:val="2"/>
          <w:sz w:val="32"/>
          <w:szCs w:val="32"/>
          <w:shd w:val="clear"/>
          <w:lang w:val="en-US" w:eastAsia="zh-CN" w:bidi="ar-SA"/>
        </w:rPr>
        <w:t>三是</w:t>
      </w:r>
      <w:r>
        <w:rPr>
          <w:rFonts w:hint="eastAsia" w:ascii="Times New Roman" w:hAnsi="Times New Roman" w:eastAsia="仿宋_GB2312" w:cs="Times New Roman"/>
          <w:kern w:val="2"/>
          <w:sz w:val="32"/>
          <w:szCs w:val="32"/>
          <w:shd w:val="clear"/>
          <w:lang w:val="en-US" w:eastAsia="zh-CN" w:bidi="ar-SA"/>
        </w:rPr>
        <w:t>及时调整长沙市政务公开政务服务工作领导小组成员单位，督促指导</w:t>
      </w:r>
      <w:r>
        <w:rPr>
          <w:rFonts w:hint="default" w:ascii="Times New Roman" w:hAnsi="Times New Roman" w:eastAsia="仿宋_GB2312" w:cs="Times New Roman"/>
          <w:kern w:val="2"/>
          <w:sz w:val="32"/>
          <w:szCs w:val="32"/>
          <w:shd w:val="clear"/>
          <w:lang w:val="en-US" w:eastAsia="zh-CN" w:bidi="ar-SA"/>
        </w:rPr>
        <w:t>各区县（市）人民政府和市直各部门</w:t>
      </w:r>
      <w:r>
        <w:rPr>
          <w:rFonts w:hint="eastAsia" w:ascii="Times New Roman" w:hAnsi="Times New Roman" w:eastAsia="仿宋_GB2312" w:cs="Times New Roman"/>
          <w:kern w:val="2"/>
          <w:sz w:val="32"/>
          <w:szCs w:val="32"/>
          <w:shd w:val="clear"/>
          <w:lang w:val="en-US" w:eastAsia="zh-CN" w:bidi="ar-SA"/>
        </w:rPr>
        <w:t>在推进政府信息工作中</w:t>
      </w:r>
      <w:r>
        <w:rPr>
          <w:rFonts w:hint="default" w:ascii="Times New Roman" w:hAnsi="Times New Roman" w:eastAsia="仿宋_GB2312" w:cs="Times New Roman"/>
          <w:kern w:val="2"/>
          <w:sz w:val="32"/>
          <w:szCs w:val="32"/>
          <w:shd w:val="clear"/>
          <w:lang w:val="en-US" w:eastAsia="zh-CN" w:bidi="ar-SA"/>
        </w:rPr>
        <w:t>切实担负主体责任，细化举措、健全制度、规范流程，做好本区域、本行业、本部门政务公开工作</w:t>
      </w:r>
      <w:r>
        <w:rPr>
          <w:rFonts w:hint="eastAsia" w:ascii="Times New Roman" w:hAnsi="Times New Roman" w:eastAsia="仿宋_GB2312" w:cs="Times New Roman"/>
          <w:kern w:val="2"/>
          <w:sz w:val="32"/>
          <w:szCs w:val="32"/>
          <w:shd w:val="clear"/>
          <w:lang w:val="en-US" w:eastAsia="zh-CN" w:bidi="ar-SA"/>
        </w:rPr>
        <w:t>。</w:t>
      </w:r>
      <w:r>
        <w:rPr>
          <w:rFonts w:hint="default" w:ascii="Times New Roman" w:hAnsi="Times New Roman" w:eastAsia="仿宋_GB2312" w:cs="Times New Roman"/>
          <w:kern w:val="2"/>
          <w:sz w:val="32"/>
          <w:szCs w:val="32"/>
          <w:shd w:val="clear"/>
          <w:lang w:val="en-US" w:eastAsia="zh-CN" w:bidi="ar-SA"/>
        </w:rPr>
        <w:t>全市上下牢固树立“一盘棋”的思想，紧密配合，齐抓共管，形成推动政务公开工作</w:t>
      </w:r>
      <w:r>
        <w:rPr>
          <w:rFonts w:hint="eastAsia" w:ascii="Times New Roman" w:hAnsi="Times New Roman" w:eastAsia="仿宋_GB2312" w:cs="Times New Roman"/>
          <w:kern w:val="2"/>
          <w:sz w:val="32"/>
          <w:szCs w:val="32"/>
          <w:shd w:val="clear"/>
          <w:lang w:val="en-US" w:eastAsia="zh-CN" w:bidi="ar-SA"/>
        </w:rPr>
        <w:t>的</w:t>
      </w:r>
      <w:r>
        <w:rPr>
          <w:rFonts w:hint="default" w:ascii="Times New Roman" w:hAnsi="Times New Roman" w:eastAsia="仿宋_GB2312" w:cs="Times New Roman"/>
          <w:kern w:val="2"/>
          <w:sz w:val="32"/>
          <w:szCs w:val="32"/>
          <w:shd w:val="clear"/>
          <w:lang w:val="en-US" w:eastAsia="zh-CN" w:bidi="ar-SA"/>
        </w:rPr>
        <w:t>强大合力。</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firstLine="642" w:firstLineChars="200"/>
        <w:jc w:val="left"/>
        <w:textAlignment w:val="auto"/>
        <w:rPr>
          <w:rFonts w:hint="default" w:ascii="Times New Roman" w:hAnsi="Times New Roman" w:eastAsia="仿宋_GB2312" w:cs="Times New Roman"/>
          <w:color w:val="auto"/>
          <w:sz w:val="32"/>
          <w:szCs w:val="32"/>
          <w:shd w:val="clear"/>
        </w:rPr>
      </w:pPr>
      <w:r>
        <w:rPr>
          <w:rFonts w:hint="eastAsia" w:ascii="Times New Roman" w:hAnsi="Times New Roman" w:eastAsia="楷体_GB2312" w:cs="Times New Roman"/>
          <w:b/>
          <w:bCs/>
          <w:kern w:val="2"/>
          <w:sz w:val="32"/>
          <w:szCs w:val="32"/>
          <w:shd w:val="clear"/>
          <w:lang w:val="en-US" w:eastAsia="zh-CN" w:bidi="ar-SA"/>
        </w:rPr>
        <w:t>（二）</w:t>
      </w:r>
      <w:r>
        <w:rPr>
          <w:rFonts w:hint="default" w:ascii="Times New Roman" w:hAnsi="Times New Roman" w:eastAsia="楷体_GB2312" w:cs="Times New Roman"/>
          <w:b/>
          <w:bCs/>
          <w:kern w:val="2"/>
          <w:sz w:val="32"/>
          <w:szCs w:val="32"/>
          <w:shd w:val="clear"/>
          <w:lang w:val="en-US" w:eastAsia="zh-CN" w:bidi="ar-SA"/>
        </w:rPr>
        <w:t>主动公开法定内容。</w:t>
      </w:r>
      <w:r>
        <w:rPr>
          <w:rFonts w:hint="default" w:ascii="Times New Roman" w:hAnsi="Times New Roman" w:eastAsia="仿宋_GB2312" w:cs="Times New Roman"/>
          <w:sz w:val="32"/>
          <w:szCs w:val="32"/>
          <w:shd w:val="clear"/>
          <w:lang w:val="en-US" w:eastAsia="zh-CN"/>
        </w:rPr>
        <w:t>遵循</w:t>
      </w:r>
      <w:r>
        <w:rPr>
          <w:rFonts w:hint="default" w:ascii="Times New Roman" w:hAnsi="Times New Roman" w:eastAsia="仿宋_GB2312" w:cs="Times New Roman"/>
          <w:sz w:val="32"/>
          <w:szCs w:val="32"/>
          <w:shd w:val="clear"/>
        </w:rPr>
        <w:t>公正、公平、合法、便民</w:t>
      </w:r>
      <w:r>
        <w:rPr>
          <w:rFonts w:hint="default" w:ascii="Times New Roman" w:hAnsi="Times New Roman" w:eastAsia="仿宋_GB2312" w:cs="Times New Roman"/>
          <w:sz w:val="32"/>
          <w:szCs w:val="32"/>
          <w:shd w:val="clear"/>
          <w:lang w:eastAsia="zh-CN"/>
        </w:rPr>
        <w:t>的</w:t>
      </w:r>
      <w:r>
        <w:rPr>
          <w:rFonts w:hint="default" w:ascii="Times New Roman" w:hAnsi="Times New Roman" w:eastAsia="仿宋_GB2312" w:cs="Times New Roman"/>
          <w:sz w:val="32"/>
          <w:szCs w:val="32"/>
          <w:shd w:val="clear"/>
        </w:rPr>
        <w:t>原则，全方位多渠道满足群众的信息需求。充分发挥政府网站第一公开平台作用</w:t>
      </w:r>
      <w:r>
        <w:rPr>
          <w:rFonts w:hint="eastAsia" w:ascii="Times New Roman" w:hAnsi="Times New Roman" w:eastAsia="仿宋_GB2312" w:cs="Times New Roman"/>
          <w:sz w:val="32"/>
          <w:szCs w:val="32"/>
          <w:shd w:val="clear"/>
          <w:lang w:eastAsia="zh-CN"/>
        </w:rPr>
        <w:t>，</w:t>
      </w:r>
      <w:r>
        <w:rPr>
          <w:rFonts w:hint="eastAsia" w:ascii="仿宋_GB2312" w:hAnsi="仿宋_GB2312" w:eastAsia="仿宋_GB2312" w:cs="仿宋_GB2312"/>
          <w:sz w:val="32"/>
          <w:szCs w:val="32"/>
        </w:rPr>
        <w:t>规范“政务公开”栏目页面布局，优化“政府信息公开”“长沙基层政务公开”“政务公开工作要点”</w:t>
      </w:r>
      <w:r>
        <w:rPr>
          <w:rFonts w:hint="eastAsia" w:ascii="仿宋_GB2312" w:hAnsi="仿宋_GB2312" w:eastAsia="仿宋_GB2312" w:cs="仿宋_GB2312"/>
          <w:kern w:val="0"/>
          <w:sz w:val="32"/>
          <w:szCs w:val="32"/>
        </w:rPr>
        <w:t>“强省会”战略</w:t>
      </w:r>
      <w:r>
        <w:rPr>
          <w:rFonts w:hint="eastAsia" w:ascii="仿宋_GB2312" w:hAnsi="仿宋_GB2312" w:eastAsia="仿宋_GB2312" w:cs="仿宋_GB2312"/>
          <w:sz w:val="32"/>
          <w:szCs w:val="32"/>
        </w:rPr>
        <w:t>专栏等，</w:t>
      </w:r>
      <w:r>
        <w:rPr>
          <w:rFonts w:hint="default" w:ascii="Times New Roman" w:hAnsi="Times New Roman" w:eastAsia="仿宋_GB2312" w:cs="Times New Roman"/>
          <w:sz w:val="32"/>
          <w:szCs w:val="32"/>
          <w:shd w:val="clear"/>
        </w:rPr>
        <w:t>以视频、图片、文字等多种方式全面、及时、准确公开政府信息。</w:t>
      </w:r>
      <w:r>
        <w:rPr>
          <w:rFonts w:hint="default" w:ascii="Times New Roman" w:hAnsi="Times New Roman" w:eastAsia="仿宋_GB2312" w:cs="Times New Roman"/>
          <w:b/>
          <w:bCs/>
          <w:color w:val="auto"/>
          <w:sz w:val="32"/>
          <w:szCs w:val="32"/>
          <w:shd w:val="clear"/>
        </w:rPr>
        <w:t>一是</w:t>
      </w:r>
      <w:r>
        <w:rPr>
          <w:rFonts w:hint="default" w:ascii="Times New Roman" w:hAnsi="Times New Roman" w:eastAsia="仿宋_GB2312" w:cs="Times New Roman"/>
          <w:color w:val="auto"/>
          <w:sz w:val="32"/>
          <w:szCs w:val="32"/>
          <w:shd w:val="clear"/>
        </w:rPr>
        <w:t>主动公开政务信息</w:t>
      </w:r>
      <w:r>
        <w:rPr>
          <w:rFonts w:hint="eastAsia" w:ascii="Times New Roman" w:hAnsi="Times New Roman" w:eastAsia="仿宋_GB2312" w:cs="Times New Roman"/>
          <w:color w:val="auto"/>
          <w:sz w:val="32"/>
          <w:szCs w:val="32"/>
          <w:shd w:val="clear"/>
          <w:lang w:val="en-US" w:eastAsia="zh-CN"/>
        </w:rPr>
        <w:t>2639</w:t>
      </w:r>
      <w:r>
        <w:rPr>
          <w:rFonts w:hint="default" w:ascii="Times New Roman" w:hAnsi="Times New Roman" w:eastAsia="仿宋_GB2312" w:cs="Times New Roman"/>
          <w:color w:val="auto"/>
          <w:sz w:val="32"/>
          <w:szCs w:val="32"/>
          <w:shd w:val="clear"/>
        </w:rPr>
        <w:t>条，通过门户网站信息公开目录发布信息</w:t>
      </w:r>
      <w:r>
        <w:rPr>
          <w:rFonts w:hint="eastAsia" w:ascii="Times New Roman" w:hAnsi="Times New Roman" w:eastAsia="仿宋_GB2312" w:cs="Times New Roman"/>
          <w:color w:val="auto"/>
          <w:sz w:val="32"/>
          <w:szCs w:val="32"/>
          <w:shd w:val="clear"/>
          <w:lang w:val="en-US" w:eastAsia="zh-CN"/>
        </w:rPr>
        <w:t>865</w:t>
      </w:r>
      <w:r>
        <w:rPr>
          <w:rFonts w:hint="default" w:ascii="Times New Roman" w:hAnsi="Times New Roman" w:eastAsia="仿宋_GB2312" w:cs="Times New Roman"/>
          <w:color w:val="auto"/>
          <w:sz w:val="32"/>
          <w:szCs w:val="32"/>
          <w:shd w:val="clear"/>
        </w:rPr>
        <w:t>条，</w:t>
      </w:r>
      <w:r>
        <w:rPr>
          <w:rFonts w:hint="default" w:ascii="Times New Roman" w:hAnsi="Times New Roman" w:eastAsia="仿宋_GB2312" w:cs="Times New Roman"/>
          <w:color w:val="auto"/>
          <w:sz w:val="32"/>
          <w:szCs w:val="32"/>
          <w:shd w:val="clear"/>
          <w:lang w:eastAsia="zh-CN"/>
        </w:rPr>
        <w:t>“中国</w:t>
      </w:r>
      <w:r>
        <w:rPr>
          <w:rFonts w:hint="default" w:ascii="Times New Roman" w:hAnsi="Times New Roman" w:eastAsia="仿宋_GB2312" w:cs="Times New Roman"/>
          <w:color w:val="auto"/>
          <w:sz w:val="32"/>
          <w:szCs w:val="32"/>
          <w:shd w:val="clear"/>
          <w:lang w:val="en-US" w:eastAsia="zh-CN"/>
        </w:rPr>
        <w:t>-</w:t>
      </w:r>
      <w:r>
        <w:rPr>
          <w:rFonts w:hint="default" w:ascii="Times New Roman" w:hAnsi="Times New Roman" w:eastAsia="仿宋_GB2312" w:cs="Times New Roman"/>
          <w:color w:val="auto"/>
          <w:sz w:val="32"/>
          <w:szCs w:val="32"/>
          <w:shd w:val="clear"/>
          <w:lang w:eastAsia="zh-CN"/>
        </w:rPr>
        <w:t>长沙”</w:t>
      </w:r>
      <w:r>
        <w:rPr>
          <w:rFonts w:hint="default" w:ascii="Times New Roman" w:hAnsi="Times New Roman" w:eastAsia="仿宋_GB2312" w:cs="Times New Roman"/>
          <w:color w:val="auto"/>
          <w:sz w:val="32"/>
          <w:szCs w:val="32"/>
          <w:shd w:val="clear"/>
        </w:rPr>
        <w:t>微信公众号推送信息</w:t>
      </w:r>
      <w:r>
        <w:rPr>
          <w:rFonts w:hint="eastAsia" w:ascii="Times New Roman" w:hAnsi="Times New Roman" w:eastAsia="仿宋_GB2312" w:cs="Times New Roman"/>
          <w:color w:val="auto"/>
          <w:sz w:val="32"/>
          <w:szCs w:val="32"/>
          <w:shd w:val="clear"/>
          <w:lang w:val="en-US" w:eastAsia="zh-CN"/>
        </w:rPr>
        <w:t>399</w:t>
      </w:r>
      <w:r>
        <w:rPr>
          <w:rFonts w:hint="default" w:ascii="Times New Roman" w:hAnsi="Times New Roman" w:eastAsia="仿宋_GB2312" w:cs="Times New Roman"/>
          <w:color w:val="auto"/>
          <w:sz w:val="32"/>
          <w:szCs w:val="32"/>
          <w:shd w:val="clear"/>
        </w:rPr>
        <w:t>条，</w:t>
      </w:r>
      <w:r>
        <w:rPr>
          <w:rFonts w:hint="default" w:ascii="Times New Roman" w:hAnsi="Times New Roman" w:eastAsia="仿宋_GB2312" w:cs="Times New Roman"/>
          <w:color w:val="auto"/>
          <w:sz w:val="32"/>
          <w:szCs w:val="32"/>
          <w:shd w:val="clear"/>
          <w:lang w:eastAsia="zh-CN"/>
        </w:rPr>
        <w:t>“中国</w:t>
      </w:r>
      <w:r>
        <w:rPr>
          <w:rFonts w:hint="default" w:ascii="Times New Roman" w:hAnsi="Times New Roman" w:eastAsia="仿宋_GB2312" w:cs="Times New Roman"/>
          <w:color w:val="auto"/>
          <w:sz w:val="32"/>
          <w:szCs w:val="32"/>
          <w:shd w:val="clear"/>
          <w:lang w:val="en-US" w:eastAsia="zh-CN"/>
        </w:rPr>
        <w:t>-</w:t>
      </w:r>
      <w:r>
        <w:rPr>
          <w:rFonts w:hint="default" w:ascii="Times New Roman" w:hAnsi="Times New Roman" w:eastAsia="仿宋_GB2312" w:cs="Times New Roman"/>
          <w:color w:val="auto"/>
          <w:sz w:val="32"/>
          <w:szCs w:val="32"/>
          <w:shd w:val="clear"/>
          <w:lang w:eastAsia="zh-CN"/>
        </w:rPr>
        <w:t>长沙”</w:t>
      </w:r>
      <w:r>
        <w:rPr>
          <w:rFonts w:hint="default" w:ascii="Times New Roman" w:hAnsi="Times New Roman" w:eastAsia="仿宋_GB2312" w:cs="Times New Roman"/>
          <w:color w:val="auto"/>
          <w:sz w:val="32"/>
          <w:szCs w:val="32"/>
          <w:shd w:val="clear"/>
        </w:rPr>
        <w:t>政务微博发布信息</w:t>
      </w:r>
      <w:r>
        <w:rPr>
          <w:rFonts w:hint="eastAsia" w:ascii="Times New Roman" w:hAnsi="Times New Roman" w:eastAsia="仿宋_GB2312" w:cs="Times New Roman"/>
          <w:color w:val="auto"/>
          <w:sz w:val="32"/>
          <w:szCs w:val="32"/>
          <w:shd w:val="clear"/>
          <w:lang w:val="en-US" w:eastAsia="zh-CN"/>
        </w:rPr>
        <w:t>2272</w:t>
      </w:r>
      <w:r>
        <w:rPr>
          <w:rFonts w:hint="default" w:ascii="Times New Roman" w:hAnsi="Times New Roman" w:eastAsia="仿宋_GB2312" w:cs="Times New Roman"/>
          <w:color w:val="auto"/>
          <w:sz w:val="32"/>
          <w:szCs w:val="32"/>
          <w:shd w:val="clear"/>
        </w:rPr>
        <w:t>条。</w:t>
      </w:r>
      <w:r>
        <w:rPr>
          <w:rFonts w:hint="default" w:ascii="Times New Roman" w:hAnsi="Times New Roman" w:eastAsia="仿宋_GB2312" w:cs="Times New Roman"/>
          <w:b/>
          <w:bCs/>
          <w:sz w:val="32"/>
          <w:szCs w:val="32"/>
          <w:shd w:val="clear"/>
        </w:rPr>
        <w:t>二是</w:t>
      </w:r>
      <w:r>
        <w:rPr>
          <w:rFonts w:hint="default" w:ascii="Times New Roman" w:hAnsi="Times New Roman" w:eastAsia="仿宋_GB2312" w:cs="Times New Roman"/>
          <w:sz w:val="32"/>
          <w:szCs w:val="32"/>
          <w:shd w:val="clear"/>
          <w:lang w:val="en-US" w:eastAsia="zh-CN"/>
        </w:rPr>
        <w:t>发布</w:t>
      </w:r>
      <w:r>
        <w:rPr>
          <w:rFonts w:hint="default" w:ascii="Times New Roman" w:hAnsi="Times New Roman" w:eastAsia="仿宋_GB2312" w:cs="Times New Roman"/>
          <w:sz w:val="32"/>
          <w:szCs w:val="32"/>
          <w:shd w:val="clear"/>
        </w:rPr>
        <w:t>《长沙市人民政府公报》</w:t>
      </w:r>
      <w:r>
        <w:rPr>
          <w:rFonts w:hint="eastAsia" w:ascii="Times New Roman" w:hAnsi="Times New Roman" w:eastAsia="仿宋_GB2312" w:cs="Times New Roman"/>
          <w:sz w:val="32"/>
          <w:szCs w:val="32"/>
          <w:shd w:val="clear"/>
          <w:lang w:val="en-US" w:eastAsia="zh-CN"/>
        </w:rPr>
        <w:t>11</w:t>
      </w:r>
      <w:r>
        <w:rPr>
          <w:rFonts w:hint="default" w:ascii="Times New Roman" w:hAnsi="Times New Roman" w:eastAsia="仿宋_GB2312" w:cs="Times New Roman"/>
          <w:sz w:val="32"/>
          <w:szCs w:val="32"/>
          <w:shd w:val="clear"/>
        </w:rPr>
        <w:t>期，规范性文件</w:t>
      </w:r>
      <w:r>
        <w:rPr>
          <w:rFonts w:hint="eastAsia" w:ascii="Times New Roman" w:hAnsi="Times New Roman" w:eastAsia="仿宋_GB2312" w:cs="Times New Roman"/>
          <w:sz w:val="32"/>
          <w:szCs w:val="32"/>
          <w:shd w:val="clear"/>
          <w:lang w:val="en-US" w:eastAsia="zh-CN"/>
        </w:rPr>
        <w:t>83</w:t>
      </w:r>
      <w:r>
        <w:rPr>
          <w:rFonts w:hint="default" w:ascii="Times New Roman" w:hAnsi="Times New Roman" w:eastAsia="仿宋_GB2312" w:cs="Times New Roman"/>
          <w:sz w:val="32"/>
          <w:szCs w:val="32"/>
          <w:shd w:val="clear"/>
        </w:rPr>
        <w:t>份。</w:t>
      </w:r>
      <w:r>
        <w:rPr>
          <w:rFonts w:hint="default" w:ascii="Times New Roman" w:hAnsi="Times New Roman" w:eastAsia="仿宋_GB2312" w:cs="Times New Roman"/>
          <w:b/>
          <w:bCs/>
          <w:sz w:val="32"/>
          <w:szCs w:val="32"/>
          <w:shd w:val="clear"/>
        </w:rPr>
        <w:t>三是</w:t>
      </w:r>
      <w:r>
        <w:rPr>
          <w:rFonts w:hint="eastAsia" w:ascii="仿宋_GB2312" w:hAnsi="仿宋_GB2312" w:eastAsia="仿宋_GB2312" w:cs="仿宋_GB2312"/>
          <w:sz w:val="32"/>
          <w:szCs w:val="32"/>
        </w:rPr>
        <w:t>新建“长沙市政府规章库”</w:t>
      </w:r>
      <w:r>
        <w:rPr>
          <w:rFonts w:hint="default" w:ascii="Times New Roman" w:hAnsi="Times New Roman" w:eastAsia="仿宋_GB2312" w:cs="Times New Roman"/>
          <w:sz w:val="32"/>
          <w:szCs w:val="32"/>
          <w:shd w:val="clear"/>
        </w:rPr>
        <w:t>，</w:t>
      </w:r>
      <w:r>
        <w:rPr>
          <w:rFonts w:hint="default" w:ascii="Times New Roman" w:hAnsi="Times New Roman" w:eastAsia="仿宋_GB2312" w:cs="Times New Roman"/>
          <w:sz w:val="32"/>
          <w:szCs w:val="32"/>
          <w:shd w:val="clear"/>
          <w:lang w:eastAsia="zh-CN"/>
        </w:rPr>
        <w:t>主动</w:t>
      </w:r>
      <w:r>
        <w:rPr>
          <w:rFonts w:hint="default" w:ascii="Times New Roman" w:hAnsi="Times New Roman" w:eastAsia="仿宋_GB2312" w:cs="Times New Roman"/>
          <w:sz w:val="32"/>
          <w:szCs w:val="32"/>
          <w:shd w:val="clear"/>
        </w:rPr>
        <w:t>公开</w:t>
      </w:r>
      <w:r>
        <w:rPr>
          <w:rFonts w:hint="eastAsia" w:ascii="Times New Roman" w:hAnsi="Times New Roman" w:eastAsia="仿宋_GB2312" w:cs="Times New Roman"/>
          <w:sz w:val="32"/>
          <w:szCs w:val="32"/>
          <w:shd w:val="clear"/>
          <w:lang w:eastAsia="zh-CN"/>
        </w:rPr>
        <w:t>政府规章</w:t>
      </w:r>
      <w:r>
        <w:rPr>
          <w:rFonts w:hint="eastAsia" w:ascii="Times New Roman" w:hAnsi="Times New Roman" w:eastAsia="仿宋_GB2312" w:cs="Times New Roman"/>
          <w:sz w:val="32"/>
          <w:szCs w:val="32"/>
          <w:shd w:val="clear"/>
          <w:lang w:val="en-US" w:eastAsia="zh-CN"/>
        </w:rPr>
        <w:t>30部</w:t>
      </w:r>
      <w:r>
        <w:rPr>
          <w:rFonts w:hint="default" w:ascii="Times New Roman" w:hAnsi="Times New Roman" w:eastAsia="仿宋_GB2312" w:cs="Times New Roman"/>
          <w:sz w:val="32"/>
          <w:szCs w:val="32"/>
          <w:shd w:val="clear"/>
        </w:rPr>
        <w:t>。</w:t>
      </w:r>
      <w:r>
        <w:rPr>
          <w:rFonts w:hint="default" w:ascii="Times New Roman" w:hAnsi="Times New Roman" w:eastAsia="仿宋_GB2312" w:cs="Times New Roman"/>
          <w:b/>
          <w:bCs/>
          <w:sz w:val="32"/>
          <w:szCs w:val="32"/>
          <w:shd w:val="clear"/>
        </w:rPr>
        <w:t>四是</w:t>
      </w:r>
      <w:r>
        <w:rPr>
          <w:rFonts w:hint="default" w:ascii="Times New Roman" w:hAnsi="Times New Roman" w:eastAsia="仿宋_GB2312" w:cs="Times New Roman"/>
          <w:sz w:val="32"/>
          <w:szCs w:val="32"/>
          <w:shd w:val="clear"/>
        </w:rPr>
        <w:t>及时回应社会关切，20</w:t>
      </w:r>
      <w:r>
        <w:rPr>
          <w:rFonts w:hint="eastAsia" w:ascii="Times New Roman" w:hAnsi="Times New Roman" w:eastAsia="仿宋_GB2312" w:cs="Times New Roman"/>
          <w:sz w:val="32"/>
          <w:szCs w:val="32"/>
          <w:shd w:val="clear"/>
          <w:lang w:val="en-US" w:eastAsia="zh-CN"/>
        </w:rPr>
        <w:t>22</w:t>
      </w:r>
      <w:r>
        <w:rPr>
          <w:rFonts w:hint="default" w:ascii="Times New Roman" w:hAnsi="Times New Roman" w:eastAsia="仿宋_GB2312" w:cs="Times New Roman"/>
          <w:sz w:val="32"/>
          <w:szCs w:val="32"/>
          <w:shd w:val="clear"/>
        </w:rPr>
        <w:t>年市政府门户网站发布政策解读图文稿</w:t>
      </w:r>
      <w:r>
        <w:rPr>
          <w:rFonts w:hint="eastAsia" w:ascii="Times New Roman" w:hAnsi="Times New Roman" w:eastAsia="仿宋_GB2312" w:cs="Times New Roman"/>
          <w:color w:val="auto"/>
          <w:sz w:val="32"/>
          <w:szCs w:val="32"/>
          <w:shd w:val="clear"/>
          <w:lang w:val="en-US" w:eastAsia="zh-CN"/>
        </w:rPr>
        <w:t>126</w:t>
      </w:r>
      <w:r>
        <w:rPr>
          <w:rFonts w:hint="default" w:ascii="Times New Roman" w:hAnsi="Times New Roman" w:eastAsia="仿宋_GB2312" w:cs="Times New Roman"/>
          <w:sz w:val="32"/>
          <w:szCs w:val="32"/>
          <w:shd w:val="clear"/>
        </w:rPr>
        <w:t>篇，开展在线</w:t>
      </w:r>
      <w:r>
        <w:rPr>
          <w:rFonts w:hint="default" w:ascii="Times New Roman" w:hAnsi="Times New Roman" w:eastAsia="仿宋_GB2312" w:cs="Times New Roman"/>
          <w:color w:val="auto"/>
          <w:sz w:val="32"/>
          <w:szCs w:val="32"/>
          <w:shd w:val="clear"/>
        </w:rPr>
        <w:t>访谈</w:t>
      </w:r>
      <w:r>
        <w:rPr>
          <w:rFonts w:hint="eastAsia" w:ascii="Times New Roman" w:hAnsi="Times New Roman" w:eastAsia="仿宋_GB2312" w:cs="Times New Roman"/>
          <w:color w:val="auto"/>
          <w:sz w:val="32"/>
          <w:szCs w:val="32"/>
          <w:shd w:val="clear"/>
          <w:lang w:val="en-US" w:eastAsia="zh-CN"/>
        </w:rPr>
        <w:t>12</w:t>
      </w:r>
      <w:r>
        <w:rPr>
          <w:rFonts w:hint="default" w:ascii="Times New Roman" w:hAnsi="Times New Roman" w:eastAsia="仿宋_GB2312" w:cs="Times New Roman"/>
          <w:color w:val="auto"/>
          <w:sz w:val="32"/>
          <w:szCs w:val="32"/>
          <w:shd w:val="clear"/>
        </w:rPr>
        <w:t>期。</w:t>
      </w:r>
    </w:p>
    <w:p>
      <w:pPr>
        <w:keepNext w:val="0"/>
        <w:keepLines w:val="0"/>
        <w:pageBreakBefore w:val="0"/>
        <w:widowControl/>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shd w:val="clear"/>
        </w:rPr>
      </w:pPr>
      <w:r>
        <w:rPr>
          <w:rFonts w:hint="default" w:ascii="Times New Roman" w:hAnsi="Times New Roman" w:eastAsia="楷体_GB2312" w:cs="Times New Roman"/>
          <w:b/>
          <w:bCs/>
          <w:sz w:val="32"/>
          <w:szCs w:val="32"/>
          <w:shd w:val="clear"/>
          <w:lang w:eastAsia="zh-CN"/>
        </w:rPr>
        <w:t>（</w:t>
      </w:r>
      <w:r>
        <w:rPr>
          <w:rFonts w:hint="eastAsia" w:ascii="Times New Roman" w:hAnsi="Times New Roman" w:eastAsia="楷体_GB2312" w:cs="Times New Roman"/>
          <w:b/>
          <w:bCs/>
          <w:sz w:val="32"/>
          <w:szCs w:val="32"/>
          <w:shd w:val="clear"/>
          <w:lang w:eastAsia="zh-CN"/>
        </w:rPr>
        <w:t>三</w:t>
      </w:r>
      <w:r>
        <w:rPr>
          <w:rFonts w:hint="default" w:ascii="Times New Roman" w:hAnsi="Times New Roman" w:eastAsia="楷体_GB2312" w:cs="Times New Roman"/>
          <w:b/>
          <w:bCs/>
          <w:sz w:val="32"/>
          <w:szCs w:val="32"/>
          <w:shd w:val="clear"/>
          <w:lang w:eastAsia="zh-CN"/>
        </w:rPr>
        <w:t>）依法办理依申请公开。</w:t>
      </w:r>
      <w:r>
        <w:rPr>
          <w:rFonts w:hint="default" w:ascii="Times New Roman" w:hAnsi="Times New Roman" w:eastAsia="仿宋_GB2312" w:cs="Times New Roman"/>
          <w:sz w:val="32"/>
          <w:szCs w:val="32"/>
          <w:shd w:val="clear"/>
        </w:rPr>
        <w:t>始终坚持以人民为中心，严格执行依申请公开接收、登记、审核、办理、答复程序，群众对公开的获得感、满意度明显提升。</w:t>
      </w:r>
      <w:r>
        <w:rPr>
          <w:rFonts w:hint="eastAsia" w:ascii="Times New Roman" w:hAnsi="Times New Roman" w:eastAsia="仿宋_GB2312" w:cs="Times New Roman"/>
          <w:sz w:val="32"/>
          <w:szCs w:val="32"/>
          <w:shd w:val="clear"/>
          <w:lang w:eastAsia="zh-CN"/>
        </w:rPr>
        <w:t>健全完善基于市政府门户网站的全市统一政府信息依申请公开网上受理机制，实现全市政府信息依申请公开流程统一、标准统一、平台统一。</w:t>
      </w:r>
      <w:r>
        <w:rPr>
          <w:rFonts w:hint="default" w:ascii="Times New Roman" w:hAnsi="Times New Roman" w:eastAsia="仿宋_GB2312" w:cs="Times New Roman"/>
          <w:sz w:val="32"/>
          <w:szCs w:val="32"/>
          <w:shd w:val="clear"/>
        </w:rPr>
        <w:t>耐心释法答疑，所办理的政府信息公开申请取得了较好的效果。20</w:t>
      </w:r>
      <w:r>
        <w:rPr>
          <w:rFonts w:hint="eastAsia" w:ascii="Times New Roman" w:hAnsi="Times New Roman" w:eastAsia="仿宋_GB2312" w:cs="Times New Roman"/>
          <w:sz w:val="32"/>
          <w:szCs w:val="32"/>
          <w:shd w:val="clear"/>
          <w:lang w:val="en-US" w:eastAsia="zh-CN"/>
        </w:rPr>
        <w:t>22</w:t>
      </w:r>
      <w:r>
        <w:rPr>
          <w:rFonts w:hint="default" w:ascii="Times New Roman" w:hAnsi="Times New Roman" w:eastAsia="仿宋_GB2312" w:cs="Times New Roman"/>
          <w:sz w:val="32"/>
          <w:szCs w:val="32"/>
          <w:shd w:val="clear"/>
        </w:rPr>
        <w:t>年，</w:t>
      </w:r>
      <w:r>
        <w:rPr>
          <w:rFonts w:hint="default" w:ascii="Times New Roman" w:hAnsi="Times New Roman" w:eastAsia="仿宋_GB2312" w:cs="Times New Roman"/>
          <w:color w:val="auto"/>
          <w:sz w:val="32"/>
          <w:szCs w:val="32"/>
          <w:shd w:val="clear"/>
        </w:rPr>
        <w:t>共受理政府信息公开申请76件，同比下降53.4%，被行政复议5件，行政诉讼7件。</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楷体_GB2312" w:cs="Times New Roman"/>
          <w:b/>
          <w:bCs/>
          <w:sz w:val="32"/>
          <w:szCs w:val="32"/>
          <w:shd w:val="clear"/>
          <w:lang w:eastAsia="zh-CN"/>
        </w:rPr>
        <w:t>（</w:t>
      </w:r>
      <w:r>
        <w:rPr>
          <w:rFonts w:hint="eastAsia" w:ascii="Times New Roman" w:hAnsi="Times New Roman" w:eastAsia="楷体_GB2312" w:cs="Times New Roman"/>
          <w:b/>
          <w:bCs/>
          <w:sz w:val="32"/>
          <w:szCs w:val="32"/>
          <w:shd w:val="clear"/>
          <w:lang w:eastAsia="zh-CN"/>
        </w:rPr>
        <w:t>四</w:t>
      </w:r>
      <w:r>
        <w:rPr>
          <w:rFonts w:hint="default" w:ascii="Times New Roman" w:hAnsi="Times New Roman" w:eastAsia="楷体_GB2312" w:cs="Times New Roman"/>
          <w:b/>
          <w:bCs/>
          <w:sz w:val="32"/>
          <w:szCs w:val="32"/>
          <w:shd w:val="clear"/>
          <w:lang w:eastAsia="zh-CN"/>
        </w:rPr>
        <w:t>）</w:t>
      </w:r>
      <w:r>
        <w:rPr>
          <w:rFonts w:hint="eastAsia" w:ascii="Times New Roman" w:hAnsi="Times New Roman" w:eastAsia="楷体_GB2312" w:cs="Times New Roman"/>
          <w:b/>
          <w:bCs/>
          <w:sz w:val="32"/>
          <w:szCs w:val="32"/>
          <w:shd w:val="clear"/>
          <w:lang w:eastAsia="zh-CN"/>
        </w:rPr>
        <w:t>积极创新公开形式。</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创新开</w:t>
      </w:r>
      <w:r>
        <w:rPr>
          <w:rFonts w:hint="eastAsia" w:ascii="仿宋_GB2312" w:hAnsi="仿宋_GB2312" w:eastAsia="仿宋_GB2312" w:cs="仿宋_GB2312"/>
          <w:kern w:val="0"/>
          <w:sz w:val="32"/>
          <w:szCs w:val="32"/>
        </w:rPr>
        <w:t>展“政务公开主题日”活动</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密切政府与企业群众的沟通“桥梁”，提升政务公开的含金量、覆盖面和参与度，</w:t>
      </w:r>
      <w:r>
        <w:rPr>
          <w:rFonts w:hint="eastAsia" w:ascii="仿宋_GB2312" w:hAnsi="仿宋_GB2312" w:eastAsia="仿宋_GB2312" w:cs="仿宋_GB2312"/>
          <w:kern w:val="0"/>
          <w:sz w:val="32"/>
          <w:szCs w:val="32"/>
        </w:rPr>
        <w:t>“三级联动”“面对面”“互动式”等经验做法在省《政务管理服务工作》简报推广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率先全省建成全市统一的基层政务公开标准化规范化体系</w:t>
      </w:r>
      <w:r>
        <w:rPr>
          <w:rFonts w:hint="eastAsia" w:ascii="仿宋_GB2312" w:hAnsi="仿宋_GB2312" w:eastAsia="仿宋_GB2312" w:cs="仿宋_GB2312"/>
          <w:sz w:val="32"/>
          <w:szCs w:val="32"/>
        </w:rPr>
        <w:t>（精准精细的公开事项目录体系、务实管用的公开制度规范体系、协同联动的公开平台体系）</w:t>
      </w:r>
      <w:r>
        <w:rPr>
          <w:rFonts w:hint="eastAsia" w:ascii="仿宋_GB2312" w:hAnsi="仿宋_GB2312" w:eastAsia="仿宋_GB2312" w:cs="仿宋_GB2312"/>
          <w:sz w:val="32"/>
          <w:szCs w:val="32"/>
          <w:lang w:eastAsia="zh-CN"/>
        </w:rPr>
        <w:t>，建立了“</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eastAsia="zh-CN"/>
        </w:rPr>
        <w:t>”基层政务公开专栏矩阵（即</w:t>
      </w:r>
      <w:r>
        <w:rPr>
          <w:rFonts w:hint="eastAsia" w:ascii="仿宋_GB2312" w:hAnsi="仿宋_GB2312" w:eastAsia="仿宋_GB2312" w:cs="仿宋_GB2312"/>
          <w:sz w:val="32"/>
          <w:szCs w:val="32"/>
          <w:lang w:val="en-US" w:eastAsia="zh-CN"/>
        </w:rPr>
        <w:t>1个市级专栏+9个区县市专栏），形成了长沙市基层政务公开网上地图。</w:t>
      </w:r>
      <w:r>
        <w:rPr>
          <w:rFonts w:hint="eastAsia" w:ascii="仿宋_GB2312" w:hAnsi="仿宋_GB2312" w:eastAsia="仿宋_GB2312" w:cs="仿宋_GB2312"/>
          <w:b/>
          <w:bCs/>
          <w:sz w:val="32"/>
          <w:szCs w:val="32"/>
          <w:vertAlign w:val="baseline"/>
          <w:lang w:val="en-US" w:eastAsia="zh-CN"/>
        </w:rPr>
        <w:t>三是</w:t>
      </w:r>
      <w:r>
        <w:rPr>
          <w:rFonts w:hint="eastAsia" w:ascii="仿宋_GB2312" w:hAnsi="仿宋_GB2312" w:eastAsia="仿宋_GB2312" w:cs="仿宋_GB2312"/>
          <w:kern w:val="0"/>
          <w:sz w:val="32"/>
          <w:szCs w:val="32"/>
          <w:lang w:eastAsia="zh-CN"/>
        </w:rPr>
        <w:t>上线</w:t>
      </w:r>
      <w:r>
        <w:rPr>
          <w:rFonts w:hint="eastAsia" w:ascii="仿宋_GB2312" w:hAnsi="仿宋_GB2312" w:eastAsia="仿宋_GB2312" w:cs="仿宋_GB2312"/>
          <w:kern w:val="0"/>
          <w:sz w:val="32"/>
          <w:szCs w:val="32"/>
        </w:rPr>
        <w:t>运行</w:t>
      </w:r>
      <w:r>
        <w:rPr>
          <w:rFonts w:hint="eastAsia" w:ascii="仿宋_GB2312" w:hAnsi="仿宋_GB2312" w:eastAsia="仿宋_GB2312" w:cs="仿宋_GB2312"/>
          <w:kern w:val="0"/>
          <w:sz w:val="32"/>
          <w:szCs w:val="32"/>
          <w:lang w:eastAsia="zh-CN"/>
        </w:rPr>
        <w:t>长沙市</w:t>
      </w:r>
      <w:r>
        <w:rPr>
          <w:rFonts w:hint="eastAsia" w:ascii="仿宋_GB2312" w:hAnsi="仿宋_GB2312" w:eastAsia="仿宋_GB2312" w:cs="仿宋_GB2312"/>
          <w:kern w:val="0"/>
          <w:sz w:val="32"/>
          <w:szCs w:val="32"/>
        </w:rPr>
        <w:t>政策问答平台，</w:t>
      </w:r>
      <w:r>
        <w:rPr>
          <w:rFonts w:hint="eastAsia" w:ascii="仿宋_GB2312" w:hAnsi="仿宋_GB2312" w:eastAsia="仿宋_GB2312" w:cs="仿宋_GB2312"/>
          <w:kern w:val="0"/>
          <w:sz w:val="32"/>
          <w:szCs w:val="32"/>
          <w:lang w:eastAsia="zh-CN"/>
        </w:rPr>
        <w:t>汇集长沙市规范性文件系统、全市各级各类政府单位网站文件栏目及长沙市涉企政策综合服务平台、</w:t>
      </w:r>
      <w:r>
        <w:rPr>
          <w:rFonts w:hint="eastAsia" w:ascii="仿宋_GB2312" w:hAnsi="仿宋_GB2312" w:eastAsia="仿宋_GB2312" w:cs="仿宋_GB2312"/>
          <w:kern w:val="0"/>
          <w:sz w:val="32"/>
          <w:szCs w:val="32"/>
          <w:lang w:val="en-US" w:eastAsia="zh-CN"/>
        </w:rPr>
        <w:t>12345政务热线知识库、各部门独立业务库等18832条政策文件，编制5523条企业群众常见问题答案查询，制定2428条政策解读信息，平台总搜索次数20812次，构建了长沙“政策百度”，实现政策咨询服务“一站式”“一号答”“一键查”。</w:t>
      </w:r>
      <w:r>
        <w:rPr>
          <w:rFonts w:hint="eastAsia" w:ascii="仿宋_GB2312" w:hAnsi="仿宋_GB2312" w:eastAsia="仿宋_GB2312" w:cs="仿宋_GB2312"/>
          <w:sz w:val="32"/>
          <w:szCs w:val="32"/>
        </w:rPr>
        <w:t>国务院办公厅《政务公开工作交流》</w:t>
      </w:r>
      <w:r>
        <w:rPr>
          <w:rFonts w:hint="eastAsia" w:ascii="仿宋_GB2312" w:hAnsi="仿宋_GB2312" w:eastAsia="仿宋_GB2312" w:cs="仿宋_GB2312"/>
          <w:sz w:val="32"/>
          <w:szCs w:val="32"/>
          <w:lang w:val="en-US" w:eastAsia="zh-CN"/>
        </w:rPr>
        <w:t>2022年第三期</w:t>
      </w:r>
      <w:r>
        <w:rPr>
          <w:rFonts w:hint="eastAsia" w:ascii="仿宋_GB2312" w:hAnsi="仿宋_GB2312" w:eastAsia="仿宋_GB2312" w:cs="仿宋_GB2312"/>
          <w:sz w:val="32"/>
          <w:szCs w:val="32"/>
        </w:rPr>
        <w:t>刊发《湖南省长沙市打造“政策百度”提升政策咨询服务</w:t>
      </w:r>
      <w:r>
        <w:rPr>
          <w:rFonts w:hint="eastAsia" w:ascii="仿宋_GB2312" w:hAnsi="仿宋_GB2312" w:eastAsia="仿宋_GB2312" w:cs="仿宋_GB2312"/>
          <w:sz w:val="32"/>
          <w:szCs w:val="32"/>
          <w:lang w:eastAsia="zh-CN"/>
        </w:rPr>
        <w:t>水平</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进行全国</w:t>
      </w:r>
      <w:r>
        <w:rPr>
          <w:rFonts w:hint="eastAsia" w:ascii="仿宋_GB2312" w:hAnsi="仿宋_GB2312" w:eastAsia="仿宋_GB2312" w:cs="仿宋_GB2312"/>
          <w:sz w:val="32"/>
          <w:szCs w:val="32"/>
        </w:rPr>
        <w:t>推介。</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jc w:val="both"/>
        <w:textAlignment w:val="auto"/>
        <w:rPr>
          <w:rFonts w:hint="default" w:ascii="Times New Roman" w:hAnsi="Times New Roman" w:eastAsia="仿宋_GB2312" w:cs="Times New Roman"/>
          <w:sz w:val="32"/>
          <w:szCs w:val="32"/>
          <w:shd w:val="clear"/>
          <w:lang w:val="en-US" w:eastAsia="zh-CN"/>
        </w:rPr>
      </w:pPr>
      <w:r>
        <w:rPr>
          <w:rFonts w:hint="default" w:ascii="Times New Roman" w:hAnsi="Times New Roman" w:eastAsia="楷体_GB2312" w:cs="Times New Roman"/>
          <w:b/>
          <w:bCs/>
          <w:sz w:val="32"/>
          <w:szCs w:val="32"/>
          <w:shd w:val="clear"/>
          <w:lang w:eastAsia="zh-CN"/>
        </w:rPr>
        <w:t>（五）强化监督保障。</w:t>
      </w:r>
      <w:r>
        <w:rPr>
          <w:rFonts w:hint="eastAsia" w:ascii="Times New Roman" w:hAnsi="Times New Roman" w:eastAsia="仿宋_GB2312" w:cs="Times New Roman"/>
          <w:b/>
          <w:bCs/>
          <w:sz w:val="32"/>
          <w:szCs w:val="32"/>
          <w:shd w:val="clear"/>
          <w:lang w:val="en-US" w:eastAsia="zh-CN"/>
        </w:rPr>
        <w:t>一是</w:t>
      </w:r>
      <w:r>
        <w:rPr>
          <w:rFonts w:hint="eastAsia" w:ascii="Times New Roman" w:hAnsi="Times New Roman" w:eastAsia="仿宋_GB2312" w:cs="Times New Roman"/>
          <w:sz w:val="32"/>
          <w:szCs w:val="32"/>
          <w:shd w:val="clear"/>
          <w:lang w:val="en-US" w:eastAsia="zh-CN"/>
        </w:rPr>
        <w:t>全市各级各部门建立健全政务公开工作协调机制，压实工作责任，形成了定期研究部署的工作机制，同时，加强政务公开工作保障，配齐配强人员，安排专项经费，加大业务培训力度。根据疫情防控要求，组织全市各级各部门多次开展线上培训，进一步增强了依法依规公开意识。</w:t>
      </w:r>
      <w:r>
        <w:rPr>
          <w:rFonts w:hint="eastAsia" w:ascii="Times New Roman" w:hAnsi="Times New Roman" w:eastAsia="仿宋_GB2312" w:cs="Times New Roman"/>
          <w:b/>
          <w:bCs/>
          <w:sz w:val="32"/>
          <w:szCs w:val="32"/>
          <w:shd w:val="clear"/>
          <w:lang w:val="en-US" w:eastAsia="zh-CN"/>
        </w:rPr>
        <w:t>二是</w:t>
      </w:r>
      <w:r>
        <w:rPr>
          <w:rFonts w:hint="eastAsia" w:ascii="Times New Roman" w:hAnsi="Times New Roman" w:eastAsia="仿宋_GB2312" w:cs="Times New Roman"/>
          <w:sz w:val="32"/>
          <w:szCs w:val="32"/>
          <w:shd w:val="clear"/>
          <w:lang w:val="en-US" w:eastAsia="zh-CN"/>
        </w:rPr>
        <w:t>组织开展了全市政务公开年度自查自评工作，全市各级各部门重点就45个方面政务公开的问题进行提质整改，营造了以评促建、以评促改、以评促管的政务公开良好风气。</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sz w:val="32"/>
          <w:szCs w:val="32"/>
          <w:shd w:val="clear"/>
        </w:rPr>
      </w:pPr>
      <w:r>
        <w:rPr>
          <w:rFonts w:hint="default" w:ascii="Times New Roman" w:hAnsi="Times New Roman" w:eastAsia="黑体" w:cs="Times New Roman"/>
          <w:sz w:val="32"/>
          <w:szCs w:val="32"/>
          <w:shd w:val="clear"/>
        </w:rPr>
        <w:t>二、主动公开政府信息情况</w:t>
      </w:r>
    </w:p>
    <w:tbl>
      <w:tblPr>
        <w:tblStyle w:val="14"/>
        <w:tblW w:w="872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
      <w:tblGrid>
        <w:gridCol w:w="2290"/>
        <w:gridCol w:w="2143"/>
        <w:gridCol w:w="2143"/>
        <w:gridCol w:w="214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6" w:hRule="atLeast"/>
          <w:jc w:val="center"/>
        </w:trPr>
        <w:tc>
          <w:tcPr>
            <w:tcW w:w="8720" w:type="dxa"/>
            <w:gridSpan w:val="4"/>
            <w:tcBorders>
              <w:top w:val="single" w:color="auto" w:sz="6" w:space="0"/>
              <w:left w:val="single" w:color="auto" w:sz="6" w:space="0"/>
              <w:bottom w:val="single" w:color="auto" w:sz="6" w:space="0"/>
              <w:right w:val="single" w:color="auto" w:sz="6" w:space="0"/>
            </w:tcBorders>
            <w:shd w:val="clear" w:color="auto" w:fill="C6D9F1"/>
            <w:tcMar>
              <w:left w:w="60" w:type="dxa"/>
              <w:right w:w="60" w:type="dxa"/>
            </w:tcMar>
            <w:vAlign w:val="center"/>
          </w:tcPr>
          <w:p>
            <w:pPr>
              <w:pStyle w:val="11"/>
              <w:widowControl/>
              <w:spacing w:before="0" w:beforeAutospacing="0" w:after="0" w:afterAutospacing="0" w:line="3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color w:val="000000"/>
                <w:sz w:val="21"/>
                <w:szCs w:val="21"/>
              </w:rPr>
              <w:t>第二十条第（一）项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6" w:hRule="atLeast"/>
          <w:jc w:val="center"/>
        </w:trPr>
        <w:tc>
          <w:tcPr>
            <w:tcW w:w="2290" w:type="dxa"/>
            <w:tcBorders>
              <w:top w:val="nil"/>
              <w:left w:val="single" w:color="auto" w:sz="6" w:space="0"/>
              <w:bottom w:val="single" w:color="auto" w:sz="6" w:space="0"/>
              <w:right w:val="single" w:color="auto" w:sz="6" w:space="0"/>
            </w:tcBorders>
            <w:tcMar>
              <w:left w:w="60" w:type="dxa"/>
              <w:right w:w="60" w:type="dxa"/>
            </w:tcMar>
            <w:vAlign w:val="center"/>
          </w:tcPr>
          <w:p>
            <w:pPr>
              <w:pStyle w:val="11"/>
              <w:widowControl/>
              <w:spacing w:before="0" w:beforeAutospacing="0" w:after="0" w:afterAutospacing="0" w:line="30" w:lineRule="atLeast"/>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信息内容</w:t>
            </w:r>
          </w:p>
        </w:tc>
        <w:tc>
          <w:tcPr>
            <w:tcW w:w="2143" w:type="dxa"/>
            <w:tcBorders>
              <w:top w:val="single" w:color="auto" w:sz="6" w:space="0"/>
              <w:left w:val="nil"/>
              <w:bottom w:val="single" w:color="auto" w:sz="6" w:space="0"/>
              <w:right w:val="single" w:color="auto" w:sz="6" w:space="0"/>
            </w:tcBorders>
            <w:tcMar>
              <w:left w:w="60" w:type="dxa"/>
              <w:right w:w="60" w:type="dxa"/>
            </w:tcMar>
            <w:vAlign w:val="center"/>
          </w:tcPr>
          <w:p>
            <w:pPr>
              <w:pStyle w:val="11"/>
              <w:widowControl/>
              <w:spacing w:before="0" w:beforeAutospacing="0" w:after="0" w:afterAutospacing="0" w:line="30" w:lineRule="atLeast"/>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本年</w:t>
            </w:r>
            <w:r>
              <w:rPr>
                <w:rFonts w:hint="default" w:ascii="Times New Roman" w:hAnsi="Times New Roman" w:cs="Times New Roman" w:eastAsiaTheme="minorEastAsia"/>
                <w:sz w:val="21"/>
                <w:szCs w:val="21"/>
              </w:rPr>
              <w:t>制发件数</w:t>
            </w:r>
          </w:p>
        </w:tc>
        <w:tc>
          <w:tcPr>
            <w:tcW w:w="2143" w:type="dxa"/>
            <w:tcBorders>
              <w:top w:val="single" w:color="auto" w:sz="6" w:space="0"/>
              <w:left w:val="nil"/>
              <w:bottom w:val="single" w:color="auto" w:sz="6" w:space="0"/>
              <w:right w:val="single" w:color="auto" w:sz="6" w:space="0"/>
            </w:tcBorders>
            <w:tcMar>
              <w:left w:w="60" w:type="dxa"/>
              <w:right w:w="60" w:type="dxa"/>
            </w:tcMar>
            <w:vAlign w:val="center"/>
          </w:tcPr>
          <w:p>
            <w:pPr>
              <w:pStyle w:val="11"/>
              <w:widowControl/>
              <w:spacing w:before="0" w:beforeAutospacing="0" w:after="0" w:afterAutospacing="0" w:line="30" w:lineRule="atLeast"/>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本年废止件数</w:t>
            </w:r>
          </w:p>
        </w:tc>
        <w:tc>
          <w:tcPr>
            <w:tcW w:w="2144" w:type="dxa"/>
            <w:tcBorders>
              <w:top w:val="single" w:color="auto" w:sz="6" w:space="0"/>
              <w:left w:val="nil"/>
              <w:bottom w:val="single" w:color="auto" w:sz="6" w:space="0"/>
              <w:right w:val="single" w:color="auto" w:sz="6" w:space="0"/>
            </w:tcBorders>
            <w:tcMar>
              <w:left w:w="60" w:type="dxa"/>
              <w:right w:w="60" w:type="dxa"/>
            </w:tcMar>
            <w:vAlign w:val="center"/>
          </w:tcPr>
          <w:p>
            <w:pPr>
              <w:pStyle w:val="11"/>
              <w:widowControl/>
              <w:spacing w:before="0" w:beforeAutospacing="0" w:after="0" w:afterAutospacing="0" w:line="30" w:lineRule="atLeast"/>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现行有效件</w:t>
            </w:r>
            <w:r>
              <w:rPr>
                <w:rFonts w:hint="default" w:ascii="Times New Roman" w:hAnsi="Times New Roman" w:cs="Times New Roman" w:eastAsiaTheme="minorEastAsia"/>
                <w:sz w:val="21"/>
                <w:szCs w:val="21"/>
              </w:rPr>
              <w:t>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6" w:hRule="atLeast"/>
          <w:jc w:val="center"/>
        </w:trPr>
        <w:tc>
          <w:tcPr>
            <w:tcW w:w="2290" w:type="dxa"/>
            <w:tcBorders>
              <w:top w:val="nil"/>
              <w:left w:val="single" w:color="auto" w:sz="6" w:space="0"/>
              <w:bottom w:val="single" w:color="auto" w:sz="6" w:space="0"/>
              <w:right w:val="single" w:color="auto" w:sz="6" w:space="0"/>
            </w:tcBorders>
            <w:tcMar>
              <w:left w:w="60" w:type="dxa"/>
              <w:right w:w="60" w:type="dxa"/>
            </w:tcMar>
            <w:vAlign w:val="center"/>
          </w:tcPr>
          <w:p>
            <w:pPr>
              <w:pStyle w:val="11"/>
              <w:widowControl/>
              <w:spacing w:before="0" w:beforeAutospacing="0" w:after="0" w:afterAutospacing="0" w:line="30" w:lineRule="atLeast"/>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规章</w:t>
            </w:r>
          </w:p>
        </w:tc>
        <w:tc>
          <w:tcPr>
            <w:tcW w:w="2143" w:type="dxa"/>
            <w:tcBorders>
              <w:top w:val="nil"/>
              <w:left w:val="nil"/>
              <w:bottom w:val="single" w:color="auto" w:sz="6" w:space="0"/>
              <w:right w:val="single" w:color="auto" w:sz="6" w:space="0"/>
            </w:tcBorders>
            <w:tcMar>
              <w:left w:w="60" w:type="dxa"/>
              <w:right w:w="60" w:type="dxa"/>
            </w:tcMar>
            <w:vAlign w:val="center"/>
          </w:tcPr>
          <w:p>
            <w:pPr>
              <w:spacing w:after="0" w:line="30" w:lineRule="atLeas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c>
          <w:tcPr>
            <w:tcW w:w="2143" w:type="dxa"/>
            <w:tcBorders>
              <w:top w:val="nil"/>
              <w:left w:val="nil"/>
              <w:bottom w:val="single" w:color="auto" w:sz="6" w:space="0"/>
              <w:right w:val="single" w:color="auto" w:sz="6" w:space="0"/>
            </w:tcBorders>
            <w:tcMar>
              <w:left w:w="60" w:type="dxa"/>
              <w:right w:w="60" w:type="dxa"/>
            </w:tcMar>
            <w:vAlign w:val="center"/>
          </w:tcPr>
          <w:p>
            <w:pPr>
              <w:spacing w:after="0" w:line="30" w:lineRule="atLeas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c>
          <w:tcPr>
            <w:tcW w:w="2144" w:type="dxa"/>
            <w:tcBorders>
              <w:top w:val="nil"/>
              <w:left w:val="nil"/>
              <w:bottom w:val="single" w:color="auto" w:sz="6" w:space="0"/>
              <w:right w:val="single" w:color="auto" w:sz="6" w:space="0"/>
            </w:tcBorders>
            <w:tcMar>
              <w:left w:w="60" w:type="dxa"/>
              <w:right w:w="60" w:type="dxa"/>
            </w:tcMar>
            <w:vAlign w:val="center"/>
          </w:tcPr>
          <w:p>
            <w:pPr>
              <w:spacing w:after="0" w:line="30" w:lineRule="atLeas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6" w:hRule="atLeast"/>
          <w:jc w:val="center"/>
        </w:trPr>
        <w:tc>
          <w:tcPr>
            <w:tcW w:w="2290" w:type="dxa"/>
            <w:tcBorders>
              <w:top w:val="nil"/>
              <w:left w:val="single" w:color="auto" w:sz="6" w:space="0"/>
              <w:bottom w:val="single" w:color="auto" w:sz="6" w:space="0"/>
              <w:right w:val="single" w:color="auto" w:sz="6" w:space="0"/>
            </w:tcBorders>
            <w:tcMar>
              <w:left w:w="60" w:type="dxa"/>
              <w:right w:w="60" w:type="dxa"/>
            </w:tcMar>
            <w:vAlign w:val="center"/>
          </w:tcPr>
          <w:p>
            <w:pPr>
              <w:pStyle w:val="11"/>
              <w:widowControl/>
              <w:spacing w:before="0" w:beforeAutospacing="0" w:after="0" w:afterAutospacing="0" w:line="30" w:lineRule="atLeast"/>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行政规范性文件</w:t>
            </w:r>
          </w:p>
        </w:tc>
        <w:tc>
          <w:tcPr>
            <w:tcW w:w="2143" w:type="dxa"/>
            <w:tcBorders>
              <w:top w:val="nil"/>
              <w:left w:val="nil"/>
              <w:bottom w:val="single" w:color="auto" w:sz="6" w:space="0"/>
              <w:right w:val="single" w:color="auto" w:sz="6" w:space="0"/>
            </w:tcBorders>
            <w:tcMar>
              <w:left w:w="60" w:type="dxa"/>
              <w:right w:w="60" w:type="dxa"/>
            </w:tcMar>
            <w:vAlign w:val="center"/>
          </w:tcPr>
          <w:p>
            <w:pPr>
              <w:spacing w:after="0" w:line="30" w:lineRule="atLeast"/>
              <w:jc w:val="center"/>
              <w:rPr>
                <w:rFonts w:hint="default" w:ascii="Times New Roman" w:hAnsi="Times New Roman" w:cs="Times New Roman" w:eastAsiaTheme="minorEastAsia"/>
                <w:sz w:val="21"/>
                <w:szCs w:val="21"/>
                <w:lang w:val="en" w:eastAsia="zh-CN"/>
              </w:rPr>
            </w:pPr>
            <w:r>
              <w:rPr>
                <w:rFonts w:hint="default" w:ascii="Times New Roman" w:hAnsi="Times New Roman" w:cs="Times New Roman"/>
                <w:sz w:val="21"/>
                <w:szCs w:val="21"/>
                <w:lang w:val="en" w:eastAsia="zh-CN"/>
              </w:rPr>
              <w:t>65</w:t>
            </w:r>
          </w:p>
        </w:tc>
        <w:tc>
          <w:tcPr>
            <w:tcW w:w="2143" w:type="dxa"/>
            <w:tcBorders>
              <w:top w:val="nil"/>
              <w:left w:val="nil"/>
              <w:bottom w:val="single" w:color="auto" w:sz="6" w:space="0"/>
              <w:right w:val="single" w:color="auto" w:sz="6" w:space="0"/>
            </w:tcBorders>
            <w:tcMar>
              <w:left w:w="60" w:type="dxa"/>
              <w:right w:w="60" w:type="dxa"/>
            </w:tcMar>
            <w:vAlign w:val="center"/>
          </w:tcPr>
          <w:p>
            <w:pPr>
              <w:spacing w:after="0" w:line="30" w:lineRule="atLeast"/>
              <w:jc w:val="center"/>
              <w:rPr>
                <w:rFonts w:hint="default" w:ascii="Times New Roman" w:hAnsi="Times New Roman" w:cs="Times New Roman" w:eastAsiaTheme="minorEastAsia"/>
                <w:sz w:val="21"/>
                <w:szCs w:val="21"/>
                <w:lang w:val="en" w:eastAsia="zh-CN"/>
              </w:rPr>
            </w:pPr>
            <w:r>
              <w:rPr>
                <w:rFonts w:hint="default" w:ascii="Times New Roman" w:hAnsi="Times New Roman" w:cs="Times New Roman"/>
                <w:sz w:val="21"/>
                <w:szCs w:val="21"/>
                <w:lang w:val="en" w:eastAsia="zh-CN"/>
              </w:rPr>
              <w:t>79</w:t>
            </w:r>
          </w:p>
        </w:tc>
        <w:tc>
          <w:tcPr>
            <w:tcW w:w="2144" w:type="dxa"/>
            <w:tcBorders>
              <w:top w:val="nil"/>
              <w:left w:val="nil"/>
              <w:bottom w:val="single" w:color="auto" w:sz="6" w:space="0"/>
              <w:right w:val="single" w:color="auto" w:sz="6" w:space="0"/>
            </w:tcBorders>
            <w:tcMar>
              <w:left w:w="60" w:type="dxa"/>
              <w:right w:w="60" w:type="dxa"/>
            </w:tcMar>
            <w:vAlign w:val="center"/>
          </w:tcPr>
          <w:p>
            <w:pPr>
              <w:spacing w:after="0" w:line="30" w:lineRule="atLeast"/>
              <w:jc w:val="center"/>
              <w:rPr>
                <w:rFonts w:hint="default" w:ascii="Times New Roman" w:hAnsi="Times New Roman" w:cs="Times New Roman" w:eastAsiaTheme="minorEastAsia"/>
                <w:sz w:val="21"/>
                <w:szCs w:val="21"/>
                <w:lang w:val="en" w:eastAsia="zh-CN"/>
              </w:rPr>
            </w:pPr>
            <w:r>
              <w:rPr>
                <w:rFonts w:hint="default" w:ascii="Times New Roman" w:hAnsi="Times New Roman" w:cs="Times New Roman"/>
                <w:sz w:val="21"/>
                <w:szCs w:val="21"/>
                <w:lang w:val="en" w:eastAsia="zh-CN"/>
              </w:rPr>
              <w:t>264</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6" w:hRule="atLeast"/>
          <w:jc w:val="center"/>
        </w:trPr>
        <w:tc>
          <w:tcPr>
            <w:tcW w:w="8720" w:type="dxa"/>
            <w:gridSpan w:val="4"/>
            <w:tcBorders>
              <w:top w:val="nil"/>
              <w:left w:val="single" w:color="auto" w:sz="6" w:space="0"/>
              <w:bottom w:val="single" w:color="auto" w:sz="6" w:space="0"/>
              <w:right w:val="single" w:color="auto" w:sz="6" w:space="0"/>
            </w:tcBorders>
            <w:shd w:val="clear" w:color="auto" w:fill="C6D9F1"/>
            <w:tcMar>
              <w:left w:w="60" w:type="dxa"/>
              <w:right w:w="60" w:type="dxa"/>
            </w:tcMar>
            <w:vAlign w:val="center"/>
          </w:tcPr>
          <w:p>
            <w:pPr>
              <w:pStyle w:val="11"/>
              <w:widowControl/>
              <w:spacing w:before="0" w:beforeAutospacing="0" w:after="0" w:afterAutospacing="0" w:line="30" w:lineRule="atLeast"/>
              <w:jc w:val="center"/>
              <w:textAlignment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第二十条第（五）项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6" w:hRule="atLeast"/>
          <w:jc w:val="center"/>
        </w:trPr>
        <w:tc>
          <w:tcPr>
            <w:tcW w:w="2290" w:type="dxa"/>
            <w:tcBorders>
              <w:top w:val="nil"/>
              <w:left w:val="single" w:color="auto" w:sz="6" w:space="0"/>
              <w:bottom w:val="single" w:color="auto" w:sz="6" w:space="0"/>
              <w:right w:val="single" w:color="auto" w:sz="6" w:space="0"/>
            </w:tcBorders>
            <w:tcMar>
              <w:left w:w="60" w:type="dxa"/>
              <w:right w:w="60" w:type="dxa"/>
            </w:tcMar>
            <w:vAlign w:val="center"/>
          </w:tcPr>
          <w:p>
            <w:pPr>
              <w:pStyle w:val="11"/>
              <w:widowControl/>
              <w:spacing w:before="0" w:beforeAutospacing="0" w:after="0" w:afterAutospacing="0" w:line="30" w:lineRule="atLeast"/>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信息内容</w:t>
            </w:r>
          </w:p>
        </w:tc>
        <w:tc>
          <w:tcPr>
            <w:tcW w:w="6430" w:type="dxa"/>
            <w:gridSpan w:val="3"/>
            <w:tcBorders>
              <w:top w:val="nil"/>
              <w:left w:val="nil"/>
              <w:bottom w:val="single" w:color="auto" w:sz="6" w:space="0"/>
              <w:right w:val="single" w:color="auto" w:sz="6" w:space="0"/>
            </w:tcBorders>
            <w:tcMar>
              <w:left w:w="60" w:type="dxa"/>
              <w:right w:w="60" w:type="dxa"/>
            </w:tcMar>
            <w:vAlign w:val="center"/>
          </w:tcPr>
          <w:p>
            <w:pPr>
              <w:pStyle w:val="11"/>
              <w:widowControl/>
              <w:spacing w:before="0" w:beforeAutospacing="0" w:after="0" w:afterAutospacing="0" w:line="30" w:lineRule="atLeast"/>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6" w:hRule="atLeast"/>
          <w:jc w:val="center"/>
        </w:trPr>
        <w:tc>
          <w:tcPr>
            <w:tcW w:w="2290" w:type="dxa"/>
            <w:tcBorders>
              <w:top w:val="nil"/>
              <w:left w:val="single" w:color="auto" w:sz="6" w:space="0"/>
              <w:bottom w:val="single" w:color="auto" w:sz="6" w:space="0"/>
              <w:right w:val="single" w:color="auto" w:sz="6" w:space="0"/>
            </w:tcBorders>
            <w:tcMar>
              <w:left w:w="60" w:type="dxa"/>
              <w:right w:w="60" w:type="dxa"/>
            </w:tcMar>
            <w:vAlign w:val="center"/>
          </w:tcPr>
          <w:p>
            <w:pPr>
              <w:pStyle w:val="11"/>
              <w:widowControl/>
              <w:spacing w:before="0" w:beforeAutospacing="0" w:after="0" w:afterAutospacing="0" w:line="30" w:lineRule="atLeast"/>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行政许可</w:t>
            </w:r>
          </w:p>
        </w:tc>
        <w:tc>
          <w:tcPr>
            <w:tcW w:w="6430" w:type="dxa"/>
            <w:gridSpan w:val="3"/>
            <w:tcBorders>
              <w:top w:val="nil"/>
              <w:left w:val="nil"/>
              <w:bottom w:val="single" w:color="auto" w:sz="6" w:space="0"/>
              <w:right w:val="single" w:color="auto" w:sz="6" w:space="0"/>
            </w:tcBorders>
            <w:tcMar>
              <w:left w:w="60" w:type="dxa"/>
              <w:right w:w="60"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6" w:hRule="atLeast"/>
          <w:jc w:val="center"/>
        </w:trPr>
        <w:tc>
          <w:tcPr>
            <w:tcW w:w="8720" w:type="dxa"/>
            <w:gridSpan w:val="4"/>
            <w:tcBorders>
              <w:top w:val="nil"/>
              <w:left w:val="single" w:color="auto" w:sz="6" w:space="0"/>
              <w:bottom w:val="single" w:color="auto" w:sz="6" w:space="0"/>
              <w:right w:val="single" w:color="auto" w:sz="6" w:space="0"/>
            </w:tcBorders>
            <w:shd w:val="clear" w:color="auto" w:fill="C6D9F1"/>
            <w:tcMar>
              <w:left w:w="60" w:type="dxa"/>
              <w:right w:w="60" w:type="dxa"/>
            </w:tcMar>
            <w:vAlign w:val="center"/>
          </w:tcPr>
          <w:p>
            <w:pPr>
              <w:pStyle w:val="11"/>
              <w:widowControl/>
              <w:spacing w:before="0" w:beforeAutospacing="0" w:after="0" w:afterAutospacing="0" w:line="30" w:lineRule="atLeast"/>
              <w:jc w:val="center"/>
              <w:textAlignment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第二十条第（六）项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6" w:hRule="atLeast"/>
          <w:jc w:val="center"/>
        </w:trPr>
        <w:tc>
          <w:tcPr>
            <w:tcW w:w="2290" w:type="dxa"/>
            <w:tcBorders>
              <w:top w:val="single" w:color="auto" w:sz="6" w:space="0"/>
              <w:left w:val="single" w:color="auto" w:sz="6" w:space="0"/>
              <w:bottom w:val="single" w:color="auto" w:sz="6" w:space="0"/>
              <w:right w:val="single" w:color="auto" w:sz="6" w:space="0"/>
            </w:tcBorders>
            <w:tcMar>
              <w:left w:w="60" w:type="dxa"/>
              <w:right w:w="60" w:type="dxa"/>
            </w:tcMar>
            <w:vAlign w:val="center"/>
          </w:tcPr>
          <w:p>
            <w:pPr>
              <w:pStyle w:val="11"/>
              <w:widowControl/>
              <w:spacing w:before="0" w:beforeAutospacing="0" w:after="0" w:afterAutospacing="0" w:line="30" w:lineRule="atLeast"/>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信息内容</w:t>
            </w:r>
          </w:p>
        </w:tc>
        <w:tc>
          <w:tcPr>
            <w:tcW w:w="6430" w:type="dxa"/>
            <w:gridSpan w:val="3"/>
            <w:tcBorders>
              <w:top w:val="single" w:color="auto" w:sz="6" w:space="0"/>
              <w:left w:val="single" w:color="auto" w:sz="6" w:space="0"/>
              <w:bottom w:val="single" w:color="auto" w:sz="6" w:space="0"/>
              <w:right w:val="single" w:color="auto" w:sz="6" w:space="0"/>
            </w:tcBorders>
            <w:tcMar>
              <w:left w:w="60" w:type="dxa"/>
              <w:right w:w="60" w:type="dxa"/>
            </w:tcMar>
            <w:vAlign w:val="center"/>
          </w:tcPr>
          <w:p>
            <w:pPr>
              <w:pStyle w:val="11"/>
              <w:widowControl/>
              <w:spacing w:before="0" w:beforeAutospacing="0" w:after="0" w:afterAutospacing="0" w:line="30" w:lineRule="atLeast"/>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6" w:hRule="atLeast"/>
          <w:jc w:val="center"/>
        </w:trPr>
        <w:tc>
          <w:tcPr>
            <w:tcW w:w="2290" w:type="dxa"/>
            <w:tcBorders>
              <w:top w:val="single" w:color="auto" w:sz="6" w:space="0"/>
              <w:left w:val="single" w:color="auto" w:sz="6" w:space="0"/>
              <w:bottom w:val="single" w:color="auto" w:sz="6" w:space="0"/>
              <w:right w:val="single" w:color="auto" w:sz="6" w:space="0"/>
            </w:tcBorders>
            <w:tcMar>
              <w:left w:w="60" w:type="dxa"/>
              <w:right w:w="60" w:type="dxa"/>
            </w:tcMar>
            <w:vAlign w:val="center"/>
          </w:tcPr>
          <w:p>
            <w:pPr>
              <w:pStyle w:val="11"/>
              <w:widowControl/>
              <w:spacing w:before="0" w:beforeAutospacing="0" w:after="0" w:afterAutospacing="0" w:line="30" w:lineRule="atLeast"/>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行政处罚</w:t>
            </w:r>
          </w:p>
        </w:tc>
        <w:tc>
          <w:tcPr>
            <w:tcW w:w="6430" w:type="dxa"/>
            <w:gridSpan w:val="3"/>
            <w:tcBorders>
              <w:top w:val="single" w:color="auto" w:sz="6" w:space="0"/>
              <w:left w:val="nil"/>
              <w:bottom w:val="single" w:color="auto" w:sz="6" w:space="0"/>
              <w:right w:val="single" w:color="auto" w:sz="6" w:space="0"/>
            </w:tcBorders>
            <w:tcMar>
              <w:left w:w="60" w:type="dxa"/>
              <w:right w:w="60"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6" w:hRule="atLeast"/>
          <w:jc w:val="center"/>
        </w:trPr>
        <w:tc>
          <w:tcPr>
            <w:tcW w:w="2290" w:type="dxa"/>
            <w:tcBorders>
              <w:top w:val="nil"/>
              <w:left w:val="single" w:color="auto" w:sz="6" w:space="0"/>
              <w:bottom w:val="single" w:color="auto" w:sz="6" w:space="0"/>
              <w:right w:val="single" w:color="auto" w:sz="6" w:space="0"/>
            </w:tcBorders>
            <w:tcMar>
              <w:left w:w="60" w:type="dxa"/>
              <w:right w:w="60" w:type="dxa"/>
            </w:tcMar>
            <w:vAlign w:val="center"/>
          </w:tcPr>
          <w:p>
            <w:pPr>
              <w:pStyle w:val="11"/>
              <w:widowControl/>
              <w:spacing w:before="0" w:beforeAutospacing="0" w:after="0" w:afterAutospacing="0" w:line="30" w:lineRule="atLeast"/>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行政强制</w:t>
            </w:r>
          </w:p>
        </w:tc>
        <w:tc>
          <w:tcPr>
            <w:tcW w:w="6430" w:type="dxa"/>
            <w:gridSpan w:val="3"/>
            <w:tcBorders>
              <w:top w:val="nil"/>
              <w:left w:val="nil"/>
              <w:bottom w:val="single" w:color="auto" w:sz="6" w:space="0"/>
              <w:right w:val="single" w:color="auto" w:sz="6" w:space="0"/>
            </w:tcBorders>
            <w:tcMar>
              <w:left w:w="60" w:type="dxa"/>
              <w:right w:w="60"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6" w:hRule="atLeast"/>
          <w:jc w:val="center"/>
        </w:trPr>
        <w:tc>
          <w:tcPr>
            <w:tcW w:w="8720" w:type="dxa"/>
            <w:gridSpan w:val="4"/>
            <w:tcBorders>
              <w:top w:val="nil"/>
              <w:left w:val="single" w:color="auto" w:sz="6" w:space="0"/>
              <w:bottom w:val="single" w:color="auto" w:sz="6" w:space="0"/>
              <w:right w:val="single" w:color="auto" w:sz="6" w:space="0"/>
            </w:tcBorders>
            <w:shd w:val="clear" w:color="auto" w:fill="C6D9F1"/>
            <w:tcMar>
              <w:left w:w="60" w:type="dxa"/>
              <w:right w:w="60" w:type="dxa"/>
            </w:tcMar>
            <w:vAlign w:val="center"/>
          </w:tcPr>
          <w:p>
            <w:pPr>
              <w:pStyle w:val="11"/>
              <w:widowControl/>
              <w:spacing w:before="0" w:beforeAutospacing="0" w:after="0" w:afterAutospacing="0" w:line="30" w:lineRule="atLeast"/>
              <w:jc w:val="center"/>
              <w:textAlignment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第二十条第（八）项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6" w:hRule="atLeast"/>
          <w:jc w:val="center"/>
        </w:trPr>
        <w:tc>
          <w:tcPr>
            <w:tcW w:w="2290" w:type="dxa"/>
            <w:tcBorders>
              <w:top w:val="nil"/>
              <w:left w:val="single" w:color="auto" w:sz="6" w:space="0"/>
              <w:bottom w:val="single" w:color="auto" w:sz="6" w:space="0"/>
              <w:right w:val="single" w:color="auto" w:sz="6" w:space="0"/>
            </w:tcBorders>
            <w:tcMar>
              <w:left w:w="60" w:type="dxa"/>
              <w:right w:w="60" w:type="dxa"/>
            </w:tcMar>
            <w:vAlign w:val="center"/>
          </w:tcPr>
          <w:p>
            <w:pPr>
              <w:pStyle w:val="11"/>
              <w:widowControl/>
              <w:spacing w:before="0" w:beforeAutospacing="0" w:after="0" w:afterAutospacing="0" w:line="30" w:lineRule="atLeast"/>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信息内容</w:t>
            </w:r>
          </w:p>
        </w:tc>
        <w:tc>
          <w:tcPr>
            <w:tcW w:w="6430" w:type="dxa"/>
            <w:gridSpan w:val="3"/>
            <w:tcBorders>
              <w:top w:val="nil"/>
              <w:left w:val="nil"/>
              <w:bottom w:val="single" w:color="auto" w:sz="6" w:space="0"/>
              <w:right w:val="single" w:color="000000" w:sz="6" w:space="0"/>
            </w:tcBorders>
            <w:tcMar>
              <w:left w:w="60" w:type="dxa"/>
              <w:right w:w="60" w:type="dxa"/>
            </w:tcMar>
            <w:vAlign w:val="center"/>
          </w:tcPr>
          <w:p>
            <w:pPr>
              <w:pStyle w:val="11"/>
              <w:widowControl/>
              <w:spacing w:before="0" w:beforeAutospacing="0" w:after="0" w:afterAutospacing="0" w:line="30" w:lineRule="atLeast"/>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本年收费金额（单位：万元）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6" w:hRule="atLeast"/>
          <w:jc w:val="center"/>
        </w:trPr>
        <w:tc>
          <w:tcPr>
            <w:tcW w:w="2290" w:type="dxa"/>
            <w:tcBorders>
              <w:top w:val="nil"/>
              <w:left w:val="single" w:color="auto" w:sz="6" w:space="0"/>
              <w:bottom w:val="single" w:color="auto" w:sz="6" w:space="0"/>
              <w:right w:val="single" w:color="auto" w:sz="6" w:space="0"/>
            </w:tcBorders>
            <w:tcMar>
              <w:left w:w="60" w:type="dxa"/>
              <w:right w:w="60" w:type="dxa"/>
            </w:tcMar>
            <w:vAlign w:val="center"/>
          </w:tcPr>
          <w:p>
            <w:pPr>
              <w:pStyle w:val="11"/>
              <w:widowControl/>
              <w:spacing w:before="0" w:beforeAutospacing="0" w:after="0" w:afterAutospacing="0" w:line="30" w:lineRule="atLeast"/>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行政事业性收费</w:t>
            </w:r>
          </w:p>
        </w:tc>
        <w:tc>
          <w:tcPr>
            <w:tcW w:w="6430" w:type="dxa"/>
            <w:gridSpan w:val="3"/>
            <w:tcBorders>
              <w:top w:val="nil"/>
              <w:left w:val="nil"/>
              <w:bottom w:val="single" w:color="auto" w:sz="6" w:space="0"/>
              <w:right w:val="single" w:color="000000" w:sz="6" w:space="0"/>
            </w:tcBorders>
            <w:tcMar>
              <w:left w:w="60" w:type="dxa"/>
              <w:right w:w="60"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r>
    </w:tbl>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黑体" w:cs="Times New Roman"/>
          <w:sz w:val="32"/>
          <w:szCs w:val="32"/>
          <w:shd w:val="clear"/>
        </w:rPr>
      </w:pPr>
      <w:r>
        <w:rPr>
          <w:rFonts w:hint="default" w:ascii="Times New Roman" w:hAnsi="Times New Roman" w:eastAsia="黑体" w:cs="Times New Roman"/>
          <w:sz w:val="32"/>
          <w:szCs w:val="32"/>
          <w:shd w:val="clear"/>
        </w:rPr>
        <w:t>三、收到和处理政府信息公开申请情况</w:t>
      </w:r>
    </w:p>
    <w:tbl>
      <w:tblPr>
        <w:tblStyle w:val="14"/>
        <w:tblW w:w="8763"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
      <w:tblGrid>
        <w:gridCol w:w="627"/>
        <w:gridCol w:w="681"/>
        <w:gridCol w:w="3192"/>
        <w:gridCol w:w="731"/>
        <w:gridCol w:w="487"/>
        <w:gridCol w:w="609"/>
        <w:gridCol w:w="727"/>
        <w:gridCol w:w="715"/>
        <w:gridCol w:w="485"/>
        <w:gridCol w:w="50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7" w:hRule="atLeast"/>
          <w:tblHeader/>
          <w:jc w:val="center"/>
        </w:trPr>
        <w:tc>
          <w:tcPr>
            <w:tcW w:w="4500" w:type="dxa"/>
            <w:gridSpan w:val="3"/>
            <w:vMerge w:val="restart"/>
            <w:tcBorders>
              <w:top w:val="single" w:color="auto" w:sz="6" w:space="0"/>
              <w:left w:val="single" w:color="auto" w:sz="6" w:space="0"/>
              <w:bottom w:val="outset"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both"/>
              <w:textAlignment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（本列数据的勾稽关系为：第一项加第二项之和，等于第三项加第四项之和）</w:t>
            </w:r>
          </w:p>
        </w:tc>
        <w:tc>
          <w:tcPr>
            <w:tcW w:w="4263" w:type="dxa"/>
            <w:gridSpan w:val="7"/>
            <w:tcBorders>
              <w:top w:val="single" w:color="auto" w:sz="6" w:space="0"/>
              <w:left w:val="nil"/>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申请人情况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7" w:hRule="atLeast"/>
          <w:tblHeader/>
          <w:jc w:val="center"/>
        </w:trPr>
        <w:tc>
          <w:tcPr>
            <w:tcW w:w="4500" w:type="dxa"/>
            <w:gridSpan w:val="3"/>
            <w:vMerge w:val="continue"/>
            <w:tcBorders>
              <w:top w:val="single" w:color="auto" w:sz="6" w:space="0"/>
              <w:left w:val="single" w:color="auto" w:sz="6" w:space="0"/>
              <w:bottom w:val="outset" w:color="auto" w:sz="6" w:space="0"/>
              <w:right w:val="single" w:color="auto" w:sz="6" w:space="0"/>
            </w:tcBorders>
            <w:tcMar>
              <w:left w:w="28" w:type="dxa"/>
              <w:right w:w="28" w:type="dxa"/>
            </w:tcMar>
            <w:vAlign w:val="center"/>
          </w:tcPr>
          <w:p>
            <w:pPr>
              <w:jc w:val="both"/>
              <w:rPr>
                <w:rFonts w:hint="default" w:ascii="Times New Roman" w:hAnsi="Times New Roman" w:eastAsia="黑体" w:cs="Times New Roman"/>
                <w:sz w:val="21"/>
                <w:szCs w:val="21"/>
              </w:rPr>
            </w:pPr>
          </w:p>
        </w:tc>
        <w:tc>
          <w:tcPr>
            <w:tcW w:w="731" w:type="dxa"/>
            <w:vMerge w:val="restart"/>
            <w:tcBorders>
              <w:top w:val="nil"/>
              <w:left w:val="nil"/>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自然人</w:t>
            </w:r>
          </w:p>
        </w:tc>
        <w:tc>
          <w:tcPr>
            <w:tcW w:w="3023" w:type="dxa"/>
            <w:gridSpan w:val="5"/>
            <w:tcBorders>
              <w:top w:val="single" w:color="auto" w:sz="6" w:space="0"/>
              <w:left w:val="nil"/>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法人或其他组织</w:t>
            </w:r>
          </w:p>
        </w:tc>
        <w:tc>
          <w:tcPr>
            <w:tcW w:w="509" w:type="dxa"/>
            <w:vMerge w:val="restart"/>
            <w:tcBorders>
              <w:top w:val="single" w:color="auto" w:sz="6" w:space="0"/>
              <w:left w:val="nil"/>
              <w:bottom w:val="outset"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7" w:hRule="atLeast"/>
          <w:tblHeader/>
          <w:jc w:val="center"/>
        </w:trPr>
        <w:tc>
          <w:tcPr>
            <w:tcW w:w="4500" w:type="dxa"/>
            <w:gridSpan w:val="3"/>
            <w:vMerge w:val="continue"/>
            <w:tcBorders>
              <w:top w:val="single" w:color="auto" w:sz="6" w:space="0"/>
              <w:left w:val="single" w:color="auto" w:sz="6" w:space="0"/>
              <w:bottom w:val="outset" w:color="auto" w:sz="6" w:space="0"/>
              <w:right w:val="single" w:color="auto" w:sz="6" w:space="0"/>
            </w:tcBorders>
            <w:tcMar>
              <w:left w:w="28" w:type="dxa"/>
              <w:right w:w="28" w:type="dxa"/>
            </w:tcMar>
            <w:vAlign w:val="center"/>
          </w:tcPr>
          <w:p>
            <w:pPr>
              <w:jc w:val="both"/>
              <w:rPr>
                <w:rFonts w:hint="default" w:ascii="Times New Roman" w:hAnsi="Times New Roman" w:eastAsia="黑体" w:cs="Times New Roman"/>
                <w:sz w:val="21"/>
                <w:szCs w:val="21"/>
              </w:rPr>
            </w:pPr>
          </w:p>
        </w:tc>
        <w:tc>
          <w:tcPr>
            <w:tcW w:w="731" w:type="dxa"/>
            <w:vMerge w:val="continue"/>
            <w:tcBorders>
              <w:top w:val="nil"/>
              <w:left w:val="nil"/>
              <w:bottom w:val="single" w:color="auto" w:sz="6" w:space="0"/>
              <w:right w:val="single" w:color="auto" w:sz="6" w:space="0"/>
            </w:tcBorders>
            <w:tcMar>
              <w:left w:w="28" w:type="dxa"/>
              <w:right w:w="28" w:type="dxa"/>
            </w:tcMar>
            <w:vAlign w:val="center"/>
          </w:tcPr>
          <w:p>
            <w:pPr>
              <w:jc w:val="center"/>
              <w:rPr>
                <w:rFonts w:hint="default" w:ascii="Times New Roman" w:hAnsi="Times New Roman" w:eastAsia="黑体" w:cs="Times New Roman"/>
                <w:sz w:val="21"/>
                <w:szCs w:val="21"/>
              </w:rPr>
            </w:pPr>
          </w:p>
        </w:tc>
        <w:tc>
          <w:tcPr>
            <w:tcW w:w="487" w:type="dxa"/>
            <w:tcBorders>
              <w:top w:val="nil"/>
              <w:left w:val="nil"/>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商业</w:t>
            </w:r>
          </w:p>
          <w:p>
            <w:pPr>
              <w:pStyle w:val="11"/>
              <w:widowControl/>
              <w:spacing w:before="0" w:beforeAutospacing="0" w:after="0" w:afterAutospacing="0" w:line="3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企业</w:t>
            </w:r>
          </w:p>
        </w:tc>
        <w:tc>
          <w:tcPr>
            <w:tcW w:w="609" w:type="dxa"/>
            <w:tcBorders>
              <w:top w:val="nil"/>
              <w:left w:val="nil"/>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科研</w:t>
            </w:r>
          </w:p>
          <w:p>
            <w:pPr>
              <w:pStyle w:val="11"/>
              <w:widowControl/>
              <w:spacing w:before="0" w:beforeAutospacing="0" w:after="0" w:afterAutospacing="0" w:line="3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机构</w:t>
            </w:r>
          </w:p>
        </w:tc>
        <w:tc>
          <w:tcPr>
            <w:tcW w:w="727" w:type="dxa"/>
            <w:tcBorders>
              <w:top w:val="single" w:color="auto" w:sz="6" w:space="0"/>
              <w:left w:val="nil"/>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社会公益组织</w:t>
            </w:r>
          </w:p>
        </w:tc>
        <w:tc>
          <w:tcPr>
            <w:tcW w:w="715" w:type="dxa"/>
            <w:tcBorders>
              <w:top w:val="single" w:color="auto" w:sz="6" w:space="0"/>
              <w:left w:val="nil"/>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法律服务机构</w:t>
            </w:r>
          </w:p>
        </w:tc>
        <w:tc>
          <w:tcPr>
            <w:tcW w:w="485" w:type="dxa"/>
            <w:tcBorders>
              <w:top w:val="single" w:color="auto" w:sz="6" w:space="0"/>
              <w:left w:val="nil"/>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其他</w:t>
            </w:r>
          </w:p>
        </w:tc>
        <w:tc>
          <w:tcPr>
            <w:tcW w:w="509" w:type="dxa"/>
            <w:vMerge w:val="continue"/>
            <w:tcBorders>
              <w:top w:val="single" w:color="auto" w:sz="6" w:space="0"/>
              <w:left w:val="nil"/>
              <w:bottom w:val="outset" w:color="auto" w:sz="6" w:space="0"/>
              <w:right w:val="single" w:color="auto" w:sz="6" w:space="0"/>
            </w:tcBorders>
            <w:tcMar>
              <w:left w:w="28" w:type="dxa"/>
              <w:right w:w="28" w:type="dxa"/>
            </w:tcMar>
            <w:vAlign w:val="center"/>
          </w:tcPr>
          <w:p>
            <w:pPr>
              <w:jc w:val="center"/>
              <w:rPr>
                <w:rFonts w:hint="default" w:ascii="Times New Roman" w:hAnsi="Times New Roman" w:eastAsia="黑体" w:cs="Times New Roman"/>
                <w:sz w:val="21"/>
                <w:szCs w:val="2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4500" w:type="dxa"/>
            <w:gridSpan w:val="3"/>
            <w:tcBorders>
              <w:top w:val="nil"/>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一、本年新收政府信息公开申请数量</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eastAsia" w:ascii="Times New Roman" w:hAnsi="Times New Roman" w:cs="Times New Roman"/>
                <w:sz w:val="21"/>
                <w:szCs w:val="21"/>
                <w:lang w:val="en-US" w:eastAsia="zh-CN"/>
              </w:rPr>
              <w:t>72</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eastAsia" w:ascii="Times New Roman" w:hAnsi="Times New Roman" w:cs="Times New Roman"/>
                <w:sz w:val="21"/>
                <w:szCs w:val="21"/>
                <w:lang w:val="en-US" w:eastAsia="zh-CN"/>
              </w:rPr>
              <w:t>1</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eastAsia" w:ascii="Times New Roman" w:hAnsi="Times New Roman" w:cs="Times New Roman"/>
                <w:sz w:val="21"/>
                <w:szCs w:val="21"/>
                <w:lang w:val="en-US" w:eastAsia="zh-CN"/>
              </w:rPr>
              <w:t>2</w:t>
            </w:r>
          </w:p>
        </w:tc>
        <w:tc>
          <w:tcPr>
            <w:tcW w:w="5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eastAsia" w:ascii="Times New Roman" w:hAnsi="Times New Roman" w:cs="Times New Roman"/>
                <w:sz w:val="21"/>
                <w:szCs w:val="21"/>
                <w:lang w:val="en-US" w:eastAsia="zh-CN"/>
              </w:rPr>
              <w:t>75</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4500" w:type="dxa"/>
            <w:gridSpan w:val="3"/>
            <w:tcBorders>
              <w:top w:val="nil"/>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二、上年结转政府信息公开申请数量</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eastAsia" w:ascii="Times New Roman" w:hAnsi="Times New Roman" w:cs="Times New Roman"/>
                <w:sz w:val="21"/>
                <w:szCs w:val="21"/>
                <w:lang w:val="en-US" w:eastAsia="zh-CN"/>
              </w:rPr>
              <w:t>1</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eastAsia" w:ascii="Times New Roman" w:hAnsi="Times New Roman" w:cs="Times New Roman"/>
                <w:sz w:val="21"/>
                <w:szCs w:val="21"/>
                <w:lang w:val="en-US" w:eastAsia="zh-CN"/>
              </w:rPr>
              <w:t>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627" w:type="dxa"/>
            <w:vMerge w:val="restart"/>
            <w:tcBorders>
              <w:top w:val="single" w:color="auto" w:sz="6" w:space="0"/>
              <w:left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三、本年度办理结果</w:t>
            </w:r>
          </w:p>
          <w:p>
            <w:pPr>
              <w:jc w:val="center"/>
              <w:rPr>
                <w:rFonts w:hint="default" w:ascii="Times New Roman" w:hAnsi="Times New Roman" w:cs="Times New Roman" w:eastAsiaTheme="minorEastAsia"/>
                <w:sz w:val="21"/>
                <w:szCs w:val="21"/>
              </w:rPr>
            </w:pPr>
          </w:p>
        </w:tc>
        <w:tc>
          <w:tcPr>
            <w:tcW w:w="3873" w:type="dxa"/>
            <w:gridSpan w:val="2"/>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（一）予以公开</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eastAsia" w:ascii="Times New Roman" w:hAnsi="Times New Roman" w:cs="Times New Roman"/>
                <w:sz w:val="21"/>
                <w:szCs w:val="21"/>
                <w:lang w:val="en-US" w:eastAsia="zh-CN"/>
              </w:rPr>
              <w:t>6</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single" w:color="auto" w:sz="6" w:space="0"/>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eastAsia" w:ascii="Times New Roman" w:hAnsi="Times New Roman" w:cs="Times New Roman"/>
                <w:sz w:val="21"/>
                <w:szCs w:val="21"/>
                <w:lang w:val="en-US" w:eastAsia="zh-CN"/>
              </w:rPr>
              <w:t>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627" w:type="dxa"/>
            <w:vMerge w:val="continue"/>
            <w:tcBorders>
              <w:left w:val="single"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3873" w:type="dxa"/>
            <w:gridSpan w:val="2"/>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（二）部分公开（区分处理的，只计这一情形，不计其他情形）</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eastAsia" w:ascii="Times New Roman" w:hAnsi="Times New Roman" w:cs="Times New Roman"/>
                <w:sz w:val="21"/>
                <w:szCs w:val="21"/>
                <w:lang w:val="en-US" w:eastAsia="zh-CN"/>
              </w:rPr>
              <w:t>6</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eastAsia" w:ascii="Times New Roman" w:hAnsi="Times New Roman" w:cs="Times New Roman"/>
                <w:sz w:val="21"/>
                <w:szCs w:val="21"/>
                <w:lang w:val="en-US" w:eastAsia="zh-CN"/>
              </w:rPr>
              <w:t>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627" w:type="dxa"/>
            <w:vMerge w:val="continue"/>
            <w:tcBorders>
              <w:left w:val="single"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681" w:type="dxa"/>
            <w:vMerge w:val="restart"/>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（三）不予公开</w:t>
            </w:r>
          </w:p>
        </w:tc>
        <w:tc>
          <w:tcPr>
            <w:tcW w:w="3192"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1.属于国家秘密</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single" w:color="auto" w:sz="6" w:space="0"/>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627" w:type="dxa"/>
            <w:vMerge w:val="continue"/>
            <w:tcBorders>
              <w:left w:val="single"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681" w:type="dxa"/>
            <w:vMerge w:val="continue"/>
            <w:tcBorders>
              <w:top w:val="single" w:color="auto" w:sz="6" w:space="0"/>
              <w:left w:val="single" w:color="auto" w:sz="6" w:space="0"/>
              <w:bottom w:val="single" w:color="auto" w:sz="6" w:space="0"/>
              <w:right w:val="single" w:color="auto" w:sz="6" w:space="0"/>
            </w:tcBorders>
            <w:tcMar>
              <w:left w:w="28" w:type="dxa"/>
              <w:right w:w="28" w:type="dxa"/>
            </w:tcMar>
            <w:vAlign w:val="center"/>
          </w:tcPr>
          <w:p>
            <w:pPr>
              <w:jc w:val="center"/>
              <w:rPr>
                <w:rFonts w:hint="default" w:ascii="Times New Roman" w:hAnsi="Times New Roman" w:cs="Times New Roman" w:eastAsiaTheme="minorEastAsia"/>
                <w:sz w:val="21"/>
                <w:szCs w:val="21"/>
              </w:rPr>
            </w:pPr>
          </w:p>
        </w:tc>
        <w:tc>
          <w:tcPr>
            <w:tcW w:w="3192"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2.其他法律行政法规禁止公开</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627" w:type="dxa"/>
            <w:vMerge w:val="continue"/>
            <w:tcBorders>
              <w:left w:val="single"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681" w:type="dxa"/>
            <w:vMerge w:val="continue"/>
            <w:tcBorders>
              <w:top w:val="single" w:color="auto" w:sz="6" w:space="0"/>
              <w:left w:val="single" w:color="auto" w:sz="6" w:space="0"/>
              <w:bottom w:val="single" w:color="auto" w:sz="6" w:space="0"/>
              <w:right w:val="single" w:color="auto" w:sz="6" w:space="0"/>
            </w:tcBorders>
            <w:tcMar>
              <w:left w:w="28" w:type="dxa"/>
              <w:right w:w="28" w:type="dxa"/>
            </w:tcMar>
            <w:vAlign w:val="center"/>
          </w:tcPr>
          <w:p>
            <w:pPr>
              <w:jc w:val="center"/>
              <w:rPr>
                <w:rFonts w:hint="default" w:ascii="Times New Roman" w:hAnsi="Times New Roman" w:cs="Times New Roman" w:eastAsiaTheme="minorEastAsia"/>
                <w:sz w:val="21"/>
                <w:szCs w:val="21"/>
              </w:rPr>
            </w:pPr>
          </w:p>
        </w:tc>
        <w:tc>
          <w:tcPr>
            <w:tcW w:w="3192"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3.危及“三安全一稳定”</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627" w:type="dxa"/>
            <w:vMerge w:val="continue"/>
            <w:tcBorders>
              <w:left w:val="single"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681" w:type="dxa"/>
            <w:vMerge w:val="continue"/>
            <w:tcBorders>
              <w:top w:val="single" w:color="auto" w:sz="6" w:space="0"/>
              <w:left w:val="single" w:color="auto" w:sz="6" w:space="0"/>
              <w:bottom w:val="single" w:color="auto" w:sz="6" w:space="0"/>
              <w:right w:val="single" w:color="auto" w:sz="6" w:space="0"/>
            </w:tcBorders>
            <w:tcMar>
              <w:left w:w="28" w:type="dxa"/>
              <w:right w:w="28" w:type="dxa"/>
            </w:tcMar>
            <w:vAlign w:val="center"/>
          </w:tcPr>
          <w:p>
            <w:pPr>
              <w:jc w:val="center"/>
              <w:rPr>
                <w:rFonts w:hint="default" w:ascii="Times New Roman" w:hAnsi="Times New Roman" w:cs="Times New Roman" w:eastAsiaTheme="minorEastAsia"/>
                <w:sz w:val="21"/>
                <w:szCs w:val="21"/>
              </w:rPr>
            </w:pPr>
          </w:p>
        </w:tc>
        <w:tc>
          <w:tcPr>
            <w:tcW w:w="3192"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4.保护第三方合法权益</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627" w:type="dxa"/>
            <w:vMerge w:val="continue"/>
            <w:tcBorders>
              <w:left w:val="single"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681" w:type="dxa"/>
            <w:vMerge w:val="continue"/>
            <w:tcBorders>
              <w:top w:val="single" w:color="auto" w:sz="6" w:space="0"/>
              <w:left w:val="single" w:color="auto" w:sz="6" w:space="0"/>
              <w:bottom w:val="single" w:color="auto" w:sz="6" w:space="0"/>
              <w:right w:val="single" w:color="auto" w:sz="6" w:space="0"/>
            </w:tcBorders>
            <w:tcMar>
              <w:left w:w="28" w:type="dxa"/>
              <w:right w:w="28" w:type="dxa"/>
            </w:tcMar>
            <w:vAlign w:val="center"/>
          </w:tcPr>
          <w:p>
            <w:pPr>
              <w:jc w:val="center"/>
              <w:rPr>
                <w:rFonts w:hint="default" w:ascii="Times New Roman" w:hAnsi="Times New Roman" w:cs="Times New Roman" w:eastAsiaTheme="minorEastAsia"/>
                <w:sz w:val="21"/>
                <w:szCs w:val="21"/>
              </w:rPr>
            </w:pPr>
          </w:p>
        </w:tc>
        <w:tc>
          <w:tcPr>
            <w:tcW w:w="3192"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5.属于三类内部事务信息</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eastAsia" w:ascii="Times New Roman" w:hAnsi="Times New Roman" w:cs="Times New Roman"/>
                <w:sz w:val="21"/>
                <w:szCs w:val="21"/>
                <w:lang w:val="en-US" w:eastAsia="zh-CN"/>
              </w:rPr>
              <w:t>0</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eastAsia" w:ascii="Times New Roman" w:hAnsi="Times New Roman" w:cs="Times New Roman"/>
                <w:sz w:val="21"/>
                <w:szCs w:val="21"/>
                <w:lang w:val="en-US" w:eastAsia="zh-CN"/>
              </w:rPr>
              <w:t>1</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eastAsia" w:ascii="Times New Roman" w:hAnsi="Times New Roman" w:cs="Times New Roman"/>
                <w:sz w:val="21"/>
                <w:szCs w:val="21"/>
                <w:lang w:val="en-US" w:eastAsia="zh-CN"/>
              </w:rPr>
              <w:t>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627" w:type="dxa"/>
            <w:vMerge w:val="continue"/>
            <w:tcBorders>
              <w:left w:val="single"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681" w:type="dxa"/>
            <w:vMerge w:val="continue"/>
            <w:tcBorders>
              <w:top w:val="single" w:color="auto" w:sz="6" w:space="0"/>
              <w:left w:val="single" w:color="auto" w:sz="6" w:space="0"/>
              <w:bottom w:val="single" w:color="auto" w:sz="6" w:space="0"/>
              <w:right w:val="single" w:color="auto" w:sz="6" w:space="0"/>
            </w:tcBorders>
            <w:tcMar>
              <w:left w:w="28" w:type="dxa"/>
              <w:right w:w="28" w:type="dxa"/>
            </w:tcMar>
            <w:vAlign w:val="center"/>
          </w:tcPr>
          <w:p>
            <w:pPr>
              <w:jc w:val="center"/>
              <w:rPr>
                <w:rFonts w:hint="default" w:ascii="Times New Roman" w:hAnsi="Times New Roman" w:cs="Times New Roman" w:eastAsiaTheme="minorEastAsia"/>
                <w:sz w:val="21"/>
                <w:szCs w:val="21"/>
              </w:rPr>
            </w:pPr>
          </w:p>
        </w:tc>
        <w:tc>
          <w:tcPr>
            <w:tcW w:w="3192"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6.属于四类过程性信息</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eastAsia" w:ascii="Times New Roman" w:hAnsi="Times New Roman" w:cs="Times New Roman"/>
                <w:sz w:val="21"/>
                <w:szCs w:val="21"/>
                <w:lang w:val="en-US" w:eastAsia="zh-CN"/>
              </w:rPr>
              <w:t>2</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eastAsia" w:ascii="Times New Roman" w:hAnsi="Times New Roman" w:cs="Times New Roman"/>
                <w:sz w:val="21"/>
                <w:szCs w:val="21"/>
                <w:lang w:val="en-US" w:eastAsia="zh-CN"/>
              </w:rPr>
              <w:t>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627" w:type="dxa"/>
            <w:vMerge w:val="continue"/>
            <w:tcBorders>
              <w:left w:val="single"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681" w:type="dxa"/>
            <w:vMerge w:val="continue"/>
            <w:tcBorders>
              <w:top w:val="single" w:color="auto" w:sz="6" w:space="0"/>
              <w:left w:val="single" w:color="auto" w:sz="6" w:space="0"/>
              <w:bottom w:val="single" w:color="auto" w:sz="6" w:space="0"/>
              <w:right w:val="single" w:color="auto" w:sz="6" w:space="0"/>
            </w:tcBorders>
            <w:tcMar>
              <w:left w:w="28" w:type="dxa"/>
              <w:right w:w="28" w:type="dxa"/>
            </w:tcMar>
            <w:vAlign w:val="center"/>
          </w:tcPr>
          <w:p>
            <w:pPr>
              <w:jc w:val="center"/>
              <w:rPr>
                <w:rFonts w:hint="default" w:ascii="Times New Roman" w:hAnsi="Times New Roman" w:cs="Times New Roman" w:eastAsiaTheme="minorEastAsia"/>
                <w:sz w:val="21"/>
                <w:szCs w:val="21"/>
              </w:rPr>
            </w:pPr>
          </w:p>
        </w:tc>
        <w:tc>
          <w:tcPr>
            <w:tcW w:w="3192"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7.属于行政执法案卷</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627" w:type="dxa"/>
            <w:vMerge w:val="continue"/>
            <w:tcBorders>
              <w:left w:val="single"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681" w:type="dxa"/>
            <w:vMerge w:val="continue"/>
            <w:tcBorders>
              <w:top w:val="single" w:color="auto" w:sz="6" w:space="0"/>
              <w:left w:val="single" w:color="auto" w:sz="6" w:space="0"/>
              <w:bottom w:val="single" w:color="auto" w:sz="6" w:space="0"/>
              <w:right w:val="single" w:color="auto" w:sz="6" w:space="0"/>
            </w:tcBorders>
            <w:tcMar>
              <w:left w:w="28" w:type="dxa"/>
              <w:right w:w="28" w:type="dxa"/>
            </w:tcMar>
            <w:vAlign w:val="center"/>
          </w:tcPr>
          <w:p>
            <w:pPr>
              <w:jc w:val="center"/>
              <w:rPr>
                <w:rFonts w:hint="default" w:ascii="Times New Roman" w:hAnsi="Times New Roman" w:cs="Times New Roman" w:eastAsiaTheme="minorEastAsia"/>
                <w:sz w:val="21"/>
                <w:szCs w:val="21"/>
              </w:rPr>
            </w:pPr>
          </w:p>
        </w:tc>
        <w:tc>
          <w:tcPr>
            <w:tcW w:w="3192"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8.属于行政查询事项</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627" w:type="dxa"/>
            <w:vMerge w:val="continue"/>
            <w:tcBorders>
              <w:left w:val="single" w:color="auto" w:sz="6" w:space="0"/>
              <w:right w:val="single" w:color="auto" w:sz="6" w:space="0"/>
            </w:tcBorders>
            <w:tcMar>
              <w:left w:w="28" w:type="dxa"/>
              <w:right w:w="28" w:type="dxa"/>
            </w:tcMar>
            <w:vAlign w:val="center"/>
          </w:tcPr>
          <w:p>
            <w:pPr>
              <w:jc w:val="center"/>
              <w:rPr>
                <w:rFonts w:hint="default" w:ascii="Times New Roman" w:hAnsi="Times New Roman" w:cs="Times New Roman" w:eastAsiaTheme="minorEastAsia"/>
                <w:sz w:val="21"/>
                <w:szCs w:val="21"/>
              </w:rPr>
            </w:pPr>
          </w:p>
        </w:tc>
        <w:tc>
          <w:tcPr>
            <w:tcW w:w="681" w:type="dxa"/>
            <w:vMerge w:val="restart"/>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（四）无法提供</w:t>
            </w:r>
          </w:p>
        </w:tc>
        <w:tc>
          <w:tcPr>
            <w:tcW w:w="3192"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1.本机关不掌握相关政府信息</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eastAsia" w:ascii="Times New Roman" w:hAnsi="Times New Roman" w:cs="Times New Roman"/>
                <w:sz w:val="21"/>
                <w:szCs w:val="21"/>
                <w:lang w:val="en-US" w:eastAsia="zh-CN"/>
              </w:rPr>
              <w:t>51</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eastAsia" w:ascii="Times New Roman" w:hAnsi="Times New Roman" w:cs="Times New Roman"/>
                <w:sz w:val="21"/>
                <w:szCs w:val="21"/>
                <w:lang w:val="en-US" w:eastAsia="zh-CN"/>
              </w:rPr>
              <w:t>0</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eastAsia" w:ascii="Times New Roman" w:hAnsi="Times New Roman" w:cs="Times New Roman"/>
                <w:sz w:val="21"/>
                <w:szCs w:val="21"/>
                <w:lang w:val="en-US" w:eastAsia="zh-CN"/>
              </w:rPr>
              <w:t>2</w:t>
            </w:r>
          </w:p>
        </w:tc>
        <w:tc>
          <w:tcPr>
            <w:tcW w:w="5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eastAsia" w:ascii="Times New Roman" w:hAnsi="Times New Roman" w:cs="Times New Roman"/>
                <w:sz w:val="21"/>
                <w:szCs w:val="21"/>
                <w:lang w:val="en-US" w:eastAsia="zh-CN"/>
              </w:rPr>
              <w:t>53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627" w:type="dxa"/>
            <w:vMerge w:val="continue"/>
            <w:tcBorders>
              <w:left w:val="single"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681" w:type="dxa"/>
            <w:vMerge w:val="continue"/>
            <w:tcBorders>
              <w:top w:val="single" w:color="auto" w:sz="6" w:space="0"/>
              <w:left w:val="single" w:color="auto" w:sz="6" w:space="0"/>
              <w:bottom w:val="single" w:color="auto" w:sz="6" w:space="0"/>
              <w:right w:val="single" w:color="auto" w:sz="6" w:space="0"/>
            </w:tcBorders>
            <w:tcMar>
              <w:left w:w="28" w:type="dxa"/>
              <w:right w:w="28" w:type="dxa"/>
            </w:tcMar>
            <w:vAlign w:val="center"/>
          </w:tcPr>
          <w:p>
            <w:pPr>
              <w:jc w:val="center"/>
              <w:rPr>
                <w:rFonts w:hint="default" w:ascii="Times New Roman" w:hAnsi="Times New Roman" w:cs="Times New Roman" w:eastAsiaTheme="minorEastAsia"/>
                <w:sz w:val="21"/>
                <w:szCs w:val="21"/>
              </w:rPr>
            </w:pPr>
          </w:p>
        </w:tc>
        <w:tc>
          <w:tcPr>
            <w:tcW w:w="3192"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2.没有现成信息需要另行制作</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eastAsia" w:ascii="Times New Roman" w:hAnsi="Times New Roman" w:cs="Times New Roman"/>
                <w:sz w:val="21"/>
                <w:szCs w:val="21"/>
                <w:lang w:val="en-US" w:eastAsia="zh-CN"/>
              </w:rPr>
              <w:t>2</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eastAsia" w:ascii="Times New Roman" w:hAnsi="Times New Roman" w:cs="Times New Roman"/>
                <w:sz w:val="21"/>
                <w:szCs w:val="21"/>
                <w:lang w:val="en-US" w:eastAsia="zh-CN"/>
              </w:rPr>
              <w:t>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627" w:type="dxa"/>
            <w:vMerge w:val="continue"/>
            <w:tcBorders>
              <w:left w:val="single"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681" w:type="dxa"/>
            <w:vMerge w:val="continue"/>
            <w:tcBorders>
              <w:top w:val="single" w:color="auto" w:sz="6" w:space="0"/>
              <w:left w:val="single" w:color="auto" w:sz="6" w:space="0"/>
              <w:bottom w:val="single" w:color="auto" w:sz="6" w:space="0"/>
              <w:right w:val="single" w:color="auto" w:sz="6" w:space="0"/>
            </w:tcBorders>
            <w:tcMar>
              <w:left w:w="28" w:type="dxa"/>
              <w:right w:w="28" w:type="dxa"/>
            </w:tcMar>
            <w:vAlign w:val="center"/>
          </w:tcPr>
          <w:p>
            <w:pPr>
              <w:jc w:val="center"/>
              <w:rPr>
                <w:rFonts w:hint="default" w:ascii="Times New Roman" w:hAnsi="Times New Roman" w:cs="Times New Roman" w:eastAsiaTheme="minorEastAsia"/>
                <w:sz w:val="21"/>
                <w:szCs w:val="21"/>
              </w:rPr>
            </w:pPr>
          </w:p>
        </w:tc>
        <w:tc>
          <w:tcPr>
            <w:tcW w:w="3192"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3.补正后申请内容仍不明确</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627" w:type="dxa"/>
            <w:vMerge w:val="continue"/>
            <w:tcBorders>
              <w:left w:val="single"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681" w:type="dxa"/>
            <w:vMerge w:val="restart"/>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（五）不予处理</w:t>
            </w:r>
          </w:p>
        </w:tc>
        <w:tc>
          <w:tcPr>
            <w:tcW w:w="3192"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1.信访举报投诉类申请</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eastAsia" w:ascii="Times New Roman" w:hAnsi="Times New Roman" w:cs="Times New Roman"/>
                <w:sz w:val="21"/>
                <w:szCs w:val="21"/>
                <w:lang w:val="en-US" w:eastAsia="zh-CN"/>
              </w:rPr>
              <w:t>0</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eastAsia" w:ascii="Times New Roman" w:hAnsi="Times New Roman" w:cs="Times New Roman"/>
                <w:sz w:val="21"/>
                <w:szCs w:val="21"/>
                <w:lang w:val="en-US" w:eastAsia="zh-CN"/>
              </w:rPr>
              <w:t>0</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eastAsia" w:ascii="Times New Roman" w:hAnsi="Times New Roman" w:cs="Times New Roman"/>
                <w:sz w:val="21"/>
                <w:szCs w:val="21"/>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627" w:type="dxa"/>
            <w:vMerge w:val="continue"/>
            <w:tcBorders>
              <w:left w:val="single"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681" w:type="dxa"/>
            <w:vMerge w:val="continue"/>
            <w:tcBorders>
              <w:top w:val="single" w:color="auto" w:sz="6" w:space="0"/>
              <w:left w:val="single" w:color="auto" w:sz="6" w:space="0"/>
              <w:bottom w:val="single" w:color="auto" w:sz="6" w:space="0"/>
              <w:right w:val="single" w:color="auto" w:sz="6" w:space="0"/>
            </w:tcBorders>
            <w:tcMar>
              <w:left w:w="28" w:type="dxa"/>
              <w:right w:w="28" w:type="dxa"/>
            </w:tcMar>
            <w:vAlign w:val="center"/>
          </w:tcPr>
          <w:p>
            <w:pPr>
              <w:jc w:val="center"/>
              <w:rPr>
                <w:rFonts w:hint="default" w:ascii="Times New Roman" w:hAnsi="Times New Roman" w:cs="Times New Roman" w:eastAsiaTheme="minorEastAsia"/>
                <w:sz w:val="21"/>
                <w:szCs w:val="21"/>
              </w:rPr>
            </w:pPr>
          </w:p>
        </w:tc>
        <w:tc>
          <w:tcPr>
            <w:tcW w:w="3192"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2.重复申请</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eastAsia" w:ascii="Times New Roman" w:hAnsi="Times New Roman" w:cs="Times New Roman"/>
                <w:sz w:val="21"/>
                <w:szCs w:val="21"/>
                <w:lang w:val="en-US" w:eastAsia="zh-CN"/>
              </w:rPr>
              <w:t>0</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eastAsia" w:ascii="Times New Roman" w:hAnsi="Times New Roman" w:cs="Times New Roman"/>
                <w:sz w:val="21"/>
                <w:szCs w:val="21"/>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627" w:type="dxa"/>
            <w:vMerge w:val="continue"/>
            <w:tcBorders>
              <w:left w:val="single"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681" w:type="dxa"/>
            <w:vMerge w:val="continue"/>
            <w:tcBorders>
              <w:top w:val="single" w:color="auto" w:sz="6" w:space="0"/>
              <w:left w:val="single" w:color="auto" w:sz="6" w:space="0"/>
              <w:bottom w:val="single" w:color="auto" w:sz="6" w:space="0"/>
              <w:right w:val="single" w:color="auto" w:sz="6" w:space="0"/>
            </w:tcBorders>
            <w:tcMar>
              <w:left w:w="28" w:type="dxa"/>
              <w:right w:w="28" w:type="dxa"/>
            </w:tcMar>
            <w:vAlign w:val="center"/>
          </w:tcPr>
          <w:p>
            <w:pPr>
              <w:jc w:val="center"/>
              <w:rPr>
                <w:rFonts w:hint="default" w:ascii="Times New Roman" w:hAnsi="Times New Roman" w:cs="Times New Roman" w:eastAsiaTheme="minorEastAsia"/>
                <w:sz w:val="21"/>
                <w:szCs w:val="21"/>
              </w:rPr>
            </w:pPr>
          </w:p>
        </w:tc>
        <w:tc>
          <w:tcPr>
            <w:tcW w:w="3192"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3.要求提供公开出版物</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627" w:type="dxa"/>
            <w:vMerge w:val="continue"/>
            <w:tcBorders>
              <w:left w:val="single"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681" w:type="dxa"/>
            <w:vMerge w:val="continue"/>
            <w:tcBorders>
              <w:top w:val="single" w:color="auto" w:sz="6" w:space="0"/>
              <w:left w:val="single" w:color="auto" w:sz="6" w:space="0"/>
              <w:bottom w:val="single" w:color="auto" w:sz="6" w:space="0"/>
              <w:right w:val="single" w:color="auto" w:sz="6" w:space="0"/>
            </w:tcBorders>
            <w:tcMar>
              <w:left w:w="28" w:type="dxa"/>
              <w:right w:w="28" w:type="dxa"/>
            </w:tcMar>
            <w:vAlign w:val="center"/>
          </w:tcPr>
          <w:p>
            <w:pPr>
              <w:jc w:val="center"/>
              <w:rPr>
                <w:rFonts w:hint="default" w:ascii="Times New Roman" w:hAnsi="Times New Roman" w:cs="Times New Roman" w:eastAsiaTheme="minorEastAsia"/>
                <w:sz w:val="21"/>
                <w:szCs w:val="21"/>
              </w:rPr>
            </w:pPr>
          </w:p>
        </w:tc>
        <w:tc>
          <w:tcPr>
            <w:tcW w:w="3192"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4.无正当理由大量反复申请</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627" w:type="dxa"/>
            <w:vMerge w:val="continue"/>
            <w:tcBorders>
              <w:left w:val="single"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681" w:type="dxa"/>
            <w:vMerge w:val="continue"/>
            <w:tcBorders>
              <w:top w:val="single" w:color="auto" w:sz="6" w:space="0"/>
              <w:left w:val="single" w:color="auto" w:sz="6" w:space="0"/>
              <w:bottom w:val="single" w:color="auto" w:sz="6" w:space="0"/>
              <w:right w:val="single" w:color="auto" w:sz="6" w:space="0"/>
            </w:tcBorders>
            <w:tcMar>
              <w:left w:w="28" w:type="dxa"/>
              <w:right w:w="28" w:type="dxa"/>
            </w:tcMar>
            <w:vAlign w:val="center"/>
          </w:tcPr>
          <w:p>
            <w:pPr>
              <w:jc w:val="center"/>
              <w:rPr>
                <w:rFonts w:hint="default" w:ascii="Times New Roman" w:hAnsi="Times New Roman" w:cs="Times New Roman" w:eastAsiaTheme="minorEastAsia"/>
                <w:sz w:val="21"/>
                <w:szCs w:val="21"/>
              </w:rPr>
            </w:pPr>
          </w:p>
        </w:tc>
        <w:tc>
          <w:tcPr>
            <w:tcW w:w="3192"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5.要求行政机关确认或重新出具已获取信息</w:t>
            </w:r>
          </w:p>
        </w:tc>
        <w:tc>
          <w:tcPr>
            <w:tcW w:w="731" w:type="dxa"/>
            <w:tcBorders>
              <w:top w:val="nil"/>
              <w:left w:val="nil"/>
              <w:bottom w:val="outset"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7" w:type="dxa"/>
            <w:tcBorders>
              <w:top w:val="nil"/>
              <w:left w:val="nil"/>
              <w:bottom w:val="outset"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nil"/>
              <w:left w:val="nil"/>
              <w:bottom w:val="outset"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outset"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outset"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outset"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nil"/>
              <w:left w:val="nil"/>
              <w:bottom w:val="outset"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627" w:type="dxa"/>
            <w:vMerge w:val="continue"/>
            <w:tcBorders>
              <w:left w:val="single"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681" w:type="dxa"/>
            <w:vMerge w:val="restart"/>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（六）其他处理</w:t>
            </w:r>
          </w:p>
        </w:tc>
        <w:tc>
          <w:tcPr>
            <w:tcW w:w="3192"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1.申请人无正当理由逾期不补正、行政机关不再处理其政府信息公开申请</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eastAsia" w:ascii="Times New Roman" w:hAnsi="Times New Roman" w:cs="Times New Roman"/>
                <w:sz w:val="21"/>
                <w:szCs w:val="21"/>
                <w:lang w:val="en-US" w:eastAsia="zh-CN"/>
              </w:rPr>
              <w:t>0</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eastAsia" w:ascii="Times New Roman" w:hAnsi="Times New Roman" w:cs="Times New Roman"/>
                <w:sz w:val="21"/>
                <w:szCs w:val="21"/>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627" w:type="dxa"/>
            <w:vMerge w:val="continue"/>
            <w:tcBorders>
              <w:left w:val="single"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681" w:type="dxa"/>
            <w:vMerge w:val="continue"/>
            <w:tcBorders>
              <w:top w:val="single" w:color="auto" w:sz="6" w:space="0"/>
              <w:left w:val="single" w:color="auto" w:sz="6" w:space="0"/>
              <w:bottom w:val="single"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3192"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2.申请人逾期未按收费通知要求缴纳费用、行政机关不再处理其政府信息公开申请</w:t>
            </w:r>
          </w:p>
        </w:tc>
        <w:tc>
          <w:tcPr>
            <w:tcW w:w="731"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7"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627" w:type="dxa"/>
            <w:vMerge w:val="continue"/>
            <w:tcBorders>
              <w:left w:val="single"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681" w:type="dxa"/>
            <w:vMerge w:val="continue"/>
            <w:tcBorders>
              <w:top w:val="single" w:color="auto" w:sz="6" w:space="0"/>
              <w:left w:val="nil"/>
              <w:bottom w:val="outset"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3192" w:type="dxa"/>
            <w:tcBorders>
              <w:top w:val="single" w:color="auto" w:sz="6" w:space="0"/>
              <w:left w:val="nil"/>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3.其他</w:t>
            </w:r>
          </w:p>
        </w:tc>
        <w:tc>
          <w:tcPr>
            <w:tcW w:w="731" w:type="dxa"/>
            <w:tcBorders>
              <w:top w:val="single" w:color="auto" w:sz="6" w:space="0"/>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lang w:eastAsia="zh-CN"/>
              </w:rPr>
            </w:pPr>
            <w:r>
              <w:rPr>
                <w:rFonts w:hint="eastAsia" w:ascii="Times New Roman" w:hAnsi="Times New Roman" w:cs="Times New Roman"/>
                <w:sz w:val="21"/>
                <w:szCs w:val="21"/>
                <w:lang w:val="en-US" w:eastAsia="zh-CN"/>
              </w:rPr>
              <w:t>5</w:t>
            </w:r>
          </w:p>
        </w:tc>
        <w:tc>
          <w:tcPr>
            <w:tcW w:w="487" w:type="dxa"/>
            <w:tcBorders>
              <w:top w:val="single" w:color="auto" w:sz="6" w:space="0"/>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single" w:color="auto" w:sz="6" w:space="0"/>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single" w:color="auto" w:sz="6" w:space="0"/>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single" w:color="auto" w:sz="6" w:space="0"/>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single" w:color="auto" w:sz="6" w:space="0"/>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single" w:color="auto" w:sz="6" w:space="0"/>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lang w:eastAsia="zh-CN"/>
              </w:rPr>
            </w:pPr>
            <w:r>
              <w:rPr>
                <w:rFonts w:hint="eastAsia" w:ascii="Times New Roman" w:hAnsi="Times New Roman" w:cs="Times New Roman"/>
                <w:sz w:val="21"/>
                <w:szCs w:val="21"/>
                <w:lang w:val="en-US" w:eastAsia="zh-CN"/>
              </w:rPr>
              <w:t>5</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627" w:type="dxa"/>
            <w:vMerge w:val="continue"/>
            <w:tcBorders>
              <w:left w:val="single" w:color="auto" w:sz="6" w:space="0"/>
              <w:bottom w:val="outset"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3873" w:type="dxa"/>
            <w:gridSpan w:val="2"/>
            <w:tcBorders>
              <w:top w:val="nil"/>
              <w:left w:val="nil"/>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（七）总计</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eastAsia" w:ascii="Times New Roman" w:hAnsi="Times New Roman" w:cs="Times New Roman"/>
                <w:sz w:val="21"/>
                <w:szCs w:val="21"/>
                <w:lang w:val="en-US" w:eastAsia="zh-CN"/>
              </w:rPr>
              <w:t>72</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eastAsia" w:ascii="Times New Roman" w:hAnsi="Times New Roman" w:cs="Times New Roman"/>
                <w:sz w:val="21"/>
                <w:szCs w:val="21"/>
                <w:lang w:val="en-US" w:eastAsia="zh-CN"/>
              </w:rPr>
              <w:t>1</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eastAsia" w:ascii="Times New Roman" w:hAnsi="Times New Roman" w:cs="Times New Roman"/>
                <w:sz w:val="21"/>
                <w:szCs w:val="21"/>
                <w:lang w:val="en-US" w:eastAsia="zh-CN"/>
              </w:rPr>
              <w:t>2</w:t>
            </w:r>
          </w:p>
        </w:tc>
        <w:tc>
          <w:tcPr>
            <w:tcW w:w="5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eastAsia" w:ascii="Times New Roman" w:hAnsi="Times New Roman" w:cs="Times New Roman"/>
                <w:sz w:val="21"/>
                <w:szCs w:val="21"/>
                <w:lang w:val="en-US" w:eastAsia="zh-CN"/>
              </w:rPr>
              <w:t>75</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4500" w:type="dxa"/>
            <w:gridSpan w:val="3"/>
            <w:tcBorders>
              <w:top w:val="nil"/>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四、结转下年度继续办理</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r>
    </w:tbl>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黑体" w:cs="Times New Roman"/>
          <w:sz w:val="32"/>
          <w:szCs w:val="32"/>
          <w:shd w:val="clear"/>
        </w:rPr>
      </w:pPr>
      <w:r>
        <w:rPr>
          <w:rFonts w:hint="default" w:ascii="Times New Roman" w:hAnsi="Times New Roman" w:eastAsia="黑体" w:cs="Times New Roman"/>
          <w:sz w:val="32"/>
          <w:szCs w:val="32"/>
          <w:shd w:val="clear"/>
        </w:rPr>
        <w:t>四、政府信息公开行政复议、行政诉讼情况</w:t>
      </w:r>
    </w:p>
    <w:tbl>
      <w:tblPr>
        <w:tblStyle w:val="14"/>
        <w:tblW w:w="8822"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
      <w:tblGrid>
        <w:gridCol w:w="526"/>
        <w:gridCol w:w="526"/>
        <w:gridCol w:w="526"/>
        <w:gridCol w:w="526"/>
        <w:gridCol w:w="528"/>
        <w:gridCol w:w="619"/>
        <w:gridCol w:w="619"/>
        <w:gridCol w:w="619"/>
        <w:gridCol w:w="619"/>
        <w:gridCol w:w="619"/>
        <w:gridCol w:w="619"/>
        <w:gridCol w:w="619"/>
        <w:gridCol w:w="619"/>
        <w:gridCol w:w="619"/>
        <w:gridCol w:w="61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2632" w:type="dxa"/>
            <w:gridSpan w:val="5"/>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center"/>
              <w:textAlignment w:val="center"/>
              <w:rPr>
                <w:rFonts w:hint="eastAsia" w:ascii="黑体" w:hAnsi="黑体" w:eastAsia="黑体" w:cs="黑体"/>
                <w:sz w:val="18"/>
                <w:szCs w:val="18"/>
              </w:rPr>
            </w:pPr>
            <w:r>
              <w:rPr>
                <w:rFonts w:hint="eastAsia" w:ascii="黑体" w:hAnsi="黑体" w:eastAsia="黑体" w:cs="黑体"/>
                <w:sz w:val="18"/>
                <w:szCs w:val="18"/>
              </w:rPr>
              <w:t>行政复议</w:t>
            </w:r>
          </w:p>
        </w:tc>
        <w:tc>
          <w:tcPr>
            <w:tcW w:w="6190" w:type="dxa"/>
            <w:gridSpan w:val="10"/>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center"/>
              <w:textAlignment w:val="center"/>
              <w:rPr>
                <w:rFonts w:hint="eastAsia" w:ascii="黑体" w:hAnsi="黑体" w:eastAsia="黑体" w:cs="黑体"/>
                <w:sz w:val="18"/>
                <w:szCs w:val="18"/>
              </w:rPr>
            </w:pPr>
            <w:r>
              <w:rPr>
                <w:rFonts w:hint="eastAsia" w:ascii="黑体" w:hAnsi="黑体" w:eastAsia="黑体" w:cs="黑体"/>
                <w:sz w:val="18"/>
                <w:szCs w:val="18"/>
              </w:rPr>
              <w:t>行政诉讼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526" w:type="dxa"/>
            <w:vMerge w:val="restart"/>
            <w:tcBorders>
              <w:top w:val="nil"/>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center"/>
              <w:textAlignment w:val="center"/>
              <w:rPr>
                <w:rFonts w:hint="eastAsia" w:ascii="黑体" w:hAnsi="黑体" w:eastAsia="黑体" w:cs="黑体"/>
                <w:sz w:val="18"/>
                <w:szCs w:val="18"/>
              </w:rPr>
            </w:pPr>
            <w:r>
              <w:rPr>
                <w:rFonts w:hint="eastAsia" w:ascii="黑体" w:hAnsi="黑体" w:eastAsia="黑体" w:cs="黑体"/>
                <w:sz w:val="18"/>
                <w:szCs w:val="18"/>
              </w:rPr>
              <w:t>结果维持</w:t>
            </w:r>
          </w:p>
        </w:tc>
        <w:tc>
          <w:tcPr>
            <w:tcW w:w="526" w:type="dxa"/>
            <w:vMerge w:val="restart"/>
            <w:tcBorders>
              <w:top w:val="nil"/>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center"/>
              <w:textAlignment w:val="center"/>
              <w:rPr>
                <w:rFonts w:hint="eastAsia" w:ascii="黑体" w:hAnsi="黑体" w:eastAsia="黑体" w:cs="黑体"/>
                <w:sz w:val="18"/>
                <w:szCs w:val="18"/>
                <w:lang w:eastAsia="zh-CN"/>
              </w:rPr>
            </w:pPr>
            <w:r>
              <w:rPr>
                <w:rFonts w:hint="eastAsia" w:ascii="黑体" w:hAnsi="黑体" w:eastAsia="黑体" w:cs="黑体"/>
                <w:sz w:val="18"/>
                <w:szCs w:val="18"/>
              </w:rPr>
              <w:t>结果</w:t>
            </w:r>
          </w:p>
          <w:p>
            <w:pPr>
              <w:pStyle w:val="11"/>
              <w:widowControl/>
              <w:spacing w:before="0" w:beforeAutospacing="0" w:after="0" w:afterAutospacing="0" w:line="30" w:lineRule="atLeast"/>
              <w:jc w:val="center"/>
              <w:textAlignment w:val="center"/>
              <w:rPr>
                <w:rFonts w:hint="eastAsia" w:ascii="黑体" w:hAnsi="黑体" w:eastAsia="黑体" w:cs="黑体"/>
                <w:sz w:val="18"/>
                <w:szCs w:val="18"/>
              </w:rPr>
            </w:pPr>
            <w:r>
              <w:rPr>
                <w:rFonts w:hint="eastAsia" w:ascii="黑体" w:hAnsi="黑体" w:eastAsia="黑体" w:cs="黑体"/>
                <w:sz w:val="18"/>
                <w:szCs w:val="18"/>
              </w:rPr>
              <w:t>纠正</w:t>
            </w:r>
          </w:p>
        </w:tc>
        <w:tc>
          <w:tcPr>
            <w:tcW w:w="526" w:type="dxa"/>
            <w:vMerge w:val="restart"/>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center"/>
              <w:textAlignment w:val="center"/>
              <w:rPr>
                <w:rFonts w:hint="eastAsia" w:ascii="黑体" w:hAnsi="黑体" w:eastAsia="黑体" w:cs="黑体"/>
                <w:sz w:val="18"/>
                <w:szCs w:val="18"/>
                <w:lang w:eastAsia="zh-CN"/>
              </w:rPr>
            </w:pPr>
            <w:r>
              <w:rPr>
                <w:rFonts w:hint="eastAsia" w:ascii="黑体" w:hAnsi="黑体" w:eastAsia="黑体" w:cs="黑体"/>
                <w:sz w:val="18"/>
                <w:szCs w:val="18"/>
              </w:rPr>
              <w:t>其他</w:t>
            </w:r>
          </w:p>
          <w:p>
            <w:pPr>
              <w:pStyle w:val="11"/>
              <w:widowControl/>
              <w:spacing w:before="0" w:beforeAutospacing="0" w:after="0" w:afterAutospacing="0" w:line="30" w:lineRule="atLeast"/>
              <w:jc w:val="center"/>
              <w:textAlignment w:val="center"/>
              <w:rPr>
                <w:rFonts w:hint="eastAsia" w:ascii="黑体" w:hAnsi="黑体" w:eastAsia="黑体" w:cs="黑体"/>
                <w:sz w:val="18"/>
                <w:szCs w:val="18"/>
              </w:rPr>
            </w:pPr>
            <w:r>
              <w:rPr>
                <w:rFonts w:hint="eastAsia" w:ascii="黑体" w:hAnsi="黑体" w:eastAsia="黑体" w:cs="黑体"/>
                <w:sz w:val="18"/>
                <w:szCs w:val="18"/>
              </w:rPr>
              <w:t>结果</w:t>
            </w:r>
          </w:p>
        </w:tc>
        <w:tc>
          <w:tcPr>
            <w:tcW w:w="526" w:type="dxa"/>
            <w:vMerge w:val="restart"/>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center"/>
              <w:textAlignment w:val="center"/>
              <w:rPr>
                <w:rFonts w:hint="eastAsia" w:ascii="黑体" w:hAnsi="黑体" w:eastAsia="黑体" w:cs="黑体"/>
                <w:sz w:val="18"/>
                <w:szCs w:val="18"/>
                <w:lang w:eastAsia="zh-CN"/>
              </w:rPr>
            </w:pPr>
            <w:r>
              <w:rPr>
                <w:rFonts w:hint="eastAsia" w:ascii="黑体" w:hAnsi="黑体" w:eastAsia="黑体" w:cs="黑体"/>
                <w:sz w:val="18"/>
                <w:szCs w:val="18"/>
              </w:rPr>
              <w:t>尚未</w:t>
            </w:r>
          </w:p>
          <w:p>
            <w:pPr>
              <w:pStyle w:val="11"/>
              <w:widowControl/>
              <w:spacing w:before="0" w:beforeAutospacing="0" w:after="0" w:afterAutospacing="0" w:line="30" w:lineRule="atLeast"/>
              <w:jc w:val="center"/>
              <w:textAlignment w:val="center"/>
              <w:rPr>
                <w:rFonts w:hint="eastAsia" w:ascii="黑体" w:hAnsi="黑体" w:eastAsia="黑体" w:cs="黑体"/>
                <w:sz w:val="18"/>
                <w:szCs w:val="18"/>
              </w:rPr>
            </w:pPr>
            <w:r>
              <w:rPr>
                <w:rFonts w:hint="eastAsia" w:ascii="黑体" w:hAnsi="黑体" w:eastAsia="黑体" w:cs="黑体"/>
                <w:sz w:val="18"/>
                <w:szCs w:val="18"/>
              </w:rPr>
              <w:t>审结</w:t>
            </w:r>
          </w:p>
        </w:tc>
        <w:tc>
          <w:tcPr>
            <w:tcW w:w="528" w:type="dxa"/>
            <w:vMerge w:val="restart"/>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center"/>
              <w:textAlignment w:val="center"/>
              <w:rPr>
                <w:rFonts w:hint="eastAsia" w:ascii="黑体" w:hAnsi="黑体" w:eastAsia="黑体" w:cs="黑体"/>
                <w:sz w:val="18"/>
                <w:szCs w:val="18"/>
              </w:rPr>
            </w:pPr>
            <w:r>
              <w:rPr>
                <w:rFonts w:hint="eastAsia" w:ascii="黑体" w:hAnsi="黑体" w:eastAsia="黑体" w:cs="黑体"/>
                <w:sz w:val="18"/>
                <w:szCs w:val="18"/>
              </w:rPr>
              <w:t>总计</w:t>
            </w:r>
          </w:p>
        </w:tc>
        <w:tc>
          <w:tcPr>
            <w:tcW w:w="3095" w:type="dxa"/>
            <w:gridSpan w:val="5"/>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center"/>
              <w:textAlignment w:val="center"/>
              <w:rPr>
                <w:rFonts w:hint="eastAsia" w:ascii="黑体" w:hAnsi="黑体" w:eastAsia="黑体" w:cs="黑体"/>
                <w:sz w:val="18"/>
                <w:szCs w:val="18"/>
              </w:rPr>
            </w:pPr>
            <w:r>
              <w:rPr>
                <w:rFonts w:hint="eastAsia" w:ascii="黑体" w:hAnsi="黑体" w:eastAsia="黑体" w:cs="黑体"/>
                <w:sz w:val="18"/>
                <w:szCs w:val="18"/>
              </w:rPr>
              <w:t>未经复议直接起诉</w:t>
            </w:r>
          </w:p>
        </w:tc>
        <w:tc>
          <w:tcPr>
            <w:tcW w:w="3095" w:type="dxa"/>
            <w:gridSpan w:val="5"/>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center"/>
              <w:textAlignment w:val="center"/>
              <w:rPr>
                <w:rFonts w:hint="eastAsia" w:ascii="黑体" w:hAnsi="黑体" w:eastAsia="黑体" w:cs="黑体"/>
                <w:sz w:val="18"/>
                <w:szCs w:val="18"/>
              </w:rPr>
            </w:pPr>
            <w:r>
              <w:rPr>
                <w:rFonts w:hint="eastAsia" w:ascii="黑体" w:hAnsi="黑体" w:eastAsia="黑体" w:cs="黑体"/>
                <w:sz w:val="18"/>
                <w:szCs w:val="18"/>
              </w:rPr>
              <w:t>复议后起诉</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61" w:hRule="atLeast"/>
          <w:jc w:val="center"/>
        </w:trPr>
        <w:tc>
          <w:tcPr>
            <w:tcW w:w="526" w:type="dxa"/>
            <w:vMerge w:val="continue"/>
            <w:tcBorders>
              <w:top w:val="nil"/>
              <w:left w:val="single" w:color="auto" w:sz="6" w:space="0"/>
              <w:bottom w:val="single" w:color="auto" w:sz="6" w:space="0"/>
              <w:right w:val="single" w:color="auto" w:sz="6" w:space="0"/>
            </w:tcBorders>
            <w:tcMar>
              <w:left w:w="28" w:type="dxa"/>
              <w:right w:w="28" w:type="dxa"/>
            </w:tcMar>
            <w:vAlign w:val="center"/>
          </w:tcPr>
          <w:p>
            <w:pPr>
              <w:rPr>
                <w:rFonts w:hint="eastAsia" w:ascii="黑体" w:hAnsi="黑体" w:eastAsia="黑体" w:cs="黑体"/>
                <w:sz w:val="18"/>
                <w:szCs w:val="18"/>
              </w:rPr>
            </w:pPr>
          </w:p>
        </w:tc>
        <w:tc>
          <w:tcPr>
            <w:tcW w:w="526" w:type="dxa"/>
            <w:vMerge w:val="continue"/>
            <w:tcBorders>
              <w:top w:val="nil"/>
              <w:left w:val="single" w:color="auto" w:sz="6" w:space="0"/>
              <w:bottom w:val="single" w:color="auto" w:sz="6" w:space="0"/>
              <w:right w:val="single" w:color="auto" w:sz="6" w:space="0"/>
            </w:tcBorders>
            <w:tcMar>
              <w:left w:w="28" w:type="dxa"/>
              <w:right w:w="28" w:type="dxa"/>
            </w:tcMar>
            <w:vAlign w:val="center"/>
          </w:tcPr>
          <w:p>
            <w:pPr>
              <w:rPr>
                <w:rFonts w:hint="eastAsia" w:ascii="黑体" w:hAnsi="黑体" w:eastAsia="黑体" w:cs="黑体"/>
                <w:sz w:val="18"/>
                <w:szCs w:val="18"/>
              </w:rPr>
            </w:pPr>
          </w:p>
        </w:tc>
        <w:tc>
          <w:tcPr>
            <w:tcW w:w="526" w:type="dxa"/>
            <w:vMerge w:val="continue"/>
            <w:tcBorders>
              <w:top w:val="single" w:color="auto" w:sz="6" w:space="0"/>
              <w:left w:val="single" w:color="auto" w:sz="6" w:space="0"/>
              <w:bottom w:val="single" w:color="auto" w:sz="6" w:space="0"/>
              <w:right w:val="single" w:color="auto" w:sz="6" w:space="0"/>
            </w:tcBorders>
            <w:tcMar>
              <w:left w:w="28" w:type="dxa"/>
              <w:right w:w="28" w:type="dxa"/>
            </w:tcMar>
            <w:vAlign w:val="center"/>
          </w:tcPr>
          <w:p>
            <w:pPr>
              <w:rPr>
                <w:rFonts w:hint="eastAsia" w:ascii="黑体" w:hAnsi="黑体" w:eastAsia="黑体" w:cs="黑体"/>
                <w:sz w:val="18"/>
                <w:szCs w:val="18"/>
              </w:rPr>
            </w:pPr>
          </w:p>
        </w:tc>
        <w:tc>
          <w:tcPr>
            <w:tcW w:w="526" w:type="dxa"/>
            <w:vMerge w:val="continue"/>
            <w:tcBorders>
              <w:top w:val="single" w:color="auto" w:sz="6" w:space="0"/>
              <w:left w:val="single" w:color="auto" w:sz="6" w:space="0"/>
              <w:bottom w:val="single" w:color="auto" w:sz="6" w:space="0"/>
              <w:right w:val="single" w:color="auto" w:sz="6" w:space="0"/>
            </w:tcBorders>
            <w:tcMar>
              <w:left w:w="28" w:type="dxa"/>
              <w:right w:w="28" w:type="dxa"/>
            </w:tcMar>
            <w:vAlign w:val="center"/>
          </w:tcPr>
          <w:p>
            <w:pPr>
              <w:rPr>
                <w:rFonts w:hint="eastAsia" w:ascii="黑体" w:hAnsi="黑体" w:eastAsia="黑体" w:cs="黑体"/>
                <w:sz w:val="18"/>
                <w:szCs w:val="18"/>
              </w:rPr>
            </w:pPr>
          </w:p>
        </w:tc>
        <w:tc>
          <w:tcPr>
            <w:tcW w:w="528" w:type="dxa"/>
            <w:vMerge w:val="continue"/>
            <w:tcBorders>
              <w:top w:val="single" w:color="auto" w:sz="6" w:space="0"/>
              <w:left w:val="single" w:color="auto" w:sz="6" w:space="0"/>
              <w:bottom w:val="single" w:color="auto" w:sz="6" w:space="0"/>
              <w:right w:val="single" w:color="auto" w:sz="6" w:space="0"/>
            </w:tcBorders>
            <w:tcMar>
              <w:left w:w="28" w:type="dxa"/>
              <w:right w:w="28" w:type="dxa"/>
            </w:tcMar>
            <w:vAlign w:val="center"/>
          </w:tcPr>
          <w:p>
            <w:pPr>
              <w:rPr>
                <w:rFonts w:hint="eastAsia" w:ascii="黑体" w:hAnsi="黑体" w:eastAsia="黑体" w:cs="黑体"/>
                <w:sz w:val="18"/>
                <w:szCs w:val="18"/>
              </w:rPr>
            </w:pPr>
          </w:p>
        </w:tc>
        <w:tc>
          <w:tcPr>
            <w:tcW w:w="619" w:type="dxa"/>
            <w:tcBorders>
              <w:top w:val="nil"/>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center"/>
              <w:textAlignment w:val="center"/>
              <w:rPr>
                <w:rFonts w:hint="eastAsia" w:ascii="黑体" w:hAnsi="黑体" w:eastAsia="黑体" w:cs="黑体"/>
                <w:sz w:val="18"/>
                <w:szCs w:val="18"/>
                <w:lang w:eastAsia="zh-CN"/>
              </w:rPr>
            </w:pPr>
            <w:r>
              <w:rPr>
                <w:rFonts w:hint="eastAsia" w:ascii="黑体" w:hAnsi="黑体" w:eastAsia="黑体" w:cs="黑体"/>
                <w:sz w:val="18"/>
                <w:szCs w:val="18"/>
              </w:rPr>
              <w:t>结果</w:t>
            </w:r>
          </w:p>
          <w:p>
            <w:pPr>
              <w:pStyle w:val="11"/>
              <w:widowControl/>
              <w:spacing w:before="0" w:beforeAutospacing="0" w:after="0" w:afterAutospacing="0" w:line="30" w:lineRule="atLeast"/>
              <w:jc w:val="center"/>
              <w:textAlignment w:val="center"/>
              <w:rPr>
                <w:rFonts w:hint="eastAsia" w:ascii="黑体" w:hAnsi="黑体" w:eastAsia="黑体" w:cs="黑体"/>
                <w:sz w:val="18"/>
                <w:szCs w:val="18"/>
              </w:rPr>
            </w:pPr>
            <w:r>
              <w:rPr>
                <w:rFonts w:hint="eastAsia" w:ascii="黑体" w:hAnsi="黑体" w:eastAsia="黑体" w:cs="黑体"/>
                <w:sz w:val="18"/>
                <w:szCs w:val="18"/>
              </w:rPr>
              <w:t>维持</w:t>
            </w:r>
          </w:p>
        </w:tc>
        <w:tc>
          <w:tcPr>
            <w:tcW w:w="619" w:type="dxa"/>
            <w:tcBorders>
              <w:top w:val="nil"/>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center"/>
              <w:textAlignment w:val="center"/>
              <w:rPr>
                <w:rFonts w:hint="eastAsia" w:ascii="黑体" w:hAnsi="黑体" w:eastAsia="黑体" w:cs="黑体"/>
                <w:sz w:val="18"/>
                <w:szCs w:val="18"/>
                <w:lang w:eastAsia="zh-CN"/>
              </w:rPr>
            </w:pPr>
            <w:r>
              <w:rPr>
                <w:rFonts w:hint="eastAsia" w:ascii="黑体" w:hAnsi="黑体" w:eastAsia="黑体" w:cs="黑体"/>
                <w:sz w:val="18"/>
                <w:szCs w:val="18"/>
              </w:rPr>
              <w:t>结果</w:t>
            </w:r>
          </w:p>
          <w:p>
            <w:pPr>
              <w:pStyle w:val="11"/>
              <w:widowControl/>
              <w:spacing w:before="0" w:beforeAutospacing="0" w:after="0" w:afterAutospacing="0" w:line="30" w:lineRule="atLeast"/>
              <w:jc w:val="center"/>
              <w:textAlignment w:val="center"/>
              <w:rPr>
                <w:rFonts w:hint="eastAsia" w:ascii="黑体" w:hAnsi="黑体" w:eastAsia="黑体" w:cs="黑体"/>
                <w:sz w:val="18"/>
                <w:szCs w:val="18"/>
              </w:rPr>
            </w:pPr>
            <w:r>
              <w:rPr>
                <w:rFonts w:hint="eastAsia" w:ascii="黑体" w:hAnsi="黑体" w:eastAsia="黑体" w:cs="黑体"/>
                <w:sz w:val="18"/>
                <w:szCs w:val="18"/>
              </w:rPr>
              <w:t>纠正</w:t>
            </w:r>
          </w:p>
        </w:tc>
        <w:tc>
          <w:tcPr>
            <w:tcW w:w="619"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center"/>
              <w:textAlignment w:val="center"/>
              <w:rPr>
                <w:rFonts w:hint="eastAsia" w:ascii="黑体" w:hAnsi="黑体" w:eastAsia="黑体" w:cs="黑体"/>
                <w:sz w:val="18"/>
                <w:szCs w:val="18"/>
                <w:lang w:eastAsia="zh-CN"/>
              </w:rPr>
            </w:pPr>
            <w:r>
              <w:rPr>
                <w:rFonts w:hint="eastAsia" w:ascii="黑体" w:hAnsi="黑体" w:eastAsia="黑体" w:cs="黑体"/>
                <w:sz w:val="18"/>
                <w:szCs w:val="18"/>
              </w:rPr>
              <w:t>其他</w:t>
            </w:r>
          </w:p>
          <w:p>
            <w:pPr>
              <w:pStyle w:val="11"/>
              <w:widowControl/>
              <w:spacing w:before="0" w:beforeAutospacing="0" w:after="0" w:afterAutospacing="0" w:line="30" w:lineRule="atLeast"/>
              <w:jc w:val="center"/>
              <w:textAlignment w:val="center"/>
              <w:rPr>
                <w:rFonts w:hint="eastAsia" w:ascii="黑体" w:hAnsi="黑体" w:eastAsia="黑体" w:cs="黑体"/>
                <w:sz w:val="18"/>
                <w:szCs w:val="18"/>
              </w:rPr>
            </w:pPr>
            <w:r>
              <w:rPr>
                <w:rFonts w:hint="eastAsia" w:ascii="黑体" w:hAnsi="黑体" w:eastAsia="黑体" w:cs="黑体"/>
                <w:sz w:val="18"/>
                <w:szCs w:val="18"/>
              </w:rPr>
              <w:t>结果</w:t>
            </w:r>
          </w:p>
        </w:tc>
        <w:tc>
          <w:tcPr>
            <w:tcW w:w="619"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center"/>
              <w:textAlignment w:val="center"/>
              <w:rPr>
                <w:rFonts w:hint="eastAsia" w:ascii="黑体" w:hAnsi="黑体" w:eastAsia="黑体" w:cs="黑体"/>
                <w:sz w:val="18"/>
                <w:szCs w:val="18"/>
                <w:lang w:eastAsia="zh-CN"/>
              </w:rPr>
            </w:pPr>
            <w:r>
              <w:rPr>
                <w:rFonts w:hint="eastAsia" w:ascii="黑体" w:hAnsi="黑体" w:eastAsia="黑体" w:cs="黑体"/>
                <w:sz w:val="18"/>
                <w:szCs w:val="18"/>
              </w:rPr>
              <w:t>尚未</w:t>
            </w:r>
          </w:p>
          <w:p>
            <w:pPr>
              <w:pStyle w:val="11"/>
              <w:widowControl/>
              <w:spacing w:before="0" w:beforeAutospacing="0" w:after="0" w:afterAutospacing="0" w:line="30" w:lineRule="atLeast"/>
              <w:jc w:val="center"/>
              <w:textAlignment w:val="center"/>
              <w:rPr>
                <w:rFonts w:hint="eastAsia" w:ascii="黑体" w:hAnsi="黑体" w:eastAsia="黑体" w:cs="黑体"/>
                <w:sz w:val="18"/>
                <w:szCs w:val="18"/>
              </w:rPr>
            </w:pPr>
            <w:r>
              <w:rPr>
                <w:rFonts w:hint="eastAsia" w:ascii="黑体" w:hAnsi="黑体" w:eastAsia="黑体" w:cs="黑体"/>
                <w:sz w:val="18"/>
                <w:szCs w:val="18"/>
              </w:rPr>
              <w:t>审结</w:t>
            </w:r>
          </w:p>
        </w:tc>
        <w:tc>
          <w:tcPr>
            <w:tcW w:w="619"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center"/>
              <w:textAlignment w:val="center"/>
              <w:rPr>
                <w:rFonts w:hint="eastAsia" w:ascii="黑体" w:hAnsi="黑体" w:eastAsia="黑体" w:cs="黑体"/>
                <w:sz w:val="18"/>
                <w:szCs w:val="18"/>
              </w:rPr>
            </w:pPr>
            <w:r>
              <w:rPr>
                <w:rFonts w:hint="eastAsia" w:ascii="黑体" w:hAnsi="黑体" w:eastAsia="黑体" w:cs="黑体"/>
                <w:color w:val="000000"/>
                <w:sz w:val="18"/>
                <w:szCs w:val="18"/>
              </w:rPr>
              <w:t>总计</w:t>
            </w:r>
          </w:p>
        </w:tc>
        <w:tc>
          <w:tcPr>
            <w:tcW w:w="619"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center"/>
              <w:textAlignment w:val="center"/>
              <w:rPr>
                <w:rFonts w:hint="eastAsia" w:ascii="黑体" w:hAnsi="黑体" w:eastAsia="黑体" w:cs="黑体"/>
                <w:sz w:val="18"/>
                <w:szCs w:val="18"/>
                <w:lang w:eastAsia="zh-CN"/>
              </w:rPr>
            </w:pPr>
            <w:r>
              <w:rPr>
                <w:rFonts w:hint="eastAsia" w:ascii="黑体" w:hAnsi="黑体" w:eastAsia="黑体" w:cs="黑体"/>
                <w:sz w:val="18"/>
                <w:szCs w:val="18"/>
              </w:rPr>
              <w:t>结果</w:t>
            </w:r>
          </w:p>
          <w:p>
            <w:pPr>
              <w:pStyle w:val="11"/>
              <w:widowControl/>
              <w:spacing w:before="0" w:beforeAutospacing="0" w:after="0" w:afterAutospacing="0" w:line="30" w:lineRule="atLeast"/>
              <w:jc w:val="center"/>
              <w:textAlignment w:val="center"/>
              <w:rPr>
                <w:rFonts w:hint="eastAsia" w:ascii="黑体" w:hAnsi="黑体" w:eastAsia="黑体" w:cs="黑体"/>
                <w:sz w:val="18"/>
                <w:szCs w:val="18"/>
              </w:rPr>
            </w:pPr>
            <w:r>
              <w:rPr>
                <w:rFonts w:hint="eastAsia" w:ascii="黑体" w:hAnsi="黑体" w:eastAsia="黑体" w:cs="黑体"/>
                <w:sz w:val="18"/>
                <w:szCs w:val="18"/>
              </w:rPr>
              <w:t>维持</w:t>
            </w:r>
          </w:p>
        </w:tc>
        <w:tc>
          <w:tcPr>
            <w:tcW w:w="619"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center"/>
              <w:textAlignment w:val="center"/>
              <w:rPr>
                <w:rFonts w:hint="eastAsia" w:ascii="黑体" w:hAnsi="黑体" w:eastAsia="黑体" w:cs="黑体"/>
                <w:sz w:val="18"/>
                <w:szCs w:val="18"/>
                <w:lang w:eastAsia="zh-CN"/>
              </w:rPr>
            </w:pPr>
            <w:r>
              <w:rPr>
                <w:rFonts w:hint="eastAsia" w:ascii="黑体" w:hAnsi="黑体" w:eastAsia="黑体" w:cs="黑体"/>
                <w:sz w:val="18"/>
                <w:szCs w:val="18"/>
              </w:rPr>
              <w:t>结果</w:t>
            </w:r>
          </w:p>
          <w:p>
            <w:pPr>
              <w:pStyle w:val="11"/>
              <w:widowControl/>
              <w:spacing w:before="0" w:beforeAutospacing="0" w:after="0" w:afterAutospacing="0" w:line="30" w:lineRule="atLeast"/>
              <w:jc w:val="center"/>
              <w:textAlignment w:val="center"/>
              <w:rPr>
                <w:rFonts w:hint="eastAsia" w:ascii="黑体" w:hAnsi="黑体" w:eastAsia="黑体" w:cs="黑体"/>
                <w:sz w:val="18"/>
                <w:szCs w:val="18"/>
              </w:rPr>
            </w:pPr>
            <w:r>
              <w:rPr>
                <w:rFonts w:hint="eastAsia" w:ascii="黑体" w:hAnsi="黑体" w:eastAsia="黑体" w:cs="黑体"/>
                <w:sz w:val="18"/>
                <w:szCs w:val="18"/>
              </w:rPr>
              <w:t>纠正</w:t>
            </w:r>
          </w:p>
        </w:tc>
        <w:tc>
          <w:tcPr>
            <w:tcW w:w="619"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center"/>
              <w:textAlignment w:val="center"/>
              <w:rPr>
                <w:rFonts w:hint="eastAsia" w:ascii="黑体" w:hAnsi="黑体" w:eastAsia="黑体" w:cs="黑体"/>
                <w:color w:val="000000"/>
                <w:sz w:val="18"/>
                <w:szCs w:val="18"/>
                <w:lang w:eastAsia="zh-CN"/>
              </w:rPr>
            </w:pPr>
            <w:r>
              <w:rPr>
                <w:rFonts w:hint="eastAsia" w:ascii="黑体" w:hAnsi="黑体" w:eastAsia="黑体" w:cs="黑体"/>
                <w:color w:val="000000"/>
                <w:sz w:val="18"/>
                <w:szCs w:val="18"/>
              </w:rPr>
              <w:t>其他</w:t>
            </w:r>
          </w:p>
          <w:p>
            <w:pPr>
              <w:pStyle w:val="11"/>
              <w:widowControl/>
              <w:spacing w:before="0" w:beforeAutospacing="0" w:after="0" w:afterAutospacing="0" w:line="30" w:lineRule="atLeast"/>
              <w:jc w:val="center"/>
              <w:textAlignment w:val="center"/>
              <w:rPr>
                <w:rFonts w:hint="eastAsia" w:ascii="黑体" w:hAnsi="黑体" w:eastAsia="黑体" w:cs="黑体"/>
                <w:sz w:val="18"/>
                <w:szCs w:val="18"/>
              </w:rPr>
            </w:pPr>
            <w:r>
              <w:rPr>
                <w:rFonts w:hint="eastAsia" w:ascii="黑体" w:hAnsi="黑体" w:eastAsia="黑体" w:cs="黑体"/>
                <w:color w:val="000000"/>
                <w:sz w:val="18"/>
                <w:szCs w:val="18"/>
              </w:rPr>
              <w:t>结果</w:t>
            </w:r>
          </w:p>
        </w:tc>
        <w:tc>
          <w:tcPr>
            <w:tcW w:w="619"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center"/>
              <w:textAlignment w:val="center"/>
              <w:rPr>
                <w:rFonts w:hint="eastAsia" w:ascii="黑体" w:hAnsi="黑体" w:eastAsia="黑体" w:cs="黑体"/>
                <w:sz w:val="18"/>
                <w:szCs w:val="18"/>
                <w:lang w:eastAsia="zh-CN"/>
              </w:rPr>
            </w:pPr>
            <w:r>
              <w:rPr>
                <w:rFonts w:hint="eastAsia" w:ascii="黑体" w:hAnsi="黑体" w:eastAsia="黑体" w:cs="黑体"/>
                <w:sz w:val="18"/>
                <w:szCs w:val="18"/>
              </w:rPr>
              <w:t>尚未</w:t>
            </w:r>
          </w:p>
          <w:p>
            <w:pPr>
              <w:pStyle w:val="11"/>
              <w:widowControl/>
              <w:spacing w:before="0" w:beforeAutospacing="0" w:after="0" w:afterAutospacing="0" w:line="30" w:lineRule="atLeast"/>
              <w:jc w:val="center"/>
              <w:textAlignment w:val="center"/>
              <w:rPr>
                <w:rFonts w:hint="eastAsia" w:ascii="黑体" w:hAnsi="黑体" w:eastAsia="黑体" w:cs="黑体"/>
                <w:sz w:val="18"/>
                <w:szCs w:val="18"/>
              </w:rPr>
            </w:pPr>
            <w:r>
              <w:rPr>
                <w:rFonts w:hint="eastAsia" w:ascii="黑体" w:hAnsi="黑体" w:eastAsia="黑体" w:cs="黑体"/>
                <w:sz w:val="18"/>
                <w:szCs w:val="18"/>
              </w:rPr>
              <w:t>审结</w:t>
            </w:r>
          </w:p>
        </w:tc>
        <w:tc>
          <w:tcPr>
            <w:tcW w:w="619"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1"/>
              <w:widowControl/>
              <w:spacing w:before="0" w:beforeAutospacing="0" w:after="0" w:afterAutospacing="0" w:line="30" w:lineRule="atLeast"/>
              <w:jc w:val="center"/>
              <w:textAlignment w:val="center"/>
              <w:rPr>
                <w:rFonts w:hint="eastAsia" w:ascii="黑体" w:hAnsi="黑体" w:eastAsia="黑体" w:cs="黑体"/>
                <w:sz w:val="18"/>
                <w:szCs w:val="18"/>
              </w:rPr>
            </w:pPr>
            <w:r>
              <w:rPr>
                <w:rFonts w:hint="eastAsia" w:ascii="黑体" w:hAnsi="黑体" w:eastAsia="黑体" w:cs="黑体"/>
                <w:color w:val="000000"/>
                <w:sz w:val="18"/>
                <w:szCs w:val="18"/>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526" w:type="dxa"/>
            <w:tcBorders>
              <w:top w:val="nil"/>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eastAsia" w:asciiTheme="minorEastAsia" w:hAnsiTheme="minorEastAsia" w:eastAsiaTheme="minorEastAsia" w:cstheme="minorEastAsia"/>
                <w:sz w:val="18"/>
                <w:szCs w:val="18"/>
              </w:rPr>
            </w:pPr>
            <w:r>
              <w:rPr>
                <w:rFonts w:hint="eastAsia" w:asciiTheme="minorEastAsia" w:hAnsiTheme="minorEastAsia" w:cstheme="minorEastAsia"/>
                <w:sz w:val="18"/>
                <w:szCs w:val="18"/>
                <w:lang w:val="en-US" w:eastAsia="zh-CN"/>
              </w:rPr>
              <w:t>2</w:t>
            </w:r>
          </w:p>
        </w:tc>
        <w:tc>
          <w:tcPr>
            <w:tcW w:w="526" w:type="dxa"/>
            <w:tcBorders>
              <w:top w:val="nil"/>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eastAsia" w:asciiTheme="minorEastAsia" w:hAnsiTheme="minorEastAsia" w:eastAsiaTheme="minorEastAsia" w:cstheme="minorEastAsia"/>
                <w:sz w:val="18"/>
                <w:szCs w:val="18"/>
              </w:rPr>
            </w:pPr>
            <w:r>
              <w:rPr>
                <w:rFonts w:hint="eastAsia" w:asciiTheme="minorEastAsia" w:hAnsiTheme="minorEastAsia" w:cstheme="minorEastAsia"/>
                <w:sz w:val="18"/>
                <w:szCs w:val="18"/>
                <w:lang w:val="en-US" w:eastAsia="zh-CN"/>
              </w:rPr>
              <w:t>2</w:t>
            </w:r>
          </w:p>
        </w:tc>
        <w:tc>
          <w:tcPr>
            <w:tcW w:w="526" w:type="dxa"/>
            <w:tcBorders>
              <w:top w:val="nil"/>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eastAsia" w:asciiTheme="minorEastAsia" w:hAnsiTheme="minorEastAsia" w:eastAsiaTheme="minorEastAsia" w:cstheme="minorEastAsia"/>
                <w:sz w:val="18"/>
                <w:szCs w:val="18"/>
              </w:rPr>
            </w:pPr>
            <w:r>
              <w:rPr>
                <w:rFonts w:hint="eastAsia" w:asciiTheme="minorEastAsia" w:hAnsiTheme="minorEastAsia" w:cstheme="minorEastAsia"/>
                <w:sz w:val="18"/>
                <w:szCs w:val="18"/>
                <w:lang w:val="en-US" w:eastAsia="zh-CN"/>
              </w:rPr>
              <w:t>1</w:t>
            </w:r>
          </w:p>
        </w:tc>
        <w:tc>
          <w:tcPr>
            <w:tcW w:w="526" w:type="dxa"/>
            <w:tcBorders>
              <w:top w:val="nil"/>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528" w:type="dxa"/>
            <w:tcBorders>
              <w:top w:val="nil"/>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eastAsia" w:asciiTheme="minorEastAsia" w:hAnsiTheme="minorEastAsia" w:eastAsiaTheme="minorEastAsia" w:cstheme="minorEastAsia"/>
                <w:sz w:val="18"/>
                <w:szCs w:val="18"/>
              </w:rPr>
            </w:pPr>
            <w:r>
              <w:rPr>
                <w:rFonts w:hint="eastAsia" w:asciiTheme="minorEastAsia" w:hAnsiTheme="minorEastAsia" w:cstheme="minorEastAsia"/>
                <w:sz w:val="18"/>
                <w:szCs w:val="18"/>
                <w:lang w:val="en-US" w:eastAsia="zh-CN"/>
              </w:rPr>
              <w:t>5</w:t>
            </w:r>
          </w:p>
        </w:tc>
        <w:tc>
          <w:tcPr>
            <w:tcW w:w="619" w:type="dxa"/>
            <w:tcBorders>
              <w:top w:val="nil"/>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eastAsia" w:asciiTheme="minorEastAsia" w:hAnsiTheme="minorEastAsia" w:eastAsiaTheme="minorEastAsia" w:cstheme="minorEastAsia"/>
                <w:sz w:val="18"/>
                <w:szCs w:val="18"/>
              </w:rPr>
            </w:pPr>
            <w:r>
              <w:rPr>
                <w:rFonts w:hint="eastAsia" w:asciiTheme="minorEastAsia" w:hAnsiTheme="minorEastAsia" w:cstheme="minorEastAsia"/>
                <w:sz w:val="18"/>
                <w:szCs w:val="18"/>
                <w:lang w:val="en-US" w:eastAsia="zh-CN"/>
              </w:rPr>
              <w:t>1</w:t>
            </w:r>
          </w:p>
        </w:tc>
        <w:tc>
          <w:tcPr>
            <w:tcW w:w="619" w:type="dxa"/>
            <w:tcBorders>
              <w:top w:val="nil"/>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19" w:type="dxa"/>
            <w:tcBorders>
              <w:top w:val="nil"/>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19" w:type="dxa"/>
            <w:tcBorders>
              <w:top w:val="nil"/>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eastAsia" w:asciiTheme="minorEastAsia" w:hAnsiTheme="minorEastAsia" w:eastAsiaTheme="minorEastAsia" w:cstheme="minorEastAsia"/>
                <w:sz w:val="18"/>
                <w:szCs w:val="18"/>
              </w:rPr>
            </w:pPr>
            <w:r>
              <w:rPr>
                <w:rFonts w:hint="eastAsia" w:asciiTheme="minorEastAsia" w:hAnsiTheme="minorEastAsia" w:cstheme="minorEastAsia"/>
                <w:sz w:val="18"/>
                <w:szCs w:val="18"/>
                <w:lang w:val="en-US" w:eastAsia="zh-CN"/>
              </w:rPr>
              <w:t>2</w:t>
            </w:r>
          </w:p>
        </w:tc>
        <w:tc>
          <w:tcPr>
            <w:tcW w:w="619" w:type="dxa"/>
            <w:tcBorders>
              <w:top w:val="nil"/>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eastAsia" w:asciiTheme="minorEastAsia" w:hAnsiTheme="minorEastAsia" w:eastAsiaTheme="minorEastAsia" w:cstheme="minorEastAsia"/>
                <w:sz w:val="18"/>
                <w:szCs w:val="18"/>
              </w:rPr>
            </w:pPr>
            <w:r>
              <w:rPr>
                <w:rFonts w:hint="eastAsia" w:asciiTheme="minorEastAsia" w:hAnsiTheme="minorEastAsia" w:cstheme="minorEastAsia"/>
                <w:sz w:val="18"/>
                <w:szCs w:val="18"/>
                <w:lang w:val="en-US" w:eastAsia="zh-CN"/>
              </w:rPr>
              <w:t>3</w:t>
            </w:r>
          </w:p>
        </w:tc>
        <w:tc>
          <w:tcPr>
            <w:tcW w:w="619" w:type="dxa"/>
            <w:tcBorders>
              <w:top w:val="nil"/>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eastAsia" w:asciiTheme="minorEastAsia" w:hAnsiTheme="minorEastAsia" w:eastAsiaTheme="minorEastAsia" w:cstheme="minorEastAsia"/>
                <w:sz w:val="18"/>
                <w:szCs w:val="18"/>
              </w:rPr>
            </w:pPr>
            <w:r>
              <w:rPr>
                <w:rFonts w:hint="eastAsia" w:asciiTheme="minorEastAsia" w:hAnsiTheme="minorEastAsia" w:cstheme="minorEastAsia"/>
                <w:sz w:val="18"/>
                <w:szCs w:val="18"/>
                <w:lang w:val="en-US" w:eastAsia="zh-CN"/>
              </w:rPr>
              <w:t>4</w:t>
            </w:r>
          </w:p>
        </w:tc>
        <w:tc>
          <w:tcPr>
            <w:tcW w:w="619" w:type="dxa"/>
            <w:tcBorders>
              <w:top w:val="nil"/>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19" w:type="dxa"/>
            <w:tcBorders>
              <w:top w:val="nil"/>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19" w:type="dxa"/>
            <w:tcBorders>
              <w:top w:val="nil"/>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19" w:type="dxa"/>
            <w:tcBorders>
              <w:top w:val="nil"/>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eastAsia" w:asciiTheme="minorEastAsia" w:hAnsiTheme="minorEastAsia" w:eastAsiaTheme="minorEastAsia" w:cstheme="minorEastAsia"/>
                <w:sz w:val="18"/>
                <w:szCs w:val="18"/>
              </w:rPr>
            </w:pPr>
            <w:r>
              <w:rPr>
                <w:rFonts w:hint="eastAsia" w:asciiTheme="minorEastAsia" w:hAnsiTheme="minorEastAsia" w:cstheme="minorEastAsia"/>
                <w:sz w:val="18"/>
                <w:szCs w:val="18"/>
                <w:lang w:val="en-US" w:eastAsia="zh-CN"/>
              </w:rPr>
              <w:t>4</w:t>
            </w:r>
          </w:p>
        </w:tc>
      </w:tr>
    </w:tbl>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黑体" w:cs="Times New Roman"/>
          <w:sz w:val="32"/>
          <w:szCs w:val="32"/>
          <w:shd w:val="clear"/>
        </w:rPr>
      </w:pPr>
      <w:r>
        <w:rPr>
          <w:rFonts w:hint="default" w:ascii="Times New Roman" w:hAnsi="Times New Roman" w:eastAsia="黑体" w:cs="Times New Roman"/>
          <w:sz w:val="32"/>
          <w:szCs w:val="32"/>
          <w:shd w:val="clear"/>
        </w:rPr>
        <w:t>五、存在的主要问题及改进情况</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default" w:ascii="Times New Roman" w:hAnsi="Times New Roman" w:eastAsia="仿宋_GB2312" w:cs="Times New Roman"/>
          <w:sz w:val="32"/>
          <w:szCs w:val="32"/>
          <w:shd w:val="clear"/>
        </w:rPr>
        <w:t>20</w:t>
      </w:r>
      <w:r>
        <w:rPr>
          <w:rFonts w:hint="eastAsia" w:ascii="Times New Roman" w:hAnsi="Times New Roman" w:eastAsia="仿宋_GB2312" w:cs="Times New Roman"/>
          <w:sz w:val="32"/>
          <w:szCs w:val="32"/>
          <w:shd w:val="clear"/>
          <w:lang w:val="en-US" w:eastAsia="zh-CN"/>
        </w:rPr>
        <w:t>22</w:t>
      </w:r>
      <w:r>
        <w:rPr>
          <w:rFonts w:hint="default" w:ascii="Times New Roman" w:hAnsi="Times New Roman" w:eastAsia="仿宋_GB2312" w:cs="Times New Roman"/>
          <w:sz w:val="32"/>
          <w:szCs w:val="32"/>
          <w:shd w:val="clear"/>
        </w:rPr>
        <w:t>年，长沙市人民政府办公厅高度重视政务公开工作，在推进、指导、协调、督促全市政务公开及政府信息公开工作做了大量工作，但与上级的要求仍然存在一定的差距。</w:t>
      </w:r>
      <w:r>
        <w:rPr>
          <w:rFonts w:hint="eastAsia" w:ascii="Times New Roman" w:hAnsi="Times New Roman" w:eastAsia="仿宋_GB2312" w:cs="Times New Roman"/>
          <w:b/>
          <w:bCs/>
          <w:sz w:val="32"/>
          <w:szCs w:val="32"/>
          <w:shd w:val="clear"/>
          <w:lang w:eastAsia="zh-CN"/>
        </w:rPr>
        <w:t>一是</w:t>
      </w:r>
      <w:r>
        <w:rPr>
          <w:rFonts w:hint="eastAsia" w:ascii="Times New Roman" w:hAnsi="Times New Roman" w:eastAsia="仿宋_GB2312" w:cs="Times New Roman"/>
          <w:sz w:val="32"/>
          <w:szCs w:val="32"/>
          <w:shd w:val="clear"/>
          <w:lang w:eastAsia="zh-CN"/>
        </w:rPr>
        <w:t>政务公开部门主体责任意识不够</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部分单位</w:t>
      </w:r>
      <w:r>
        <w:rPr>
          <w:rFonts w:hint="eastAsia" w:ascii="仿宋_GB2312" w:hAnsi="仿宋_GB2312" w:eastAsia="仿宋_GB2312" w:cs="仿宋_GB2312"/>
          <w:sz w:val="32"/>
          <w:szCs w:val="32"/>
          <w:lang w:eastAsia="zh-CN"/>
        </w:rPr>
        <w:t>对政务公开的重视程度不够，对职责范围内的信息公开缺乏全局、系统思维，公开信息质量不高；政务公开</w:t>
      </w:r>
      <w:r>
        <w:rPr>
          <w:rFonts w:hint="eastAsia" w:ascii="仿宋_GB2312" w:hAnsi="仿宋_GB2312" w:eastAsia="仿宋_GB2312" w:cs="仿宋_GB2312"/>
          <w:sz w:val="32"/>
          <w:szCs w:val="32"/>
        </w:rPr>
        <w:t>工作人员配备不到位，岗位职责不明，业务能力和法治意识不够。</w:t>
      </w:r>
      <w:r>
        <w:rPr>
          <w:rFonts w:hint="eastAsia" w:ascii="仿宋_GB2312" w:hAnsi="仿宋_GB2312" w:eastAsia="仿宋_GB2312" w:cs="仿宋_GB2312"/>
          <w:b/>
          <w:bCs w:val="0"/>
          <w:sz w:val="32"/>
          <w:szCs w:val="32"/>
          <w:shd w:val="clear" w:color="auto" w:fill="FFFFFF"/>
        </w:rPr>
        <w:t>二是</w:t>
      </w:r>
      <w:r>
        <w:rPr>
          <w:rFonts w:hint="eastAsia" w:ascii="仿宋_GB2312" w:hAnsi="仿宋_GB2312" w:eastAsia="仿宋_GB2312" w:cs="仿宋_GB2312"/>
          <w:b w:val="0"/>
          <w:bCs/>
          <w:sz w:val="32"/>
          <w:szCs w:val="32"/>
        </w:rPr>
        <w:t>依申请公开转主动公开意识不够。</w:t>
      </w:r>
      <w:r>
        <w:rPr>
          <w:rFonts w:hint="eastAsia" w:ascii="仿宋_GB2312" w:hAnsi="仿宋_GB2312" w:eastAsia="仿宋_GB2312" w:cs="仿宋_GB2312"/>
          <w:sz w:val="32"/>
          <w:szCs w:val="32"/>
        </w:rPr>
        <w:t>从申请类型看，城市房屋建设、房屋征收、拆迁补偿、土地规划等信息申请在申请总量中占比较大，部分单位针对群众公开诉求集中，依申请量居高不下的情况未建立依申请公开转主动公开机制，容易引发行政复议和行政诉讼，造成行政及司法成本浪费。</w:t>
      </w:r>
      <w:r>
        <w:rPr>
          <w:rFonts w:hint="eastAsia" w:ascii="仿宋_GB2312" w:hAnsi="仿宋_GB2312" w:eastAsia="仿宋_GB2312" w:cs="仿宋_GB2312"/>
          <w:b/>
          <w:bCs w:val="0"/>
          <w:sz w:val="32"/>
          <w:szCs w:val="32"/>
          <w:shd w:val="clear" w:color="auto" w:fill="FFFFFF"/>
        </w:rPr>
        <w:t>三是</w:t>
      </w:r>
      <w:r>
        <w:rPr>
          <w:rFonts w:hint="eastAsia" w:ascii="仿宋_GB2312" w:hAnsi="仿宋_GB2312" w:eastAsia="仿宋_GB2312" w:cs="仿宋_GB2312"/>
          <w:b w:val="0"/>
          <w:bCs/>
          <w:sz w:val="32"/>
          <w:szCs w:val="32"/>
          <w:shd w:val="clear" w:color="auto" w:fill="FFFFFF"/>
        </w:rPr>
        <w:t>政务公开品牌的塑造</w:t>
      </w:r>
      <w:r>
        <w:rPr>
          <w:rFonts w:hint="eastAsia" w:ascii="仿宋_GB2312" w:hAnsi="仿宋_GB2312" w:eastAsia="仿宋_GB2312" w:cs="仿宋_GB2312"/>
          <w:b w:val="0"/>
          <w:bCs/>
          <w:sz w:val="32"/>
          <w:szCs w:val="32"/>
          <w:shd w:val="clear" w:color="auto" w:fill="FFFFFF"/>
          <w:lang w:eastAsia="zh-CN"/>
        </w:rPr>
        <w:t>仍待加强</w:t>
      </w:r>
      <w:r>
        <w:rPr>
          <w:rFonts w:hint="eastAsia" w:ascii="仿宋_GB2312" w:hAnsi="仿宋_GB2312" w:eastAsia="仿宋_GB2312" w:cs="仿宋_GB2312"/>
          <w:b w:val="0"/>
          <w:bCs/>
          <w:sz w:val="32"/>
          <w:szCs w:val="32"/>
          <w:shd w:val="clear" w:color="auto" w:fill="FFFFFF"/>
        </w:rPr>
        <w:t>。积极探索</w:t>
      </w:r>
      <w:r>
        <w:rPr>
          <w:rFonts w:hint="eastAsia" w:ascii="仿宋_GB2312" w:hAnsi="仿宋_GB2312" w:eastAsia="仿宋_GB2312" w:cs="仿宋_GB2312"/>
          <w:sz w:val="32"/>
          <w:szCs w:val="32"/>
          <w:shd w:val="clear" w:color="auto" w:fill="FFFFFF"/>
        </w:rPr>
        <w:t>开展“互联网+政务公开”行动，结合我市政务公开工作品牌示范效应，提升政务公开标准化信息化便利化程度，还有较大提升空间。</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rPr>
      </w:pPr>
      <w:r>
        <w:rPr>
          <w:rFonts w:hint="default" w:ascii="Times New Roman" w:hAnsi="Times New Roman" w:eastAsia="仿宋_GB2312" w:cs="Times New Roman"/>
          <w:sz w:val="32"/>
          <w:szCs w:val="32"/>
          <w:shd w:val="clear"/>
        </w:rPr>
        <w:t>针对上述不足，将深入贯彻落实《条例》</w:t>
      </w:r>
      <w:r>
        <w:rPr>
          <w:rFonts w:hint="default" w:ascii="Times New Roman" w:hAnsi="Times New Roman" w:eastAsia="仿宋_GB2312" w:cs="Times New Roman"/>
          <w:sz w:val="32"/>
          <w:szCs w:val="32"/>
          <w:shd w:val="clear"/>
          <w:lang w:eastAsia="zh-CN"/>
        </w:rPr>
        <w:t>精神</w:t>
      </w:r>
      <w:r>
        <w:rPr>
          <w:rFonts w:hint="default" w:ascii="Times New Roman" w:hAnsi="Times New Roman" w:eastAsia="仿宋_GB2312" w:cs="Times New Roman"/>
          <w:sz w:val="32"/>
          <w:szCs w:val="32"/>
          <w:shd w:val="clear"/>
        </w:rPr>
        <w:t>，进一步加强</w:t>
      </w:r>
      <w:r>
        <w:rPr>
          <w:rFonts w:hint="eastAsia" w:ascii="Times New Roman" w:hAnsi="Times New Roman" w:eastAsia="仿宋_GB2312" w:cs="Times New Roman"/>
          <w:sz w:val="32"/>
          <w:szCs w:val="32"/>
          <w:shd w:val="clear"/>
          <w:lang w:eastAsia="zh-CN"/>
        </w:rPr>
        <w:t>政务</w:t>
      </w:r>
      <w:r>
        <w:rPr>
          <w:rFonts w:hint="default" w:ascii="Times New Roman" w:hAnsi="Times New Roman" w:eastAsia="仿宋_GB2312" w:cs="Times New Roman"/>
          <w:sz w:val="32"/>
          <w:szCs w:val="32"/>
          <w:shd w:val="clear"/>
        </w:rPr>
        <w:t>公开工作。</w:t>
      </w:r>
      <w:r>
        <w:rPr>
          <w:rFonts w:hint="eastAsia" w:ascii="Times New Roman" w:hAnsi="Times New Roman" w:eastAsia="仿宋_GB2312" w:cs="Times New Roman"/>
          <w:b/>
          <w:bCs/>
          <w:sz w:val="32"/>
          <w:szCs w:val="32"/>
          <w:shd w:val="clear"/>
          <w:lang w:eastAsia="zh-CN"/>
        </w:rPr>
        <w:t>一是</w:t>
      </w:r>
      <w:r>
        <w:rPr>
          <w:rFonts w:hint="eastAsia" w:ascii="仿宋_GB2312" w:hAnsi="仿宋_GB2312" w:eastAsia="仿宋_GB2312" w:cs="仿宋_GB2312"/>
          <w:b w:val="0"/>
          <w:bCs w:val="0"/>
          <w:sz w:val="32"/>
          <w:szCs w:val="32"/>
          <w:shd w:val="clear" w:color="auto" w:fill="FFFFFF"/>
        </w:rPr>
        <w:t>强化部门主体责任落实</w:t>
      </w:r>
      <w:r>
        <w:rPr>
          <w:rFonts w:hint="eastAsia" w:ascii="仿宋_GB2312" w:hAnsi="仿宋_GB2312" w:eastAsia="仿宋_GB2312" w:cs="仿宋_GB2312"/>
          <w:b w:val="0"/>
          <w:bCs w:val="0"/>
          <w:sz w:val="32"/>
          <w:szCs w:val="32"/>
          <w:shd w:val="clear" w:color="auto" w:fill="FFFFFF"/>
          <w:lang w:eastAsia="zh-CN"/>
        </w:rPr>
        <w:t>提升</w:t>
      </w:r>
      <w:r>
        <w:rPr>
          <w:rFonts w:hint="eastAsia" w:ascii="仿宋_GB2312" w:hAnsi="仿宋_GB2312" w:eastAsia="仿宋_GB2312" w:cs="仿宋_GB2312"/>
          <w:b w:val="0"/>
          <w:bCs w:val="0"/>
          <w:sz w:val="32"/>
          <w:szCs w:val="32"/>
          <w:shd w:val="clear" w:color="auto" w:fill="FFFFFF"/>
        </w:rPr>
        <w:t>公开质效。</w:t>
      </w:r>
      <w:r>
        <w:rPr>
          <w:rFonts w:hint="eastAsia" w:ascii="仿宋_GB2312" w:hAnsi="仿宋_GB2312" w:eastAsia="仿宋_GB2312" w:cs="仿宋_GB2312"/>
          <w:sz w:val="32"/>
          <w:szCs w:val="32"/>
          <w:shd w:val="clear" w:color="auto" w:fill="FFFFFF"/>
        </w:rPr>
        <w:t>组织开展我市政务公开</w:t>
      </w:r>
      <w:r>
        <w:rPr>
          <w:rFonts w:hint="eastAsia" w:ascii="仿宋_GB2312" w:hAnsi="仿宋_GB2312" w:eastAsia="仿宋_GB2312" w:cs="仿宋_GB2312"/>
          <w:sz w:val="32"/>
          <w:szCs w:val="32"/>
          <w:shd w:val="clear" w:color="auto" w:fill="FFFFFF"/>
          <w:lang w:eastAsia="zh-CN"/>
        </w:rPr>
        <w:t>工作制度修订工作</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并出台《政务公开工作规范》省级地方标准。</w:t>
      </w:r>
      <w:r>
        <w:rPr>
          <w:rFonts w:hint="eastAsia" w:ascii="仿宋_GB2312" w:hAnsi="仿宋_GB2312" w:eastAsia="仿宋_GB2312" w:cs="仿宋_GB2312"/>
          <w:sz w:val="32"/>
          <w:szCs w:val="32"/>
          <w:shd w:val="clear" w:color="auto" w:fill="FFFFFF"/>
        </w:rPr>
        <w:t>用足用好政务公开第三方评估</w:t>
      </w:r>
      <w:r>
        <w:rPr>
          <w:rFonts w:hint="eastAsia" w:ascii="仿宋_GB2312" w:hAnsi="仿宋_GB2312" w:eastAsia="仿宋_GB2312" w:cs="仿宋_GB2312"/>
          <w:sz w:val="32"/>
          <w:szCs w:val="32"/>
          <w:shd w:val="clear" w:color="auto" w:fill="FFFFFF"/>
          <w:lang w:eastAsia="zh-CN"/>
        </w:rPr>
        <w:t>方法，</w:t>
      </w:r>
      <w:r>
        <w:rPr>
          <w:rFonts w:hint="eastAsia" w:ascii="仿宋_GB2312" w:hAnsi="仿宋_GB2312" w:eastAsia="仿宋_GB2312" w:cs="仿宋_GB2312"/>
          <w:sz w:val="32"/>
          <w:szCs w:val="32"/>
          <w:shd w:val="clear" w:color="auto" w:fill="FFFFFF"/>
        </w:rPr>
        <w:t>高质量做好政务公开自评自查工作和定期通报，进一步压实部门主体责任，形成政务公开工作标准化规范化和检查整改常态化。</w:t>
      </w:r>
      <w:r>
        <w:rPr>
          <w:rFonts w:hint="eastAsia" w:ascii="仿宋_GB2312" w:hAnsi="仿宋_GB2312" w:eastAsia="仿宋_GB2312" w:cs="仿宋_GB2312"/>
          <w:b/>
          <w:bCs/>
          <w:sz w:val="32"/>
          <w:szCs w:val="32"/>
          <w:shd w:val="clear" w:color="auto" w:fill="FFFFFF"/>
          <w:lang w:eastAsia="zh-CN"/>
        </w:rPr>
        <w:t>二是</w:t>
      </w:r>
      <w:r>
        <w:rPr>
          <w:rFonts w:hint="eastAsia" w:ascii="仿宋_GB2312" w:hAnsi="仿宋_GB2312" w:eastAsia="仿宋_GB2312" w:cs="仿宋_GB2312"/>
          <w:b w:val="0"/>
          <w:bCs/>
          <w:sz w:val="32"/>
          <w:szCs w:val="32"/>
          <w:shd w:val="clear" w:color="auto" w:fill="FFFFFF"/>
        </w:rPr>
        <w:t>打造</w:t>
      </w:r>
      <w:r>
        <w:rPr>
          <w:rFonts w:hint="eastAsia" w:ascii="仿宋_GB2312" w:hAnsi="仿宋_GB2312" w:eastAsia="仿宋_GB2312" w:cs="仿宋_GB2312"/>
          <w:b w:val="0"/>
          <w:bCs/>
          <w:sz w:val="32"/>
          <w:szCs w:val="32"/>
          <w:shd w:val="clear" w:color="auto" w:fill="FFFFFF"/>
          <w:lang w:eastAsia="zh-CN"/>
        </w:rPr>
        <w:t>政府</w:t>
      </w:r>
      <w:r>
        <w:rPr>
          <w:rFonts w:hint="eastAsia" w:ascii="仿宋_GB2312" w:hAnsi="仿宋_GB2312" w:eastAsia="仿宋_GB2312" w:cs="仿宋_GB2312"/>
          <w:b w:val="0"/>
          <w:bCs/>
          <w:sz w:val="32"/>
          <w:szCs w:val="32"/>
          <w:shd w:val="clear" w:color="auto" w:fill="FFFFFF"/>
        </w:rPr>
        <w:t>信息依申请公开平台升级版。</w:t>
      </w:r>
      <w:r>
        <w:rPr>
          <w:rFonts w:hint="eastAsia" w:ascii="仿宋_GB2312" w:hAnsi="仿宋_GB2312" w:eastAsia="仿宋_GB2312" w:cs="仿宋_GB2312"/>
          <w:sz w:val="32"/>
          <w:szCs w:val="32"/>
          <w:shd w:val="clear" w:color="auto" w:fill="FFFFFF"/>
        </w:rPr>
        <w:t>按照“全国一流、全省领先”的目标，力争平台建成后实现智能化管理政府信息依申请公开办理工作全过程，进一步提升企业群众信息获取便利度</w:t>
      </w:r>
      <w:r>
        <w:rPr>
          <w:rFonts w:hint="eastAsia" w:ascii="仿宋_GB2312" w:hAnsi="仿宋_GB2312" w:eastAsia="仿宋_GB2312" w:cs="仿宋_GB2312"/>
          <w:b w:val="0"/>
          <w:bCs w:val="0"/>
          <w:sz w:val="32"/>
          <w:szCs w:val="32"/>
          <w:shd w:val="clear" w:color="auto" w:fill="FFFFFF"/>
        </w:rPr>
        <w:t>。</w:t>
      </w:r>
      <w:r>
        <w:rPr>
          <w:rFonts w:hint="eastAsia" w:ascii="仿宋_GB2312" w:hAnsi="仿宋_GB2312" w:eastAsia="仿宋_GB2312" w:cs="仿宋_GB2312"/>
          <w:b/>
          <w:bCs/>
          <w:kern w:val="0"/>
          <w:sz w:val="32"/>
          <w:szCs w:val="32"/>
        </w:rPr>
        <w:t>三</w:t>
      </w:r>
      <w:r>
        <w:rPr>
          <w:rFonts w:hint="eastAsia" w:ascii="仿宋_GB2312" w:hAnsi="仿宋_GB2312" w:eastAsia="仿宋_GB2312" w:cs="仿宋_GB2312"/>
          <w:b/>
          <w:bCs/>
          <w:sz w:val="32"/>
          <w:szCs w:val="32"/>
        </w:rPr>
        <w:t>是</w:t>
      </w:r>
      <w:r>
        <w:rPr>
          <w:rFonts w:hint="eastAsia" w:ascii="仿宋_GB2312" w:hAnsi="仿宋_GB2312" w:eastAsia="仿宋_GB2312" w:cs="仿宋_GB2312"/>
          <w:b w:val="0"/>
          <w:bCs w:val="0"/>
          <w:sz w:val="32"/>
          <w:szCs w:val="32"/>
          <w:shd w:val="clear" w:color="auto" w:fill="FFFFFF"/>
        </w:rPr>
        <w:t>擦亮长沙市基层政务公开标准化规范化名片。进一步强化市级统筹力度，压实各级政府和部门主体责任，率先全省</w:t>
      </w:r>
      <w:r>
        <w:rPr>
          <w:rFonts w:hint="eastAsia" w:ascii="仿宋_GB2312" w:hAnsi="仿宋_GB2312" w:eastAsia="仿宋_GB2312" w:cs="仿宋_GB2312"/>
          <w:sz w:val="32"/>
          <w:szCs w:val="32"/>
          <w:shd w:val="clear" w:color="auto" w:fill="FFFFFF"/>
        </w:rPr>
        <w:t>完成新增目录内容的更新和发布。针对企业群众申请量大的政府信息，探索建立依申请转主动公开机制，不断提高企业和群众获取政府信息的便捷度。</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黑体" w:cs="Times New Roman"/>
          <w:sz w:val="32"/>
          <w:szCs w:val="32"/>
          <w:shd w:val="clear"/>
        </w:rPr>
      </w:pPr>
      <w:r>
        <w:rPr>
          <w:rFonts w:hint="default" w:ascii="Times New Roman" w:hAnsi="Times New Roman" w:eastAsia="黑体" w:cs="Times New Roman"/>
          <w:sz w:val="32"/>
          <w:szCs w:val="32"/>
          <w:shd w:val="clear"/>
        </w:rPr>
        <w:t>六、其他需要报告的事项</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32"/>
          <w:szCs w:val="32"/>
          <w:shd w:val="clear"/>
        </w:rPr>
        <w:t>长沙市人民政府办公厅本年度未收取政府信息处理费。年报中所列数据的统计期限自202</w:t>
      </w:r>
      <w:r>
        <w:rPr>
          <w:rFonts w:hint="eastAsia" w:ascii="Times New Roman" w:hAnsi="Times New Roman" w:eastAsia="仿宋_GB2312" w:cs="Times New Roman"/>
          <w:sz w:val="32"/>
          <w:szCs w:val="32"/>
          <w:shd w:val="clear"/>
          <w:lang w:val="en-US" w:eastAsia="zh-CN"/>
        </w:rPr>
        <w:t>2</w:t>
      </w:r>
      <w:r>
        <w:rPr>
          <w:rFonts w:hint="default" w:ascii="Times New Roman" w:hAnsi="Times New Roman" w:eastAsia="仿宋_GB2312" w:cs="Times New Roman"/>
          <w:sz w:val="32"/>
          <w:szCs w:val="32"/>
          <w:shd w:val="clear"/>
        </w:rPr>
        <w:t>年1月1日起至202</w:t>
      </w:r>
      <w:r>
        <w:rPr>
          <w:rFonts w:hint="eastAsia" w:ascii="Times New Roman" w:hAnsi="Times New Roman" w:eastAsia="仿宋_GB2312" w:cs="Times New Roman"/>
          <w:sz w:val="32"/>
          <w:szCs w:val="32"/>
          <w:shd w:val="clear"/>
          <w:lang w:val="en-US" w:eastAsia="zh-CN"/>
        </w:rPr>
        <w:t>2</w:t>
      </w:r>
      <w:r>
        <w:rPr>
          <w:rFonts w:hint="default" w:ascii="Times New Roman" w:hAnsi="Times New Roman" w:eastAsia="仿宋_GB2312" w:cs="Times New Roman"/>
          <w:sz w:val="32"/>
          <w:szCs w:val="32"/>
          <w:shd w:val="clear"/>
        </w:rPr>
        <w:t>年12月31日止。如对本年报有疑义，请与长沙市政务公开政务服务工作领导小组办公室联系</w:t>
      </w:r>
      <w:r>
        <w:rPr>
          <w:rFonts w:hint="eastAsia" w:ascii="Times New Roman" w:hAnsi="Times New Roman" w:eastAsia="仿宋_GB2312" w:cs="Times New Roman"/>
          <w:sz w:val="32"/>
          <w:szCs w:val="32"/>
          <w:shd w:val="clear"/>
          <w:lang w:eastAsia="zh-CN"/>
        </w:rPr>
        <w:t>（</w:t>
      </w:r>
      <w:r>
        <w:rPr>
          <w:rFonts w:hint="default" w:ascii="Times New Roman" w:hAnsi="Times New Roman" w:eastAsia="仿宋_GB2312" w:cs="Times New Roman"/>
          <w:sz w:val="32"/>
          <w:szCs w:val="32"/>
          <w:shd w:val="clear"/>
        </w:rPr>
        <w:t>联系电话</w:t>
      </w:r>
      <w:r>
        <w:rPr>
          <w:rFonts w:hint="eastAsia" w:ascii="Times New Roman" w:hAnsi="Times New Roman" w:eastAsia="仿宋_GB2312" w:cs="Times New Roman"/>
          <w:sz w:val="32"/>
          <w:szCs w:val="32"/>
          <w:shd w:val="clear"/>
          <w:lang w:eastAsia="zh-CN"/>
        </w:rPr>
        <w:t>：</w:t>
      </w:r>
      <w:r>
        <w:rPr>
          <w:rFonts w:hint="default" w:ascii="Times New Roman" w:hAnsi="Times New Roman" w:eastAsia="仿宋_GB2312" w:cs="Times New Roman"/>
          <w:sz w:val="32"/>
          <w:szCs w:val="32"/>
          <w:shd w:val="clear"/>
        </w:rPr>
        <w:t>0731-88665077</w:t>
      </w:r>
      <w:r>
        <w:rPr>
          <w:rFonts w:hint="eastAsia" w:ascii="Times New Roman" w:hAnsi="Times New Roman" w:eastAsia="仿宋_GB2312" w:cs="Times New Roman"/>
          <w:sz w:val="32"/>
          <w:szCs w:val="32"/>
          <w:shd w:val="clear"/>
          <w:lang w:eastAsia="zh-CN"/>
        </w:rPr>
        <w:t>）</w:t>
      </w:r>
      <w:r>
        <w:rPr>
          <w:rFonts w:hint="default" w:ascii="Times New Roman" w:hAnsi="Times New Roman" w:eastAsia="仿宋_GB2312" w:cs="Times New Roman"/>
          <w:sz w:val="32"/>
          <w:szCs w:val="32"/>
          <w:shd w:val="clear"/>
        </w:rPr>
        <w:t>。</w:t>
      </w:r>
    </w:p>
    <w:p>
      <w:pPr>
        <w:keepNext w:val="0"/>
        <w:keepLines w:val="0"/>
        <w:pageBreakBefore w:val="0"/>
        <w:widowControl w:val="0"/>
        <w:kinsoku/>
        <w:wordWrap/>
        <w:overflowPunct/>
        <w:topLinePunct w:val="0"/>
        <w:autoSpaceDE/>
        <w:autoSpaceDN/>
        <w:bidi w:val="0"/>
        <w:adjustRightInd/>
        <w:snapToGrid/>
        <w:spacing w:after="0" w:line="800" w:lineRule="exact"/>
        <w:ind w:right="-86" w:rightChars="-41"/>
        <w:jc w:val="both"/>
        <w:textAlignment w:val="baseline"/>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after="0" w:line="800" w:lineRule="exact"/>
        <w:ind w:right="-86" w:rightChars="-41"/>
        <w:jc w:val="both"/>
        <w:textAlignment w:val="baseline"/>
        <w:rPr>
          <w:rFonts w:hint="default" w:ascii="Times New Roman" w:hAnsi="Times New Roman" w:eastAsia="仿宋_GB2312" w:cs="Times New Roman"/>
          <w:sz w:val="28"/>
          <w:szCs w:val="28"/>
        </w:rPr>
      </w:pPr>
    </w:p>
    <w:sectPr>
      <w:footerReference r:id="rId3" w:type="default"/>
      <w:pgSz w:w="11906" w:h="16838"/>
      <w:pgMar w:top="1701" w:right="1587" w:bottom="1701" w:left="1587"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ngLiU">
    <w:altName w:val="Droid Sans Japanese"/>
    <w:panose1 w:val="02020509000000000000"/>
    <w:charset w:val="88"/>
    <w:family w:val="modern"/>
    <w:pitch w:val="default"/>
    <w:sig w:usb0="00000000" w:usb1="00000000" w:usb2="00000016" w:usb3="00000000" w:csb0="00100001" w:csb1="00000000"/>
  </w:font>
  <w:font w:name="永中宋体">
    <w:altName w:val="方正书宋_GBK"/>
    <w:panose1 w:val="00000000000000000000"/>
    <w:charset w:val="00"/>
    <w:family w:val="auto"/>
    <w:pitch w:val="default"/>
    <w:sig w:usb0="00000000" w:usb1="00000000" w:usb2="00000000" w:usb3="00000000" w:csb0="00040001" w:csb1="00000000"/>
  </w:font>
  <w:font w:name="方正大标宋简体">
    <w:altName w:val="方正书宋_GBK"/>
    <w:panose1 w:val="0201060103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roid Sans Japanese">
    <w:panose1 w:val="020B0502000000000001"/>
    <w:charset w:val="00"/>
    <w:family w:val="auto"/>
    <w:pitch w:val="default"/>
    <w:sig w:usb0="80000000" w:usb1="08070000"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9"/>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1ODNhOWQ3ZjBkYWJlZTQ1MDM1M2M5YzgyOTEzOTQifQ=="/>
  </w:docVars>
  <w:rsids>
    <w:rsidRoot w:val="00B634B0"/>
    <w:rsid w:val="00002F9A"/>
    <w:rsid w:val="000112F0"/>
    <w:rsid w:val="00013E3D"/>
    <w:rsid w:val="00026B8F"/>
    <w:rsid w:val="00103DD7"/>
    <w:rsid w:val="00154F1C"/>
    <w:rsid w:val="00161545"/>
    <w:rsid w:val="00167028"/>
    <w:rsid w:val="00190D9C"/>
    <w:rsid w:val="001D0D0D"/>
    <w:rsid w:val="001D516F"/>
    <w:rsid w:val="002223DC"/>
    <w:rsid w:val="00237665"/>
    <w:rsid w:val="002424F2"/>
    <w:rsid w:val="002622A8"/>
    <w:rsid w:val="00267F79"/>
    <w:rsid w:val="002828B9"/>
    <w:rsid w:val="002E6515"/>
    <w:rsid w:val="00315251"/>
    <w:rsid w:val="00332E92"/>
    <w:rsid w:val="00337E74"/>
    <w:rsid w:val="00366AD3"/>
    <w:rsid w:val="003A4E29"/>
    <w:rsid w:val="004A6F5F"/>
    <w:rsid w:val="004D2169"/>
    <w:rsid w:val="005331EE"/>
    <w:rsid w:val="00545BB4"/>
    <w:rsid w:val="00555930"/>
    <w:rsid w:val="005A7233"/>
    <w:rsid w:val="005C0406"/>
    <w:rsid w:val="005C3EC0"/>
    <w:rsid w:val="005F4147"/>
    <w:rsid w:val="00633431"/>
    <w:rsid w:val="00636B37"/>
    <w:rsid w:val="00673F61"/>
    <w:rsid w:val="006A39B2"/>
    <w:rsid w:val="00801A3B"/>
    <w:rsid w:val="0082563F"/>
    <w:rsid w:val="00960921"/>
    <w:rsid w:val="0098093E"/>
    <w:rsid w:val="00996D3C"/>
    <w:rsid w:val="009E342A"/>
    <w:rsid w:val="00A12E16"/>
    <w:rsid w:val="00A730AC"/>
    <w:rsid w:val="00AD04D1"/>
    <w:rsid w:val="00AE7F67"/>
    <w:rsid w:val="00B047CD"/>
    <w:rsid w:val="00B42085"/>
    <w:rsid w:val="00B5692B"/>
    <w:rsid w:val="00B634B0"/>
    <w:rsid w:val="00BB6FCE"/>
    <w:rsid w:val="00C34BD7"/>
    <w:rsid w:val="00C5571D"/>
    <w:rsid w:val="00C64C98"/>
    <w:rsid w:val="00D337C7"/>
    <w:rsid w:val="00D63C10"/>
    <w:rsid w:val="00D72BEB"/>
    <w:rsid w:val="00DA2312"/>
    <w:rsid w:val="00DB6A4A"/>
    <w:rsid w:val="00DF1F60"/>
    <w:rsid w:val="00E14DA2"/>
    <w:rsid w:val="00E80E64"/>
    <w:rsid w:val="00EE799F"/>
    <w:rsid w:val="00F11B1D"/>
    <w:rsid w:val="00F32DF1"/>
    <w:rsid w:val="016C2B4D"/>
    <w:rsid w:val="03D5183E"/>
    <w:rsid w:val="0762663C"/>
    <w:rsid w:val="0DF85633"/>
    <w:rsid w:val="0E1F3841"/>
    <w:rsid w:val="0E6F4525"/>
    <w:rsid w:val="12B161F5"/>
    <w:rsid w:val="142C7838"/>
    <w:rsid w:val="14564BB0"/>
    <w:rsid w:val="15973BD3"/>
    <w:rsid w:val="15B90A0D"/>
    <w:rsid w:val="160E2AD4"/>
    <w:rsid w:val="165E379C"/>
    <w:rsid w:val="1857691A"/>
    <w:rsid w:val="1B09283C"/>
    <w:rsid w:val="1CA86DAC"/>
    <w:rsid w:val="1E7A1624"/>
    <w:rsid w:val="1ECF8C42"/>
    <w:rsid w:val="1FFB3E5D"/>
    <w:rsid w:val="207E750B"/>
    <w:rsid w:val="20ED32F3"/>
    <w:rsid w:val="21B0304D"/>
    <w:rsid w:val="23921E49"/>
    <w:rsid w:val="257A4535"/>
    <w:rsid w:val="26DFB0D4"/>
    <w:rsid w:val="2A0A4848"/>
    <w:rsid w:val="2A881158"/>
    <w:rsid w:val="2D1B03B6"/>
    <w:rsid w:val="2DBB7441"/>
    <w:rsid w:val="2DFB0ADA"/>
    <w:rsid w:val="30080134"/>
    <w:rsid w:val="30EF1486"/>
    <w:rsid w:val="3157651A"/>
    <w:rsid w:val="31A820DE"/>
    <w:rsid w:val="32E649DD"/>
    <w:rsid w:val="33A13273"/>
    <w:rsid w:val="348E0B61"/>
    <w:rsid w:val="37A615CA"/>
    <w:rsid w:val="37CF580A"/>
    <w:rsid w:val="37DF70FD"/>
    <w:rsid w:val="393E58AC"/>
    <w:rsid w:val="39C614C2"/>
    <w:rsid w:val="3AA872DE"/>
    <w:rsid w:val="3C3501C6"/>
    <w:rsid w:val="3DEB610B"/>
    <w:rsid w:val="3F2D30F4"/>
    <w:rsid w:val="3FBE4C77"/>
    <w:rsid w:val="440F441B"/>
    <w:rsid w:val="46201D01"/>
    <w:rsid w:val="46F5C1FC"/>
    <w:rsid w:val="4BB72F6F"/>
    <w:rsid w:val="4C136CEF"/>
    <w:rsid w:val="4C787397"/>
    <w:rsid w:val="4F61765A"/>
    <w:rsid w:val="4FB627C2"/>
    <w:rsid w:val="52D766BD"/>
    <w:rsid w:val="544B7E73"/>
    <w:rsid w:val="54D24A2E"/>
    <w:rsid w:val="56ED09EF"/>
    <w:rsid w:val="571E6475"/>
    <w:rsid w:val="5A19264C"/>
    <w:rsid w:val="5A1C7421"/>
    <w:rsid w:val="5BC409C5"/>
    <w:rsid w:val="5CE4ED6E"/>
    <w:rsid w:val="5DFD2C9B"/>
    <w:rsid w:val="5E4F28C3"/>
    <w:rsid w:val="5E523626"/>
    <w:rsid w:val="5EFFA75F"/>
    <w:rsid w:val="5F2E4B79"/>
    <w:rsid w:val="5F9D2A4F"/>
    <w:rsid w:val="5FF9DB6F"/>
    <w:rsid w:val="60EE3B36"/>
    <w:rsid w:val="62BC79CE"/>
    <w:rsid w:val="648F191B"/>
    <w:rsid w:val="659C603F"/>
    <w:rsid w:val="66D41789"/>
    <w:rsid w:val="67DF5651"/>
    <w:rsid w:val="67FAD437"/>
    <w:rsid w:val="68ED23EF"/>
    <w:rsid w:val="6A2A7908"/>
    <w:rsid w:val="6B1D4E4F"/>
    <w:rsid w:val="6B302305"/>
    <w:rsid w:val="6B3312A4"/>
    <w:rsid w:val="6DB2141A"/>
    <w:rsid w:val="6E78064F"/>
    <w:rsid w:val="6EC91E48"/>
    <w:rsid w:val="6FEBD998"/>
    <w:rsid w:val="70303E6F"/>
    <w:rsid w:val="71023B93"/>
    <w:rsid w:val="722D7F92"/>
    <w:rsid w:val="733BCA4F"/>
    <w:rsid w:val="73F4B27F"/>
    <w:rsid w:val="748472DB"/>
    <w:rsid w:val="74D53228"/>
    <w:rsid w:val="756D3F62"/>
    <w:rsid w:val="75A32902"/>
    <w:rsid w:val="769A62A1"/>
    <w:rsid w:val="779167AD"/>
    <w:rsid w:val="77CB08D6"/>
    <w:rsid w:val="77EE349C"/>
    <w:rsid w:val="77EF8125"/>
    <w:rsid w:val="77FD9117"/>
    <w:rsid w:val="795D0F99"/>
    <w:rsid w:val="79FF5920"/>
    <w:rsid w:val="7AAE70A7"/>
    <w:rsid w:val="7AFF00F3"/>
    <w:rsid w:val="7BBB6E96"/>
    <w:rsid w:val="7BFF2782"/>
    <w:rsid w:val="7BFFFCEB"/>
    <w:rsid w:val="7D2F3C22"/>
    <w:rsid w:val="7D6F7450"/>
    <w:rsid w:val="7E6B197C"/>
    <w:rsid w:val="7E8E1AE2"/>
    <w:rsid w:val="7ED4077E"/>
    <w:rsid w:val="7FCE3D54"/>
    <w:rsid w:val="7FD94CA7"/>
    <w:rsid w:val="7FDF5314"/>
    <w:rsid w:val="7FFAF6C9"/>
    <w:rsid w:val="7FFD6B1E"/>
    <w:rsid w:val="8F7B8D50"/>
    <w:rsid w:val="AFFBB54E"/>
    <w:rsid w:val="B32AD2E0"/>
    <w:rsid w:val="B7EEBC87"/>
    <w:rsid w:val="BF3F8DA4"/>
    <w:rsid w:val="C5EA5B90"/>
    <w:rsid w:val="CE7E96AB"/>
    <w:rsid w:val="D557C340"/>
    <w:rsid w:val="D7B639E0"/>
    <w:rsid w:val="DBF9B50B"/>
    <w:rsid w:val="DCFE8ED0"/>
    <w:rsid w:val="E7A74A9D"/>
    <w:rsid w:val="EB746279"/>
    <w:rsid w:val="EFFBAA49"/>
    <w:rsid w:val="F7646C94"/>
    <w:rsid w:val="F97BCA2A"/>
    <w:rsid w:val="FBEFDDA9"/>
    <w:rsid w:val="FBEFE166"/>
    <w:rsid w:val="FE7FA918"/>
    <w:rsid w:val="FFCF4E26"/>
    <w:rsid w:val="FFF3C95D"/>
    <w:rsid w:val="FFFFC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semiHidden="0"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hd w:val="clear" w:color="auto" w:fill="FFFFFF"/>
      <w:spacing w:before="780" w:after="1260" w:line="240" w:lineRule="atLeast"/>
      <w:jc w:val="center"/>
    </w:pPr>
    <w:rPr>
      <w:rFonts w:ascii="MingLiU" w:hAnsi="MingLiU" w:eastAsia="MingLiU"/>
      <w:sz w:val="29"/>
    </w:rPr>
  </w:style>
  <w:style w:type="paragraph" w:styleId="3">
    <w:name w:val="Body Text Indent"/>
    <w:basedOn w:val="1"/>
    <w:next w:val="4"/>
    <w:qFormat/>
    <w:uiPriority w:val="0"/>
    <w:pPr>
      <w:spacing w:after="120"/>
      <w:ind w:left="420" w:leftChars="200"/>
    </w:pPr>
    <w:rPr>
      <w:rFonts w:ascii="Times New Roman" w:hAnsi="Times New Roman" w:eastAsia="宋体" w:cs="Times New Roman"/>
    </w:rPr>
  </w:style>
  <w:style w:type="paragraph" w:styleId="4">
    <w:name w:val="envelope return"/>
    <w:basedOn w:val="1"/>
    <w:qFormat/>
    <w:uiPriority w:val="0"/>
    <w:pPr>
      <w:snapToGrid w:val="0"/>
    </w:pPr>
    <w:rPr>
      <w:rFonts w:ascii="Arial" w:hAnsi="Arial"/>
    </w:rPr>
  </w:style>
  <w:style w:type="paragraph" w:styleId="5">
    <w:name w:val="Block Text"/>
    <w:basedOn w:val="1"/>
    <w:unhideWhenUsed/>
    <w:qFormat/>
    <w:uiPriority w:val="0"/>
    <w:pPr>
      <w:spacing w:after="120"/>
      <w:ind w:left="1440" w:leftChars="700" w:right="700" w:rightChars="700"/>
    </w:pPr>
  </w:style>
  <w:style w:type="paragraph" w:styleId="6">
    <w:name w:val="toc 5"/>
    <w:basedOn w:val="1"/>
    <w:next w:val="1"/>
    <w:qFormat/>
    <w:uiPriority w:val="0"/>
    <w:pPr>
      <w:ind w:left="1680"/>
    </w:pPr>
  </w:style>
  <w:style w:type="paragraph" w:styleId="7">
    <w:name w:val="toc 3"/>
    <w:basedOn w:val="1"/>
    <w:next w:val="1"/>
    <w:unhideWhenUsed/>
    <w:qFormat/>
    <w:uiPriority w:val="39"/>
    <w:pPr>
      <w:ind w:left="840" w:leftChars="400"/>
    </w:pPr>
  </w:style>
  <w:style w:type="paragraph" w:styleId="8">
    <w:name w:val="endnote text"/>
    <w:basedOn w:val="1"/>
    <w:next w:val="2"/>
    <w:qFormat/>
    <w:uiPriority w:val="0"/>
    <w:pPr>
      <w:snapToGrid w:val="0"/>
      <w:jc w:val="left"/>
    </w:pPr>
    <w:rPr>
      <w:rFonts w:ascii="Times New Roman" w:hAnsi="Times New Roman" w:cs="Times New Roman"/>
    </w:rPr>
  </w:style>
  <w:style w:type="paragraph" w:styleId="9">
    <w:name w:val="footer"/>
    <w:basedOn w:val="1"/>
    <w:unhideWhenUsed/>
    <w:qFormat/>
    <w:uiPriority w:val="99"/>
    <w:pPr>
      <w:tabs>
        <w:tab w:val="center" w:pos="4153"/>
        <w:tab w:val="right" w:pos="8306"/>
      </w:tabs>
      <w:snapToGrid w:val="0"/>
      <w:jc w:val="left"/>
    </w:pPr>
    <w:rPr>
      <w:sz w:val="18"/>
    </w:rPr>
  </w:style>
  <w:style w:type="paragraph" w:styleId="10">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SA"/>
    </w:rPr>
  </w:style>
  <w:style w:type="paragraph" w:styleId="12">
    <w:name w:val="Body Text First Indent"/>
    <w:basedOn w:val="2"/>
    <w:qFormat/>
    <w:uiPriority w:val="0"/>
    <w:pPr>
      <w:ind w:firstLine="420" w:firstLineChars="100"/>
    </w:pPr>
    <w:rPr>
      <w:rFonts w:ascii="永中宋体" w:hAnsi="永中宋体" w:eastAsia="黑体" w:cs="Times New Roman"/>
      <w:sz w:val="20"/>
      <w:szCs w:val="20"/>
    </w:rPr>
  </w:style>
  <w:style w:type="paragraph" w:styleId="13">
    <w:name w:val="Body Text First Indent 2"/>
    <w:basedOn w:val="3"/>
    <w:next w:val="1"/>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customStyle="1" w:styleId="18">
    <w:name w:val="font21"/>
    <w:basedOn w:val="16"/>
    <w:qFormat/>
    <w:uiPriority w:val="0"/>
    <w:rPr>
      <w:rFonts w:hint="default" w:ascii="Times New Roman" w:hAnsi="Times New Roman" w:cs="Times New Roman"/>
      <w:color w:val="000000"/>
      <w:sz w:val="21"/>
      <w:szCs w:val="21"/>
      <w:u w:val="none"/>
    </w:rPr>
  </w:style>
  <w:style w:type="character" w:customStyle="1" w:styleId="19">
    <w:name w:val="font31"/>
    <w:basedOn w:val="16"/>
    <w:qFormat/>
    <w:uiPriority w:val="0"/>
    <w:rPr>
      <w:rFonts w:hint="eastAsia" w:ascii="宋体" w:hAnsi="宋体" w:eastAsia="宋体" w:cs="宋体"/>
      <w:color w:val="FF0000"/>
      <w:sz w:val="21"/>
      <w:szCs w:val="21"/>
      <w:u w:val="none"/>
    </w:rPr>
  </w:style>
  <w:style w:type="character" w:customStyle="1" w:styleId="20">
    <w:name w:val="font101"/>
    <w:basedOn w:val="16"/>
    <w:qFormat/>
    <w:uiPriority w:val="0"/>
    <w:rPr>
      <w:rFonts w:hint="default" w:ascii="Times New Roman" w:hAnsi="Times New Roman" w:cs="Times New Roman"/>
      <w:color w:val="FF0000"/>
      <w:sz w:val="21"/>
      <w:szCs w:val="21"/>
      <w:u w:val="none"/>
    </w:rPr>
  </w:style>
  <w:style w:type="character" w:customStyle="1" w:styleId="21">
    <w:name w:val="font51"/>
    <w:basedOn w:val="16"/>
    <w:qFormat/>
    <w:uiPriority w:val="0"/>
    <w:rPr>
      <w:rFonts w:hint="eastAsia" w:ascii="宋体" w:hAnsi="宋体" w:eastAsia="宋体" w:cs="宋体"/>
      <w:color w:val="C00000"/>
      <w:sz w:val="21"/>
      <w:szCs w:val="21"/>
      <w:u w:val="none"/>
    </w:rPr>
  </w:style>
  <w:style w:type="character" w:customStyle="1" w:styleId="22">
    <w:name w:val="font41"/>
    <w:basedOn w:val="16"/>
    <w:qFormat/>
    <w:uiPriority w:val="0"/>
    <w:rPr>
      <w:rFonts w:hint="default" w:ascii="Times New Roman" w:hAnsi="Times New Roman" w:cs="Times New Roman"/>
      <w:color w:val="C00000"/>
      <w:sz w:val="21"/>
      <w:szCs w:val="21"/>
      <w:u w:val="none"/>
    </w:rPr>
  </w:style>
  <w:style w:type="character" w:customStyle="1" w:styleId="23">
    <w:name w:val="font91"/>
    <w:basedOn w:val="16"/>
    <w:qFormat/>
    <w:uiPriority w:val="0"/>
    <w:rPr>
      <w:rFonts w:hint="eastAsia" w:ascii="宋体" w:hAnsi="宋体" w:eastAsia="宋体" w:cs="宋体"/>
      <w:color w:val="000000"/>
      <w:sz w:val="21"/>
      <w:szCs w:val="21"/>
      <w:u w:val="none"/>
    </w:rPr>
  </w:style>
  <w:style w:type="character" w:customStyle="1" w:styleId="24">
    <w:name w:val="font111"/>
    <w:basedOn w:val="16"/>
    <w:qFormat/>
    <w:uiPriority w:val="0"/>
    <w:rPr>
      <w:rFonts w:hint="eastAsia" w:ascii="宋体" w:hAnsi="宋体" w:eastAsia="宋体" w:cs="宋体"/>
      <w:color w:val="FF0000"/>
      <w:sz w:val="21"/>
      <w:szCs w:val="21"/>
      <w:u w:val="none"/>
    </w:rPr>
  </w:style>
  <w:style w:type="character" w:customStyle="1" w:styleId="25">
    <w:name w:val="font01"/>
    <w:basedOn w:val="16"/>
    <w:qFormat/>
    <w:uiPriority w:val="0"/>
    <w:rPr>
      <w:rFonts w:hint="eastAsia" w:ascii="宋体" w:hAnsi="宋体" w:eastAsia="宋体" w:cs="宋体"/>
      <w:color w:val="C00000"/>
      <w:sz w:val="21"/>
      <w:szCs w:val="21"/>
      <w:u w:val="none"/>
    </w:rPr>
  </w:style>
  <w:style w:type="character" w:customStyle="1" w:styleId="26">
    <w:name w:val="font61"/>
    <w:basedOn w:val="16"/>
    <w:qFormat/>
    <w:uiPriority w:val="0"/>
    <w:rPr>
      <w:rFonts w:hint="default" w:ascii="Times New Roman" w:hAnsi="Times New Roman" w:cs="Times New Roman"/>
      <w:color w:val="C00000"/>
      <w:sz w:val="21"/>
      <w:szCs w:val="21"/>
      <w:u w:val="none"/>
    </w:rPr>
  </w:style>
  <w:style w:type="paragraph" w:customStyle="1" w:styleId="27">
    <w:name w:val="BodyText1I"/>
    <w:basedOn w:val="28"/>
    <w:qFormat/>
    <w:uiPriority w:val="0"/>
    <w:pPr>
      <w:ind w:firstLine="420" w:firstLineChars="100"/>
    </w:pPr>
  </w:style>
  <w:style w:type="paragraph" w:customStyle="1" w:styleId="28">
    <w:name w:val="BodyText"/>
    <w:basedOn w:val="1"/>
    <w:qFormat/>
    <w:uiPriority w:val="0"/>
    <w:pPr>
      <w:spacing w:after="120"/>
      <w:textAlignment w:val="baseline"/>
    </w:pPr>
  </w:style>
  <w:style w:type="paragraph" w:styleId="29">
    <w:name w:val="List Paragraph"/>
    <w:basedOn w:val="1"/>
    <w:qFormat/>
    <w:uiPriority w:val="99"/>
    <w:pPr>
      <w:ind w:firstLine="420" w:firstLineChars="200"/>
    </w:pPr>
  </w:style>
  <w:style w:type="paragraph" w:customStyle="1" w:styleId="30">
    <w:name w:val="Other|1"/>
    <w:basedOn w:val="1"/>
    <w:qFormat/>
    <w:uiPriority w:val="0"/>
    <w:pPr>
      <w:widowControl w:val="0"/>
      <w:shd w:val="clear" w:color="auto" w:fill="auto"/>
    </w:pPr>
    <w:rPr>
      <w:rFonts w:ascii="宋体" w:hAnsi="宋体" w:eastAsia="宋体" w:cs="宋体"/>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4113</Words>
  <Characters>4296</Characters>
  <Lines>43</Lines>
  <Paragraphs>12</Paragraphs>
  <TotalTime>3</TotalTime>
  <ScaleCrop>false</ScaleCrop>
  <LinksUpToDate>false</LinksUpToDate>
  <CharactersWithSpaces>4342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2022-12-02T03:41:00Z</dcterms:created>
  <dc:creator>zj</dc:creator>
  <cp:lastModifiedBy>kylin</cp:lastModifiedBy>
  <cp:lastPrinted>2023-01-17T00:40:00Z</cp:lastPrinted>
  <dcterms:modified xsi:type="dcterms:W3CDTF">2023-01-28T11:06:57Z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00E1171CC3FC49268C0131385C675359</vt:lpwstr>
  </property>
</Properties>
</file>