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长沙市</w:t>
      </w:r>
      <w:r>
        <w:rPr>
          <w:rFonts w:hint="default" w:ascii="Times New Roman" w:hAnsi="Times New Roman" w:eastAsia="方正小标宋简体" w:cs="Times New Roman"/>
          <w:sz w:val="44"/>
          <w:szCs w:val="44"/>
          <w:lang w:val="en-US" w:eastAsia="zh-CN"/>
        </w:rPr>
        <w:t>人民</w:t>
      </w:r>
      <w:r>
        <w:rPr>
          <w:rFonts w:hint="default" w:ascii="Times New Roman" w:hAnsi="Times New Roman" w:eastAsia="方正小标宋简体" w:cs="Times New Roman"/>
          <w:sz w:val="44"/>
          <w:szCs w:val="44"/>
        </w:rPr>
        <w:t>政府办公厅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楷体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大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本报告根据《中华人民共和国政府信息公开条例》（国务院令第711号）（以下简称</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条例</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）和《国务院办公厅政府信息与政务公开办公室关于印发</w:t>
      </w:r>
      <w:r>
        <w:rPr>
          <w:rFonts w:hint="default" w:ascii="Times New Roman" w:hAnsi="Times New Roman" w:eastAsia="宋体" w:cs="Times New Roman"/>
          <w:sz w:val="32"/>
          <w:szCs w:val="32"/>
          <w:shd w:val="clear"/>
        </w:rPr>
        <w:t>〈</w:t>
      </w:r>
      <w:r>
        <w:rPr>
          <w:rFonts w:hint="default" w:ascii="Times New Roman" w:hAnsi="Times New Roman" w:eastAsia="仿宋_GB2312" w:cs="Times New Roman"/>
          <w:sz w:val="32"/>
          <w:szCs w:val="32"/>
          <w:shd w:val="clear"/>
        </w:rPr>
        <w:t>中华人民共和国政府信息公开工作年度报告格式</w:t>
      </w:r>
      <w:r>
        <w:rPr>
          <w:rFonts w:hint="default" w:ascii="Times New Roman" w:hAnsi="Times New Roman" w:eastAsia="宋体" w:cs="Times New Roman"/>
          <w:sz w:val="32"/>
          <w:szCs w:val="32"/>
          <w:shd w:val="clear"/>
        </w:rPr>
        <w:t>〉</w:t>
      </w:r>
      <w:r>
        <w:rPr>
          <w:rFonts w:hint="default" w:ascii="Times New Roman" w:hAnsi="Times New Roman" w:eastAsia="仿宋_GB2312" w:cs="Times New Roman"/>
          <w:sz w:val="32"/>
          <w:szCs w:val="32"/>
          <w:shd w:val="clear"/>
        </w:rPr>
        <w:t>的通知》（国办公开办函﹝2021﹞30号）</w:t>
      </w:r>
      <w:r>
        <w:rPr>
          <w:rFonts w:hint="default" w:ascii="Times New Roman" w:hAnsi="Times New Roman" w:eastAsia="仿宋_GB2312" w:cs="Times New Roman"/>
          <w:sz w:val="32"/>
          <w:szCs w:val="32"/>
          <w:shd w:val="clear"/>
          <w:lang w:val="en-US" w:eastAsia="zh-CN"/>
        </w:rPr>
        <w:t>等文件</w:t>
      </w:r>
      <w:r>
        <w:rPr>
          <w:rFonts w:hint="default" w:ascii="Times New Roman" w:hAnsi="Times New Roman" w:eastAsia="仿宋_GB2312" w:cs="Times New Roman"/>
          <w:sz w:val="32"/>
          <w:szCs w:val="32"/>
          <w:shd w:val="clear"/>
        </w:rPr>
        <w:t>要求编制，全文包括总体情况、主动公开政府信息情况、收到和处理政府信息公开申请情况、政府信息公开行政复议和行政诉讼情况、存在的主要问题及改进情况、其他需要报告的事项六个部分组成。</w:t>
      </w:r>
      <w:r>
        <w:rPr>
          <w:rFonts w:hint="default" w:ascii="Times New Roman" w:hAnsi="Times New Roman" w:eastAsia="仿宋_GB2312" w:cs="Times New Roman"/>
          <w:sz w:val="32"/>
          <w:szCs w:val="32"/>
          <w:shd w:val="clear"/>
          <w:lang w:val="en-US" w:eastAsia="zh-CN"/>
        </w:rPr>
        <w:t>本年度报告电子版可从长沙市人民政府门户网站（http：//www.changsha.gov.cn/）下载</w:t>
      </w:r>
      <w:r>
        <w:rPr>
          <w:rFonts w:hint="default" w:ascii="Times New Roman" w:hAnsi="Times New Roman" w:eastAsia="仿宋_GB2312" w:cs="Times New Roman"/>
          <w:sz w:val="32"/>
          <w:szCs w:val="32"/>
          <w:shd w:val="clear"/>
        </w:rPr>
        <w:t>。</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一、总体情况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sz w:val="32"/>
          <w:szCs w:val="32"/>
          <w:shd w:val="clear"/>
        </w:rPr>
        <w:t>20</w:t>
      </w:r>
      <w:r>
        <w:rPr>
          <w:rFonts w:hint="default" w:ascii="Times New Roman" w:hAnsi="Times New Roman" w:eastAsia="仿宋_GB2312" w:cs="Times New Roman"/>
          <w:sz w:val="32"/>
          <w:szCs w:val="32"/>
          <w:shd w:val="clear"/>
          <w:lang w:val="en-US" w:eastAsia="zh-CN"/>
        </w:rPr>
        <w:t>23</w:t>
      </w:r>
      <w:r>
        <w:rPr>
          <w:rFonts w:hint="default" w:ascii="Times New Roman" w:hAnsi="Times New Roman" w:eastAsia="仿宋_GB2312" w:cs="Times New Roman"/>
          <w:sz w:val="32"/>
          <w:szCs w:val="32"/>
          <w:shd w:val="clear"/>
        </w:rPr>
        <w:t>年，</w:t>
      </w:r>
      <w:r>
        <w:rPr>
          <w:rFonts w:hint="default" w:ascii="Times New Roman" w:hAnsi="Times New Roman" w:eastAsia="仿宋_GB2312" w:cs="Times New Roman"/>
          <w:sz w:val="32"/>
          <w:szCs w:val="32"/>
          <w:shd w:val="clear"/>
          <w:lang w:val="en-US" w:eastAsia="zh-CN"/>
        </w:rPr>
        <w:t>坚持</w:t>
      </w:r>
      <w:r>
        <w:rPr>
          <w:rFonts w:hint="default" w:ascii="Times New Roman" w:hAnsi="Times New Roman" w:eastAsia="仿宋_GB2312" w:cs="Times New Roman"/>
          <w:sz w:val="32"/>
          <w:szCs w:val="32"/>
          <w:shd w:val="clear"/>
        </w:rPr>
        <w:t>以习近平新时代中国特色社会主义思想为指导，按照“</w:t>
      </w:r>
      <w:r>
        <w:rPr>
          <w:rFonts w:hint="default" w:ascii="Times New Roman" w:hAnsi="Times New Roman" w:eastAsia="仿宋_GB2312" w:cs="Times New Roman"/>
          <w:sz w:val="32"/>
          <w:szCs w:val="32"/>
          <w:shd w:val="clear"/>
          <w:lang w:val="en-US" w:eastAsia="zh-CN"/>
        </w:rPr>
        <w:t>以</w:t>
      </w:r>
      <w:r>
        <w:rPr>
          <w:rFonts w:hint="default" w:ascii="Times New Roman" w:hAnsi="Times New Roman" w:eastAsia="仿宋_GB2312" w:cs="Times New Roman"/>
          <w:sz w:val="32"/>
          <w:szCs w:val="32"/>
          <w:shd w:val="clear"/>
        </w:rPr>
        <w:t>公开为常态、不公开为例外”的原则，认真落实</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条例</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和</w:t>
      </w:r>
      <w:r>
        <w:rPr>
          <w:rFonts w:hint="default" w:ascii="Times New Roman" w:hAnsi="Times New Roman" w:eastAsia="仿宋_GB2312" w:cs="Times New Roman"/>
          <w:sz w:val="32"/>
          <w:szCs w:val="32"/>
          <w:shd w:val="clear"/>
          <w:lang w:val="en-US" w:eastAsia="zh-CN"/>
        </w:rPr>
        <w:t>国务院</w:t>
      </w:r>
      <w:r>
        <w:rPr>
          <w:rFonts w:hint="default" w:ascii="Times New Roman" w:hAnsi="Times New Roman" w:eastAsia="仿宋_GB2312" w:cs="Times New Roman"/>
          <w:sz w:val="32"/>
          <w:szCs w:val="32"/>
          <w:shd w:val="clear"/>
        </w:rPr>
        <w:t>、省</w:t>
      </w:r>
      <w:r>
        <w:rPr>
          <w:rFonts w:hint="default" w:ascii="Times New Roman" w:hAnsi="Times New Roman" w:eastAsia="仿宋_GB2312" w:cs="Times New Roman"/>
          <w:sz w:val="32"/>
          <w:szCs w:val="32"/>
          <w:shd w:val="clear"/>
          <w:lang w:val="en-US" w:eastAsia="zh-CN"/>
        </w:rPr>
        <w:t>政府</w:t>
      </w:r>
      <w:r>
        <w:rPr>
          <w:rFonts w:hint="default" w:ascii="Times New Roman" w:hAnsi="Times New Roman" w:eastAsia="仿宋_GB2312" w:cs="Times New Roman"/>
          <w:sz w:val="32"/>
          <w:szCs w:val="32"/>
          <w:shd w:val="clear"/>
          <w:lang w:eastAsia="zh-CN"/>
        </w:rPr>
        <w:t>、市</w:t>
      </w:r>
      <w:r>
        <w:rPr>
          <w:rFonts w:hint="default" w:ascii="Times New Roman" w:hAnsi="Times New Roman" w:eastAsia="仿宋_GB2312" w:cs="Times New Roman"/>
          <w:sz w:val="32"/>
          <w:szCs w:val="32"/>
          <w:shd w:val="clear"/>
          <w:lang w:val="en-US" w:eastAsia="zh-CN"/>
        </w:rPr>
        <w:t>政府</w:t>
      </w:r>
      <w:r>
        <w:rPr>
          <w:rFonts w:hint="default" w:ascii="Times New Roman" w:hAnsi="Times New Roman" w:eastAsia="仿宋_GB2312" w:cs="Times New Roman"/>
          <w:sz w:val="32"/>
          <w:szCs w:val="32"/>
          <w:shd w:val="clear"/>
        </w:rPr>
        <w:t>有关政务公开的决策部署，</w:t>
      </w:r>
      <w:r>
        <w:rPr>
          <w:rFonts w:hint="default" w:ascii="Times New Roman" w:hAnsi="Times New Roman" w:eastAsia="仿宋_GB2312" w:cs="Times New Roman"/>
          <w:color w:val="auto"/>
          <w:sz w:val="32"/>
          <w:szCs w:val="32"/>
          <w:lang w:val="en-US" w:eastAsia="zh-CN"/>
        </w:rPr>
        <w:t>全力服务</w:t>
      </w:r>
      <w:r>
        <w:rPr>
          <w:rFonts w:hint="default" w:ascii="Times New Roman" w:hAnsi="Times New Roman" w:eastAsia="仿宋_GB2312" w:cs="Times New Roman"/>
          <w:color w:val="auto"/>
          <w:sz w:val="32"/>
          <w:szCs w:val="32"/>
          <w:lang w:eastAsia="zh-CN"/>
        </w:rPr>
        <w:t>“三高四新”战略定位和使命任务，</w:t>
      </w:r>
      <w:r>
        <w:rPr>
          <w:rFonts w:hint="default" w:ascii="Times New Roman" w:hAnsi="Times New Roman" w:eastAsia="仿宋_GB2312" w:cs="Times New Roman"/>
          <w:color w:val="auto"/>
          <w:sz w:val="32"/>
          <w:szCs w:val="32"/>
        </w:rPr>
        <w:t>更好发挥以公开促落实、强监管</w:t>
      </w:r>
      <w:r>
        <w:rPr>
          <w:rFonts w:hint="default" w:ascii="Times New Roman" w:hAnsi="Times New Roman" w:eastAsia="仿宋_GB2312" w:cs="Times New Roman"/>
          <w:color w:val="auto"/>
          <w:sz w:val="32"/>
          <w:szCs w:val="32"/>
          <w:lang w:eastAsia="zh-CN"/>
        </w:rPr>
        <w:t>、优服务</w:t>
      </w:r>
      <w:r>
        <w:rPr>
          <w:rFonts w:hint="default" w:ascii="Times New Roman" w:hAnsi="Times New Roman" w:eastAsia="仿宋_GB2312" w:cs="Times New Roman"/>
          <w:color w:val="auto"/>
          <w:sz w:val="32"/>
          <w:szCs w:val="32"/>
        </w:rPr>
        <w:t>的积极作用，</w:t>
      </w:r>
      <w:r>
        <w:rPr>
          <w:rFonts w:hint="default" w:ascii="Times New Roman" w:hAnsi="Times New Roman" w:eastAsia="仿宋_GB2312" w:cs="Times New Roman"/>
          <w:color w:val="auto"/>
          <w:sz w:val="32"/>
          <w:szCs w:val="32"/>
          <w:lang w:eastAsia="zh-CN"/>
        </w:rPr>
        <w:t>奋力推进现代化新长沙建设。</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val="0"/>
          <w:bCs w:val="0"/>
          <w:kern w:val="2"/>
          <w:sz w:val="32"/>
          <w:szCs w:val="32"/>
          <w:shd w:val="clear"/>
          <w:lang w:val="en-US" w:eastAsia="zh-CN" w:bidi="ar-SA"/>
        </w:rPr>
        <w:t>（一）主动公开情况。</w:t>
      </w:r>
      <w:r>
        <w:rPr>
          <w:rFonts w:hint="default" w:ascii="Times New Roman" w:hAnsi="Times New Roman" w:eastAsia="仿宋_GB2312" w:cs="Times New Roman"/>
          <w:b w:val="0"/>
          <w:bCs w:val="0"/>
          <w:kern w:val="2"/>
          <w:sz w:val="32"/>
          <w:szCs w:val="32"/>
          <w:shd w:val="clear"/>
          <w:lang w:val="en-US" w:eastAsia="zh-CN" w:bidi="ar-SA"/>
        </w:rPr>
        <w:t>印</w:t>
      </w:r>
      <w:r>
        <w:rPr>
          <w:rFonts w:hint="default" w:ascii="Times New Roman" w:hAnsi="Times New Roman" w:eastAsia="仿宋_GB2312" w:cs="Times New Roman"/>
          <w:kern w:val="2"/>
          <w:sz w:val="32"/>
          <w:szCs w:val="32"/>
          <w:shd w:val="clear"/>
          <w:lang w:val="en-US" w:eastAsia="zh-CN" w:bidi="ar-SA"/>
        </w:rPr>
        <w:t>发《长沙市2023年政务公开工作要点》，紧紧围绕深化重点领域信息公开、夯实基础政务信息公开、做好政策解读回应工作、擦亮长沙政务公开品牌深化政务公开，更好</w:t>
      </w:r>
      <w:r>
        <w:rPr>
          <w:rFonts w:hint="default" w:ascii="Times New Roman" w:hAnsi="Times New Roman" w:eastAsia="仿宋_GB2312" w:cs="Times New Roman"/>
          <w:sz w:val="32"/>
          <w:szCs w:val="32"/>
        </w:rPr>
        <w:t>发挥以公开促落实、强监管、优服务的</w:t>
      </w:r>
      <w:r>
        <w:rPr>
          <w:rFonts w:hint="default" w:ascii="Times New Roman" w:hAnsi="Times New Roman" w:eastAsia="仿宋_GB2312" w:cs="Times New Roman"/>
          <w:kern w:val="2"/>
          <w:sz w:val="32"/>
          <w:szCs w:val="32"/>
          <w:shd w:val="clear"/>
          <w:lang w:val="en-US" w:eastAsia="zh-CN" w:bidi="ar-SA"/>
        </w:rPr>
        <w:t>积极作用。聚焦法定主动公开内容加强公开，2023年市政府门户网站政务公开专栏发布市政府规章2部、市政府文件13件、市政府办公厅文件31件，详细公开2023年</w:t>
      </w:r>
      <w:r>
        <w:rPr>
          <w:rFonts w:hint="default" w:ascii="Times New Roman" w:hAnsi="Times New Roman" w:eastAsia="仿宋_GB2312" w:cs="Times New Roman"/>
          <w:sz w:val="32"/>
          <w:szCs w:val="32"/>
          <w:lang w:eastAsia="zh-CN"/>
        </w:rPr>
        <w:t>市政府办公厅部门预算，包括</w:t>
      </w:r>
      <w:r>
        <w:rPr>
          <w:rFonts w:hint="default" w:ascii="Times New Roman" w:hAnsi="Times New Roman" w:eastAsia="仿宋_GB2312" w:cs="Times New Roman"/>
          <w:kern w:val="2"/>
          <w:sz w:val="32"/>
          <w:szCs w:val="32"/>
          <w:shd w:val="clear"/>
          <w:lang w:val="en-US" w:eastAsia="zh-CN" w:bidi="ar-SA"/>
        </w:rPr>
        <w:t>预算说明和一般公共预算“三公”经费支出表等各类预算表。积极谋划推进“政务公开主题日”活动，全市统一设计标志标识，融合“幸福长沙 网办到家”</w:t>
      </w:r>
      <w:r>
        <w:rPr>
          <w:rFonts w:hint="default" w:ascii="Times New Roman" w:hAnsi="Times New Roman" w:eastAsia="仿宋_GB2312" w:cs="Times New Roman"/>
          <w:color w:val="auto"/>
          <w:sz w:val="32"/>
          <w:szCs w:val="32"/>
          <w:lang w:val="en-US" w:eastAsia="zh-CN"/>
        </w:rPr>
        <w:t>政务服务品牌，</w:t>
      </w:r>
      <w:r>
        <w:rPr>
          <w:rFonts w:hint="default" w:ascii="Times New Roman" w:hAnsi="Times New Roman" w:eastAsia="仿宋_GB2312" w:cs="Times New Roman"/>
          <w:color w:val="auto"/>
          <w:sz w:val="32"/>
          <w:szCs w:val="32"/>
          <w:lang w:eastAsia="zh-CN"/>
        </w:rPr>
        <w:t>聚焦民众关切热点难点，紧扣业务融合，市直各单位全年</w:t>
      </w:r>
      <w:r>
        <w:rPr>
          <w:rFonts w:hint="default" w:ascii="Times New Roman" w:hAnsi="Times New Roman" w:eastAsia="仿宋_GB2312" w:cs="Times New Roman"/>
          <w:b w:val="0"/>
          <w:bCs w:val="0"/>
          <w:color w:val="auto"/>
          <w:sz w:val="32"/>
          <w:szCs w:val="32"/>
          <w:shd w:val="clear" w:color="auto" w:fill="auto"/>
        </w:rPr>
        <w:t>开展</w:t>
      </w:r>
      <w:r>
        <w:rPr>
          <w:rFonts w:hint="default" w:ascii="Times New Roman" w:hAnsi="Times New Roman" w:eastAsia="仿宋_GB2312" w:cs="Times New Roman"/>
          <w:b w:val="0"/>
          <w:bCs w:val="0"/>
          <w:color w:val="auto"/>
          <w:sz w:val="32"/>
          <w:szCs w:val="32"/>
          <w:shd w:val="clear" w:color="auto" w:fill="auto"/>
          <w:lang w:eastAsia="zh-CN"/>
        </w:rPr>
        <w:t>形式多样的</w:t>
      </w:r>
      <w:r>
        <w:rPr>
          <w:rFonts w:hint="default" w:ascii="Times New Roman" w:hAnsi="Times New Roman" w:eastAsia="仿宋_GB2312" w:cs="Times New Roman"/>
          <w:b w:val="0"/>
          <w:bCs w:val="0"/>
          <w:color w:val="auto"/>
          <w:sz w:val="32"/>
          <w:szCs w:val="32"/>
          <w:shd w:val="clear" w:color="auto" w:fill="auto"/>
        </w:rPr>
        <w:t>“政务公开主题日”活动</w:t>
      </w:r>
      <w:r>
        <w:rPr>
          <w:rFonts w:hint="default" w:ascii="Times New Roman" w:hAnsi="Times New Roman" w:eastAsia="仿宋_GB2312" w:cs="Times New Roman"/>
          <w:b w:val="0"/>
          <w:bCs w:val="0"/>
          <w:color w:val="auto"/>
          <w:sz w:val="32"/>
          <w:szCs w:val="32"/>
          <w:shd w:val="clear" w:color="auto" w:fill="auto"/>
          <w:lang w:val="en-US" w:eastAsia="zh-CN"/>
        </w:rPr>
        <w:t>70余</w:t>
      </w:r>
      <w:r>
        <w:rPr>
          <w:rFonts w:hint="default" w:ascii="Times New Roman" w:hAnsi="Times New Roman" w:eastAsia="仿宋_GB2312" w:cs="Times New Roman"/>
          <w:b w:val="0"/>
          <w:bCs w:val="0"/>
          <w:color w:val="auto"/>
          <w:sz w:val="32"/>
          <w:szCs w:val="32"/>
          <w:shd w:val="clear" w:color="auto" w:fill="auto"/>
        </w:rPr>
        <w:t>场</w:t>
      </w:r>
      <w:r>
        <w:rPr>
          <w:rFonts w:hint="default" w:ascii="Times New Roman" w:hAnsi="Times New Roman" w:eastAsia="仿宋_GB2312" w:cs="Times New Roman"/>
          <w:b w:val="0"/>
          <w:bCs w:val="0"/>
          <w:color w:val="auto"/>
          <w:sz w:val="32"/>
          <w:szCs w:val="32"/>
          <w:shd w:val="clear" w:color="auto" w:fill="auto"/>
          <w:lang w:eastAsia="zh-CN"/>
        </w:rPr>
        <w:t>，</w:t>
      </w:r>
      <w:r>
        <w:rPr>
          <w:rFonts w:hint="default" w:ascii="Times New Roman" w:hAnsi="Times New Roman" w:eastAsia="仿宋_GB2312" w:cs="Times New Roman"/>
          <w:color w:val="auto"/>
          <w:kern w:val="0"/>
          <w:sz w:val="32"/>
          <w:szCs w:val="32"/>
          <w:u w:val="none"/>
          <w:shd w:val="clear" w:color="auto" w:fill="auto"/>
          <w:lang w:val="en-US" w:eastAsia="zh-CN" w:bidi="ar-SA"/>
        </w:rPr>
        <w:t>开展最佳“政务公开主题日”活动推荐工作并</w:t>
      </w:r>
      <w:r>
        <w:rPr>
          <w:rFonts w:hint="default" w:ascii="Times New Roman" w:hAnsi="Times New Roman" w:eastAsia="仿宋_GB2312" w:cs="Times New Roman"/>
          <w:b w:val="0"/>
          <w:bCs w:val="0"/>
          <w:color w:val="auto"/>
          <w:sz w:val="32"/>
          <w:szCs w:val="32"/>
          <w:lang w:val="en-US" w:eastAsia="zh-CN"/>
        </w:rPr>
        <w:t>印发工作通报，</w:t>
      </w:r>
      <w:r>
        <w:rPr>
          <w:rFonts w:hint="default" w:ascii="Times New Roman" w:hAnsi="Times New Roman" w:eastAsia="仿宋_GB2312" w:cs="Times New Roman"/>
          <w:color w:val="auto"/>
          <w:kern w:val="0"/>
          <w:sz w:val="32"/>
          <w:szCs w:val="32"/>
          <w:lang w:val="en-US" w:eastAsia="zh-CN" w:bidi="ar-SA"/>
        </w:rPr>
        <w:t>营造</w:t>
      </w:r>
      <w:r>
        <w:rPr>
          <w:rFonts w:hint="default" w:ascii="Times New Roman" w:hAnsi="Times New Roman" w:eastAsia="仿宋_GB2312" w:cs="Times New Roman"/>
          <w:b w:val="0"/>
          <w:bCs w:val="0"/>
          <w:color w:val="auto"/>
          <w:sz w:val="32"/>
          <w:szCs w:val="32"/>
          <w:lang w:eastAsia="zh-CN"/>
        </w:rPr>
        <w:t>“政务公开主题日”</w:t>
      </w:r>
      <w:r>
        <w:rPr>
          <w:rFonts w:hint="default" w:ascii="Times New Roman" w:hAnsi="Times New Roman" w:eastAsia="仿宋_GB2312" w:cs="Times New Roman"/>
          <w:color w:val="auto"/>
          <w:kern w:val="0"/>
          <w:sz w:val="32"/>
          <w:szCs w:val="32"/>
          <w:lang w:val="en-US" w:eastAsia="zh-CN" w:bidi="ar-SA"/>
        </w:rPr>
        <w:t>全社会知晓、全社会评价、全社会参与的活动氛围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w:t>
      </w:r>
      <w:r>
        <w:rPr>
          <w:rFonts w:hint="default" w:ascii="Times New Roman" w:hAnsi="Times New Roman" w:eastAsia="仿宋_GB2312" w:cs="Times New Roman"/>
          <w:color w:val="auto"/>
          <w:sz w:val="32"/>
          <w:szCs w:val="32"/>
          <w:lang w:eastAsia="zh-CN"/>
        </w:rPr>
        <w:t>长沙</w:t>
      </w:r>
      <w:r>
        <w:rPr>
          <w:rFonts w:hint="default" w:ascii="Times New Roman" w:hAnsi="Times New Roman" w:eastAsia="仿宋_GB2312" w:cs="Times New Roman"/>
          <w:color w:val="auto"/>
          <w:sz w:val="32"/>
          <w:szCs w:val="32"/>
        </w:rPr>
        <w:t>规模和</w:t>
      </w:r>
      <w:r>
        <w:rPr>
          <w:rFonts w:hint="default" w:ascii="Times New Roman" w:hAnsi="Times New Roman" w:eastAsia="仿宋_GB2312" w:cs="Times New Roman"/>
          <w:color w:val="auto"/>
          <w:sz w:val="32"/>
          <w:szCs w:val="32"/>
          <w:lang w:eastAsia="zh-CN"/>
        </w:rPr>
        <w:t>长沙</w:t>
      </w:r>
      <w:r>
        <w:rPr>
          <w:rFonts w:hint="default" w:ascii="Times New Roman" w:hAnsi="Times New Roman" w:eastAsia="仿宋_GB2312" w:cs="Times New Roman"/>
          <w:color w:val="auto"/>
          <w:sz w:val="32"/>
          <w:szCs w:val="32"/>
        </w:rPr>
        <w:t>品牌效应</w:t>
      </w:r>
      <w:r>
        <w:rPr>
          <w:rFonts w:hint="default" w:ascii="Times New Roman" w:hAnsi="Times New Roman" w:eastAsia="仿宋_GB2312"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shd w:val="clear"/>
        </w:rPr>
      </w:pPr>
      <w:r>
        <w:rPr>
          <w:rFonts w:hint="default" w:ascii="Times New Roman" w:hAnsi="Times New Roman" w:eastAsia="楷体_GB2312" w:cs="Times New Roman"/>
          <w:color w:val="auto"/>
          <w:sz w:val="32"/>
          <w:szCs w:val="32"/>
          <w:lang w:val="en-US" w:eastAsia="zh-CN"/>
        </w:rPr>
        <w:t>（二）依申请公开情况。</w:t>
      </w:r>
      <w:r>
        <w:rPr>
          <w:rFonts w:hint="default" w:ascii="Times New Roman" w:hAnsi="Times New Roman" w:eastAsia="仿宋_GB2312" w:cs="Times New Roman"/>
          <w:sz w:val="32"/>
          <w:szCs w:val="32"/>
          <w:shd w:val="clear"/>
        </w:rPr>
        <w:t>始终坚持以人民为中心，严格按照政府信息公开申请接收、登记、审核、办理、答复归档的工作程序，规范办理。健全完善基于市政府门户网站的全市统一政府信息依申请公开网上办理机制，实现全市政府信息依申请公开流程统一、标准统一、平台统一。耐心释法答疑，所办理的政府信息公开申请取得了较好效果。2023年收到政府信息公开申请85件，结转上年度政府信息公开申请</w:t>
      </w:r>
      <w:r>
        <w:rPr>
          <w:rFonts w:hint="default" w:ascii="Times New Roman" w:hAnsi="Times New Roman" w:eastAsia="仿宋_GB2312" w:cs="Times New Roman"/>
          <w:sz w:val="32"/>
          <w:szCs w:val="32"/>
          <w:shd w:val="clear"/>
          <w:lang w:val="en-US" w:eastAsia="zh-CN"/>
        </w:rPr>
        <w:t>1</w:t>
      </w:r>
      <w:r>
        <w:rPr>
          <w:rFonts w:hint="default" w:ascii="Times New Roman" w:hAnsi="Times New Roman" w:eastAsia="仿宋_GB2312" w:cs="Times New Roman"/>
          <w:sz w:val="32"/>
          <w:szCs w:val="32"/>
          <w:shd w:val="clear"/>
        </w:rPr>
        <w:t>件</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共办理完成</w:t>
      </w:r>
      <w:r>
        <w:rPr>
          <w:rFonts w:hint="default" w:ascii="Times New Roman" w:hAnsi="Times New Roman" w:eastAsia="仿宋_GB2312" w:cs="Times New Roman"/>
          <w:sz w:val="32"/>
          <w:szCs w:val="32"/>
          <w:shd w:val="clear"/>
          <w:lang w:val="en-US" w:eastAsia="zh-CN"/>
        </w:rPr>
        <w:t>77</w:t>
      </w:r>
      <w:r>
        <w:rPr>
          <w:rFonts w:hint="default" w:ascii="Times New Roman" w:hAnsi="Times New Roman" w:eastAsia="仿宋_GB2312" w:cs="Times New Roman"/>
          <w:sz w:val="32"/>
          <w:szCs w:val="32"/>
          <w:shd w:val="clear"/>
        </w:rPr>
        <w:t>件，结转下年度继续办理</w:t>
      </w:r>
      <w:r>
        <w:rPr>
          <w:rFonts w:hint="default" w:ascii="Times New Roman" w:hAnsi="Times New Roman" w:eastAsia="仿宋_GB2312" w:cs="Times New Roman"/>
          <w:sz w:val="32"/>
          <w:szCs w:val="32"/>
          <w:shd w:val="clear"/>
          <w:lang w:val="en-US" w:eastAsia="zh-CN"/>
        </w:rPr>
        <w:t>9</w:t>
      </w:r>
      <w:r>
        <w:rPr>
          <w:rFonts w:hint="default" w:ascii="Times New Roman" w:hAnsi="Times New Roman" w:eastAsia="仿宋_GB2312" w:cs="Times New Roman"/>
          <w:sz w:val="32"/>
          <w:szCs w:val="32"/>
          <w:shd w:val="clear"/>
        </w:rPr>
        <w:t>件</w:t>
      </w:r>
      <w:r>
        <w:rPr>
          <w:rFonts w:hint="default" w:ascii="Times New Roman" w:hAnsi="Times New Roman" w:eastAsia="仿宋_GB2312" w:cs="Times New Roman"/>
          <w:sz w:val="32"/>
          <w:szCs w:val="32"/>
          <w:shd w:val="clear"/>
          <w:lang w:eastAsia="zh-CN"/>
        </w:rPr>
        <w:t>；发生</w:t>
      </w:r>
      <w:r>
        <w:rPr>
          <w:rFonts w:hint="default" w:ascii="Times New Roman" w:hAnsi="Times New Roman" w:eastAsia="仿宋_GB2312" w:cs="Times New Roman"/>
          <w:sz w:val="32"/>
          <w:szCs w:val="32"/>
          <w:shd w:val="clear"/>
        </w:rPr>
        <w:t>行政复议5件，</w:t>
      </w:r>
      <w:r>
        <w:rPr>
          <w:rFonts w:hint="default" w:ascii="Times New Roman" w:hAnsi="Times New Roman" w:eastAsia="仿宋_GB2312" w:cs="Times New Roman"/>
          <w:sz w:val="32"/>
          <w:szCs w:val="32"/>
          <w:shd w:val="clear"/>
          <w:lang w:eastAsia="zh-CN"/>
        </w:rPr>
        <w:t>其中</w:t>
      </w:r>
      <w:r>
        <w:rPr>
          <w:rFonts w:hint="default" w:ascii="Times New Roman" w:hAnsi="Times New Roman" w:eastAsia="仿宋_GB2312" w:cs="Times New Roman"/>
          <w:sz w:val="32"/>
          <w:szCs w:val="32"/>
          <w:shd w:val="clear"/>
          <w:lang w:val="en-US" w:eastAsia="zh-CN"/>
        </w:rPr>
        <w:t>1件维持，4件尚未审结；发生</w:t>
      </w:r>
      <w:r>
        <w:rPr>
          <w:rFonts w:hint="default" w:ascii="Times New Roman" w:hAnsi="Times New Roman" w:eastAsia="仿宋_GB2312" w:cs="Times New Roman"/>
          <w:sz w:val="32"/>
          <w:szCs w:val="32"/>
          <w:shd w:val="clear"/>
        </w:rPr>
        <w:t>行政诉讼6件</w:t>
      </w:r>
      <w:r>
        <w:rPr>
          <w:rFonts w:hint="default" w:ascii="Times New Roman" w:hAnsi="Times New Roman" w:eastAsia="仿宋_GB2312" w:cs="Times New Roman"/>
          <w:sz w:val="32"/>
          <w:szCs w:val="32"/>
          <w:shd w:val="clear"/>
          <w:lang w:eastAsia="zh-CN"/>
        </w:rPr>
        <w:t>，其中</w:t>
      </w:r>
      <w:r>
        <w:rPr>
          <w:rFonts w:hint="default" w:ascii="Times New Roman" w:hAnsi="Times New Roman" w:eastAsia="仿宋_GB2312" w:cs="Times New Roman"/>
          <w:sz w:val="32"/>
          <w:szCs w:val="32"/>
          <w:shd w:val="clear"/>
          <w:lang w:val="en-US" w:eastAsia="zh-CN"/>
        </w:rPr>
        <w:t>5件维持，1件尚未审结</w:t>
      </w:r>
      <w:r>
        <w:rPr>
          <w:rFonts w:hint="default" w:ascii="Times New Roman" w:hAnsi="Times New Roman" w:eastAsia="仿宋_GB2312" w:cs="Times New Roman"/>
          <w:sz w:val="32"/>
          <w:szCs w:val="32"/>
          <w:shd w:val="cle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shd w:val="clear"/>
          <w:lang w:val="en-US" w:eastAsia="zh-CN"/>
        </w:rPr>
        <w:t>（三）政府信息公开平台建设情况。</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统筹建设“长沙市政策文件库”。在政府网站集约化基础上汇总全市政府规章、行政规范性文件和其他政策文件，构建“长沙市政策文件库”电子发布统一平台，推进政策文件的统一发布和动态调整。“长沙市政策文件库”共公布现行有效规章28部、市级行政规范性文件2758篇、市级部门文件4000余篇，浏览量超过363万。</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充分发挥政府网站第一公开平台作用，规范“政务公开”</w:t>
      </w:r>
      <w:r>
        <w:rPr>
          <w:rFonts w:hint="default" w:ascii="Times New Roman" w:hAnsi="Times New Roman" w:eastAsia="仿宋_GB2312" w:cs="Times New Roman"/>
          <w:sz w:val="32"/>
          <w:szCs w:val="32"/>
        </w:rPr>
        <w:t>栏目页面布局，优化“政府信息公开”“基层政务公开”</w:t>
      </w:r>
      <w:r>
        <w:rPr>
          <w:rFonts w:hint="default" w:ascii="Times New Roman" w:hAnsi="Times New Roman" w:eastAsia="仿宋_GB2312" w:cs="Times New Roman"/>
          <w:sz w:val="32"/>
          <w:szCs w:val="32"/>
          <w:lang w:eastAsia="zh-CN"/>
        </w:rPr>
        <w:t>“政策文件库”“政务公开主题日”</w:t>
      </w:r>
      <w:r>
        <w:rPr>
          <w:rFonts w:hint="default" w:ascii="Times New Roman" w:hAnsi="Times New Roman" w:eastAsia="仿宋_GB2312" w:cs="Times New Roman"/>
          <w:sz w:val="32"/>
          <w:szCs w:val="32"/>
        </w:rPr>
        <w:t>“政务公开工作要点”等</w:t>
      </w:r>
      <w:r>
        <w:rPr>
          <w:rFonts w:hint="default" w:ascii="Times New Roman" w:hAnsi="Times New Roman" w:eastAsia="仿宋_GB2312" w:cs="Times New Roman"/>
          <w:sz w:val="32"/>
          <w:szCs w:val="32"/>
          <w:lang w:eastAsia="zh-CN"/>
        </w:rPr>
        <w:t>专栏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rPr>
        <w:t>以视频、图片、文字等多种方式全面、及时、准确公开政府信</w:t>
      </w:r>
      <w:r>
        <w:rPr>
          <w:rFonts w:hint="default" w:ascii="Times New Roman" w:hAnsi="Times New Roman" w:eastAsia="仿宋_GB2312" w:cs="Times New Roman"/>
          <w:sz w:val="32"/>
          <w:szCs w:val="32"/>
          <w:lang w:eastAsia="zh-CN"/>
        </w:rPr>
        <w:t>息。</w:t>
      </w:r>
      <w:r>
        <w:rPr>
          <w:rFonts w:hint="default" w:ascii="Times New Roman" w:hAnsi="Times New Roman" w:eastAsia="仿宋_GB2312" w:cs="Times New Roman"/>
          <w:sz w:val="32"/>
          <w:szCs w:val="32"/>
          <w:lang w:val="en-US" w:eastAsia="zh-CN"/>
        </w:rPr>
        <w:t>2023年通过市政府门户网站发布</w:t>
      </w:r>
      <w:r>
        <w:rPr>
          <w:rFonts w:hint="default" w:ascii="Times New Roman" w:hAnsi="Times New Roman" w:eastAsia="仿宋_GB2312" w:cs="Times New Roman"/>
          <w:sz w:val="32"/>
          <w:szCs w:val="32"/>
          <w:lang w:eastAsia="zh-CN"/>
        </w:rPr>
        <w:t>政务信息13404条、政府公报11期、市政府常务会议及解读21期、“在线访</w:t>
      </w:r>
      <w:r>
        <w:rPr>
          <w:rFonts w:hint="default" w:ascii="Times New Roman" w:hAnsi="Times New Roman" w:eastAsia="仿宋_GB2312" w:cs="Times New Roman"/>
          <w:sz w:val="32"/>
          <w:szCs w:val="32"/>
          <w:shd w:val="clear"/>
          <w:lang w:eastAsia="zh-CN"/>
        </w:rPr>
        <w:t>谈”4期、“新闻发布会”11期、解读政策文件80余篇，另外通过</w:t>
      </w:r>
      <w:r>
        <w:rPr>
          <w:rFonts w:hint="default" w:ascii="Times New Roman" w:hAnsi="Times New Roman" w:eastAsia="仿宋_GB2312" w:cs="Times New Roman"/>
          <w:sz w:val="32"/>
          <w:szCs w:val="32"/>
          <w:shd w:val="clear"/>
        </w:rPr>
        <w:t>“长沙市政府门户网”微信公众号推送信息1224条，“长沙市政府门户网”政务微博发布信息2111条。</w:t>
      </w:r>
      <w:r>
        <w:rPr>
          <w:rFonts w:hint="default" w:ascii="Times New Roman" w:hAnsi="Times New Roman" w:eastAsia="仿宋_GB2312" w:cs="Times New Roman"/>
          <w:b/>
          <w:bCs/>
          <w:sz w:val="32"/>
          <w:szCs w:val="32"/>
          <w:shd w:val="clear"/>
          <w:lang w:eastAsia="zh-CN"/>
        </w:rPr>
        <w:t>三是</w:t>
      </w:r>
      <w:r>
        <w:rPr>
          <w:rFonts w:hint="default" w:ascii="Times New Roman" w:hAnsi="Times New Roman" w:eastAsia="仿宋_GB2312" w:cs="Times New Roman"/>
          <w:sz w:val="32"/>
          <w:szCs w:val="32"/>
          <w:shd w:val="clear"/>
          <w:lang w:val="en-US" w:eastAsia="zh-CN"/>
        </w:rPr>
        <w:t>多渠道全方位开展政策宣传推送。</w:t>
      </w:r>
      <w:r>
        <w:rPr>
          <w:rFonts w:hint="default" w:ascii="Times New Roman" w:hAnsi="Times New Roman" w:eastAsia="仿宋_GB2312" w:cs="Times New Roman"/>
          <w:sz w:val="32"/>
          <w:szCs w:val="32"/>
          <w:shd w:val="clear"/>
          <w:lang w:eastAsia="zh-CN"/>
        </w:rPr>
        <w:t>推进政务公开进商区、进园区、进社区、进学区，开设“政务直播间”，</w:t>
      </w:r>
      <w:r>
        <w:rPr>
          <w:rFonts w:hint="default" w:ascii="Times New Roman" w:hAnsi="Times New Roman" w:eastAsia="仿宋_GB2312" w:cs="Times New Roman"/>
          <w:sz w:val="32"/>
          <w:szCs w:val="32"/>
          <w:shd w:val="clear"/>
          <w:lang w:val="en-US" w:eastAsia="zh-CN"/>
        </w:rPr>
        <w:t>指导全市各级各部门在</w:t>
      </w:r>
      <w:r>
        <w:rPr>
          <w:rFonts w:hint="default" w:ascii="Times New Roman" w:hAnsi="Times New Roman" w:eastAsia="仿宋_GB2312" w:cs="Times New Roman"/>
          <w:b w:val="0"/>
          <w:bCs/>
          <w:color w:val="auto"/>
          <w:sz w:val="32"/>
          <w:szCs w:val="32"/>
          <w:lang w:val="en-US" w:eastAsia="zh-CN"/>
        </w:rPr>
        <w:t>不断丰富主动公开内容的基础上，根据便利、实用、有效的原则，</w:t>
      </w:r>
      <w:r>
        <w:rPr>
          <w:rFonts w:hint="default" w:ascii="Times New Roman" w:hAnsi="Times New Roman" w:eastAsia="仿宋_GB2312" w:cs="Times New Roman"/>
          <w:b w:val="0"/>
          <w:bCs w:val="0"/>
          <w:color w:val="auto"/>
          <w:sz w:val="32"/>
          <w:szCs w:val="32"/>
          <w:lang w:val="en-US" w:eastAsia="zh-CN"/>
        </w:rPr>
        <w:t>多形式多渠道开展政策解读宣传，</w:t>
      </w:r>
      <w:r>
        <w:rPr>
          <w:rFonts w:hint="default" w:ascii="Times New Roman" w:hAnsi="Times New Roman" w:eastAsia="仿宋_GB2312" w:cs="Times New Roman"/>
          <w:color w:val="auto"/>
          <w:kern w:val="0"/>
          <w:sz w:val="32"/>
          <w:szCs w:val="32"/>
          <w:u w:val="none"/>
          <w:shd w:val="clear" w:color="auto" w:fill="auto"/>
          <w:lang w:val="en-US" w:eastAsia="zh-CN" w:bidi="ar-SA"/>
        </w:rPr>
        <w:t>让企业群众</w:t>
      </w:r>
      <w:r>
        <w:rPr>
          <w:rFonts w:hint="default" w:ascii="Times New Roman" w:hAnsi="Times New Roman" w:eastAsia="仿宋_GB2312" w:cs="Times New Roman"/>
          <w:sz w:val="32"/>
          <w:szCs w:val="32"/>
          <w:lang w:val="en-US" w:eastAsia="zh-CN"/>
        </w:rPr>
        <w:t>切实体会基层政务公开建设成效，感受政务公开工作再升级、营商环境再优化的新形象、新气象。</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40" w:lineRule="exact"/>
        <w:ind w:firstLine="640" w:firstLineChars="200"/>
        <w:jc w:val="left"/>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楷体_GB2312" w:cs="Times New Roman"/>
          <w:b w:val="0"/>
          <w:bCs w:val="0"/>
          <w:sz w:val="32"/>
          <w:szCs w:val="32"/>
          <w:shd w:val="clear"/>
          <w:lang w:eastAsia="zh-CN"/>
        </w:rPr>
        <w:t>（四）监督保障情况。</w:t>
      </w:r>
      <w:r>
        <w:rPr>
          <w:rFonts w:hint="default" w:ascii="Times New Roman" w:hAnsi="Times New Roman" w:eastAsia="仿宋_GB2312" w:cs="Times New Roman"/>
          <w:b/>
          <w:bCs/>
          <w:sz w:val="32"/>
          <w:szCs w:val="32"/>
          <w:shd w:val="clear"/>
          <w:lang w:eastAsia="zh-CN"/>
        </w:rPr>
        <w:t>一是</w:t>
      </w:r>
      <w:r>
        <w:rPr>
          <w:rFonts w:hint="default" w:ascii="Times New Roman" w:hAnsi="Times New Roman" w:eastAsia="仿宋_GB2312" w:cs="Times New Roman"/>
          <w:b w:val="0"/>
          <w:bCs w:val="0"/>
          <w:color w:val="auto"/>
          <w:sz w:val="32"/>
          <w:szCs w:val="32"/>
          <w:shd w:val="clear" w:color="auto" w:fill="auto"/>
          <w:lang w:val="en-US" w:eastAsia="zh-CN"/>
        </w:rPr>
        <w:t>建立</w:t>
      </w:r>
      <w:r>
        <w:rPr>
          <w:rFonts w:hint="default" w:ascii="Times New Roman" w:hAnsi="Times New Roman" w:eastAsia="仿宋_GB2312" w:cs="Times New Roman"/>
          <w:kern w:val="0"/>
          <w:sz w:val="32"/>
          <w:szCs w:val="32"/>
        </w:rPr>
        <w:t>定期研究部署</w:t>
      </w:r>
      <w:r>
        <w:rPr>
          <w:rFonts w:hint="default" w:ascii="Times New Roman" w:hAnsi="Times New Roman" w:eastAsia="仿宋_GB2312" w:cs="Times New Roman"/>
          <w:kern w:val="0"/>
          <w:sz w:val="32"/>
          <w:szCs w:val="32"/>
          <w:lang w:eastAsia="zh-CN"/>
        </w:rPr>
        <w:t>政务公开</w:t>
      </w:r>
      <w:r>
        <w:rPr>
          <w:rFonts w:hint="default" w:ascii="Times New Roman" w:hAnsi="Times New Roman" w:eastAsia="仿宋_GB2312" w:cs="Times New Roman"/>
          <w:kern w:val="0"/>
          <w:sz w:val="32"/>
          <w:szCs w:val="32"/>
        </w:rPr>
        <w:t>的工作机制</w:t>
      </w:r>
      <w:r>
        <w:rPr>
          <w:rFonts w:hint="default" w:ascii="Times New Roman" w:hAnsi="Times New Roman" w:eastAsia="仿宋_GB2312" w:cs="Times New Roman"/>
          <w:kern w:val="0"/>
          <w:sz w:val="32"/>
          <w:szCs w:val="32"/>
          <w:lang w:eastAsia="zh-CN"/>
        </w:rPr>
        <w:t>，将政务公开</w:t>
      </w:r>
      <w:r>
        <w:rPr>
          <w:rFonts w:hint="default" w:ascii="Times New Roman" w:hAnsi="Times New Roman" w:eastAsia="仿宋_GB2312" w:cs="Times New Roman"/>
          <w:color w:val="000000"/>
          <w:kern w:val="0"/>
          <w:sz w:val="32"/>
          <w:szCs w:val="32"/>
          <w:lang w:val="en-US" w:eastAsia="zh-CN" w:bidi="ar"/>
        </w:rPr>
        <w:t>第三方评估迎检工作常态化，把各项评估指标要求落实到日常督查抽查检查工作中，按季度印发问题清单，督促各级各部门整改到位、公开到位。</w:t>
      </w:r>
      <w:r>
        <w:rPr>
          <w:rFonts w:hint="default" w:ascii="Times New Roman" w:hAnsi="Times New Roman" w:eastAsia="仿宋_GB2312" w:cs="Times New Roman"/>
          <w:b/>
          <w:bCs/>
          <w:color w:val="000000"/>
          <w:kern w:val="0"/>
          <w:sz w:val="32"/>
          <w:szCs w:val="32"/>
          <w:lang w:val="en-US" w:eastAsia="zh-CN" w:bidi="ar"/>
        </w:rPr>
        <w:t>二是</w:t>
      </w:r>
      <w:r>
        <w:rPr>
          <w:rFonts w:hint="default" w:ascii="Times New Roman" w:hAnsi="Times New Roman" w:eastAsia="仿宋_GB2312" w:cs="Times New Roman"/>
          <w:color w:val="000000"/>
          <w:kern w:val="0"/>
          <w:sz w:val="32"/>
          <w:szCs w:val="32"/>
          <w:lang w:val="en-US" w:eastAsia="zh-CN" w:bidi="ar"/>
        </w:rPr>
        <w:t>积极开展各类业务培训，年度参训人数超500人次，多措并举，</w:t>
      </w:r>
      <w:r>
        <w:rPr>
          <w:rFonts w:hint="default" w:ascii="Times New Roman" w:hAnsi="Times New Roman" w:eastAsia="仿宋_GB2312" w:cs="Times New Roman"/>
          <w:kern w:val="0"/>
          <w:sz w:val="32"/>
          <w:szCs w:val="32"/>
        </w:rPr>
        <w:t>进一步增强</w:t>
      </w:r>
      <w:r>
        <w:rPr>
          <w:rFonts w:hint="default" w:ascii="Times New Roman" w:hAnsi="Times New Roman" w:eastAsia="仿宋_GB2312" w:cs="Times New Roman"/>
          <w:kern w:val="0"/>
          <w:sz w:val="32"/>
          <w:szCs w:val="32"/>
          <w:lang w:eastAsia="zh-CN"/>
        </w:rPr>
        <w:t>全市各级各部门</w:t>
      </w:r>
      <w:r>
        <w:rPr>
          <w:rFonts w:hint="default" w:ascii="Times New Roman" w:hAnsi="Times New Roman" w:eastAsia="仿宋_GB2312" w:cs="Times New Roman"/>
          <w:kern w:val="0"/>
          <w:sz w:val="32"/>
          <w:szCs w:val="32"/>
        </w:rPr>
        <w:t>依法依规</w:t>
      </w:r>
      <w:r>
        <w:rPr>
          <w:rFonts w:hint="default" w:ascii="Times New Roman" w:hAnsi="Times New Roman" w:eastAsia="仿宋_GB2312" w:cs="Times New Roman"/>
          <w:kern w:val="0"/>
          <w:sz w:val="32"/>
          <w:szCs w:val="32"/>
          <w:lang w:eastAsia="zh-CN"/>
        </w:rPr>
        <w:t>、标准规范的</w:t>
      </w:r>
      <w:r>
        <w:rPr>
          <w:rFonts w:hint="default" w:ascii="Times New Roman" w:hAnsi="Times New Roman" w:eastAsia="仿宋_GB2312" w:cs="Times New Roman"/>
          <w:kern w:val="0"/>
          <w:sz w:val="32"/>
          <w:szCs w:val="32"/>
        </w:rPr>
        <w:t>公开</w:t>
      </w:r>
      <w:r>
        <w:rPr>
          <w:rFonts w:hint="default" w:ascii="Times New Roman" w:hAnsi="Times New Roman" w:eastAsia="仿宋_GB2312" w:cs="Times New Roman"/>
          <w:kern w:val="0"/>
          <w:sz w:val="32"/>
          <w:szCs w:val="32"/>
          <w:lang w:eastAsia="zh-CN"/>
        </w:rPr>
        <w:t>能力水平</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二、主动公开政府信息情况</w:t>
      </w:r>
    </w:p>
    <w:tbl>
      <w:tblPr>
        <w:tblStyle w:val="4"/>
        <w:tblW w:w="87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2290"/>
        <w:gridCol w:w="2143"/>
        <w:gridCol w:w="2143"/>
        <w:gridCol w:w="214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color w:val="000000"/>
                <w:sz w:val="21"/>
                <w:szCs w:val="21"/>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2143" w:type="dxa"/>
            <w:tcBorders>
              <w:top w:val="single" w:color="auto" w:sz="6" w:space="0"/>
              <w:left w:val="nil"/>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w:t>
            </w:r>
            <w:r>
              <w:rPr>
                <w:rFonts w:hint="default" w:ascii="Times New Roman" w:hAnsi="Times New Roman" w:cs="Times New Roman" w:eastAsiaTheme="minorEastAsia"/>
                <w:sz w:val="21"/>
                <w:szCs w:val="21"/>
              </w:rPr>
              <w:t>制发件数</w:t>
            </w:r>
          </w:p>
        </w:tc>
        <w:tc>
          <w:tcPr>
            <w:tcW w:w="2143" w:type="dxa"/>
            <w:tcBorders>
              <w:top w:val="single" w:color="auto" w:sz="6" w:space="0"/>
              <w:left w:val="nil"/>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本年废止件数</w:t>
            </w:r>
          </w:p>
        </w:tc>
        <w:tc>
          <w:tcPr>
            <w:tcW w:w="2144" w:type="dxa"/>
            <w:tcBorders>
              <w:top w:val="single" w:color="auto" w:sz="6" w:space="0"/>
              <w:left w:val="nil"/>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现行有效件</w:t>
            </w:r>
            <w:r>
              <w:rPr>
                <w:rFonts w:hint="default" w:ascii="Times New Roman" w:hAnsi="Times New Roman" w:cs="Times New Roman" w:eastAsiaTheme="minorEastAsia"/>
                <w:sz w:val="21"/>
                <w:szCs w:val="21"/>
              </w:rPr>
              <w:t>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规章</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2144" w:type="dxa"/>
            <w:tcBorders>
              <w:top w:val="nil"/>
              <w:left w:val="nil"/>
              <w:bottom w:val="single" w:color="auto" w:sz="6" w:space="0"/>
              <w:right w:val="single" w:color="auto"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行政规范性文件</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44</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62</w:t>
            </w:r>
          </w:p>
        </w:tc>
        <w:tc>
          <w:tcPr>
            <w:tcW w:w="2144" w:type="dxa"/>
            <w:tcBorders>
              <w:top w:val="nil"/>
              <w:left w:val="nil"/>
              <w:bottom w:val="single" w:color="auto" w:sz="6" w:space="0"/>
              <w:right w:val="single" w:color="auto"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246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6430" w:type="dxa"/>
            <w:gridSpan w:val="3"/>
            <w:tcBorders>
              <w:top w:val="nil"/>
              <w:left w:val="nil"/>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行政许可</w:t>
            </w:r>
          </w:p>
        </w:tc>
        <w:tc>
          <w:tcPr>
            <w:tcW w:w="6430" w:type="dxa"/>
            <w:gridSpan w:val="3"/>
            <w:tcBorders>
              <w:top w:val="nil"/>
              <w:left w:val="nil"/>
              <w:bottom w:val="single" w:color="auto" w:sz="6" w:space="0"/>
              <w:right w:val="single" w:color="auto"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6430" w:type="dxa"/>
            <w:gridSpan w:val="3"/>
            <w:tcBorders>
              <w:top w:val="single" w:color="auto" w:sz="6" w:space="0"/>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行政处罚</w:t>
            </w:r>
          </w:p>
        </w:tc>
        <w:tc>
          <w:tcPr>
            <w:tcW w:w="6430" w:type="dxa"/>
            <w:gridSpan w:val="3"/>
            <w:tcBorders>
              <w:top w:val="single" w:color="auto" w:sz="6" w:space="0"/>
              <w:left w:val="nil"/>
              <w:bottom w:val="single" w:color="auto" w:sz="6" w:space="0"/>
              <w:right w:val="single" w:color="auto"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行政强制</w:t>
            </w:r>
          </w:p>
        </w:tc>
        <w:tc>
          <w:tcPr>
            <w:tcW w:w="6430" w:type="dxa"/>
            <w:gridSpan w:val="3"/>
            <w:tcBorders>
              <w:top w:val="nil"/>
              <w:left w:val="nil"/>
              <w:bottom w:val="single" w:color="auto" w:sz="6" w:space="0"/>
              <w:right w:val="single" w:color="auto"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6430" w:type="dxa"/>
            <w:gridSpan w:val="3"/>
            <w:tcBorders>
              <w:top w:val="nil"/>
              <w:left w:val="nil"/>
              <w:bottom w:val="single" w:color="auto" w:sz="6" w:space="0"/>
              <w:right w:val="single" w:color="000000" w:sz="6" w:space="0"/>
            </w:tcBorders>
            <w:tcMar>
              <w:left w:w="60" w:type="dxa"/>
              <w:right w:w="60" w:type="dxa"/>
            </w:tcMar>
            <w:vAlign w:val="center"/>
          </w:tcPr>
          <w:p>
            <w:pPr>
              <w:pStyle w:val="3"/>
              <w:widowControl/>
              <w:spacing w:before="0" w:beforeAutospacing="0" w:after="0" w:afterAutospacing="0" w:line="240" w:lineRule="auto"/>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3"/>
              <w:widowControl/>
              <w:spacing w:before="0" w:beforeAutospacing="0" w:after="0" w:afterAutospacing="0" w:line="240" w:lineRule="auto"/>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行政事业性收费</w:t>
            </w:r>
          </w:p>
        </w:tc>
        <w:tc>
          <w:tcPr>
            <w:tcW w:w="6430" w:type="dxa"/>
            <w:gridSpan w:val="3"/>
            <w:tcBorders>
              <w:top w:val="nil"/>
              <w:left w:val="nil"/>
              <w:bottom w:val="single" w:color="auto" w:sz="6" w:space="0"/>
              <w:right w:val="single" w:color="000000" w:sz="6" w:space="0"/>
            </w:tcBorders>
            <w:tcMar>
              <w:left w:w="60" w:type="dxa"/>
              <w:right w:w="60" w:type="dxa"/>
            </w:tcMar>
            <w:vAlign w:val="center"/>
          </w:tcPr>
          <w:p>
            <w:pPr>
              <w:spacing w:after="0"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bl>
    <w:p>
      <w:pPr>
        <w:keepNext w:val="0"/>
        <w:keepLines w:val="0"/>
        <w:pageBreakBefore w:val="0"/>
        <w:widowControl w:val="0"/>
        <w:kinsoku/>
        <w:wordWrap/>
        <w:overflowPunct/>
        <w:topLinePunct w:val="0"/>
        <w:autoSpaceDE/>
        <w:autoSpaceDN/>
        <w:bidi w:val="0"/>
        <w:adjustRightInd/>
        <w:snapToGrid/>
        <w:spacing w:after="161" w:afterLines="50"/>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161" w:afterLines="50"/>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161" w:afterLines="50"/>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4"/>
        <w:tblW w:w="883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442"/>
        <w:gridCol w:w="735"/>
        <w:gridCol w:w="3053"/>
        <w:gridCol w:w="568"/>
        <w:gridCol w:w="594"/>
        <w:gridCol w:w="630"/>
        <w:gridCol w:w="780"/>
        <w:gridCol w:w="750"/>
        <w:gridCol w:w="585"/>
        <w:gridCol w:w="6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30" w:type="dxa"/>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（本列数据的勾稽关系为：第一项加第二项之和，等于第三项加第四项之和）</w:t>
            </w:r>
          </w:p>
        </w:tc>
        <w:tc>
          <w:tcPr>
            <w:tcW w:w="4603" w:type="dxa"/>
            <w:gridSpan w:val="7"/>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30"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黑体" w:cs="Times New Roman"/>
                <w:color w:val="auto"/>
                <w:sz w:val="21"/>
                <w:lang w:val="en-US" w:eastAsia="zh-CN"/>
              </w:rPr>
            </w:pPr>
          </w:p>
        </w:tc>
        <w:tc>
          <w:tcPr>
            <w:tcW w:w="568" w:type="dxa"/>
            <w:vMerge w:val="restar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自</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然</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人</w:t>
            </w:r>
          </w:p>
        </w:tc>
        <w:tc>
          <w:tcPr>
            <w:tcW w:w="3339" w:type="dxa"/>
            <w:gridSpan w:val="5"/>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法人或其他组织</w:t>
            </w:r>
          </w:p>
        </w:tc>
        <w:tc>
          <w:tcPr>
            <w:tcW w:w="696" w:type="dxa"/>
            <w:vMerge w:val="restart"/>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总</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黑体" w:cs="Times New Roman"/>
                <w:color w:val="auto"/>
                <w:sz w:val="21"/>
                <w:lang w:val="en-US" w:eastAsia="zh-CN"/>
              </w:rPr>
              <w:t>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30"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黑体" w:cs="Times New Roman"/>
                <w:color w:val="auto"/>
                <w:sz w:val="21"/>
                <w:lang w:val="en-US" w:eastAsia="zh-CN"/>
              </w:rPr>
            </w:pPr>
          </w:p>
        </w:tc>
        <w:tc>
          <w:tcPr>
            <w:tcW w:w="568"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商业</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企业</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科研</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机构</w:t>
            </w:r>
          </w:p>
        </w:tc>
        <w:tc>
          <w:tcPr>
            <w:tcW w:w="78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社会公益组织</w:t>
            </w:r>
          </w:p>
        </w:tc>
        <w:tc>
          <w:tcPr>
            <w:tcW w:w="75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法律服务机构</w:t>
            </w:r>
          </w:p>
        </w:tc>
        <w:tc>
          <w:tcPr>
            <w:tcW w:w="5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其他</w:t>
            </w:r>
          </w:p>
        </w:tc>
        <w:tc>
          <w:tcPr>
            <w:tcW w:w="696" w:type="dxa"/>
            <w:vMerge w:val="continue"/>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230"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一、本年新收政府信息公开申请数量</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82</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c>
          <w:tcPr>
            <w:tcW w:w="69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85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230"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二、上年结转政府信息公开申请数量</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442" w:type="dxa"/>
            <w:vMerge w:val="restart"/>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三、本年度办理结果</w:t>
            </w:r>
          </w:p>
        </w:tc>
        <w:tc>
          <w:tcPr>
            <w:tcW w:w="3788"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（一）予以公开</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9</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788"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（二）部分公开（区分处理的，只计这一情形，不计其他情形）</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23</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（三）不予公开</w:t>
            </w: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1.属于国家秘密</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2.其他法律行政法规禁止公开</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5"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3.危及“三安全一稳定”</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4.保护第三方合法权益</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5.属于三类内部事务信息</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9"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6.属于四类过程性信息</w:t>
            </w:r>
          </w:p>
        </w:tc>
        <w:tc>
          <w:tcPr>
            <w:tcW w:w="56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7.属于行政执法案卷</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8.属于行政查询事项</w:t>
            </w:r>
          </w:p>
        </w:tc>
        <w:tc>
          <w:tcPr>
            <w:tcW w:w="56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w:t>
            </w:r>
          </w:p>
        </w:tc>
        <w:tc>
          <w:tcPr>
            <w:tcW w:w="5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（四）无法提供</w:t>
            </w: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1.本机关不掌握相关政府信息</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31</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2.没有现成信息需要另行制作</w:t>
            </w:r>
          </w:p>
        </w:tc>
        <w:tc>
          <w:tcPr>
            <w:tcW w:w="56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3.补正后申请内容仍不明确</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（五）不予处理</w:t>
            </w:r>
          </w:p>
        </w:tc>
        <w:tc>
          <w:tcPr>
            <w:tcW w:w="3053"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1.信访举报投诉类申请</w:t>
            </w:r>
          </w:p>
        </w:tc>
        <w:tc>
          <w:tcPr>
            <w:tcW w:w="56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2.重复申请</w:t>
            </w:r>
          </w:p>
        </w:tc>
        <w:tc>
          <w:tcPr>
            <w:tcW w:w="568"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2"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3.要求提供公开出版物</w:t>
            </w:r>
          </w:p>
        </w:tc>
        <w:tc>
          <w:tcPr>
            <w:tcW w:w="568"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8"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4.无正当理由大量反复申请</w:t>
            </w:r>
          </w:p>
        </w:tc>
        <w:tc>
          <w:tcPr>
            <w:tcW w:w="568"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5.要求行政机关确认或重新出具已获取信息</w:t>
            </w:r>
          </w:p>
        </w:tc>
        <w:tc>
          <w:tcPr>
            <w:tcW w:w="568"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restart"/>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（六）其他处理</w:t>
            </w:r>
          </w:p>
        </w:tc>
        <w:tc>
          <w:tcPr>
            <w:tcW w:w="305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1.申请人无正当理由逾期不补正、行政机关不再处理其政府信息公开申请</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55"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2.申请人逾期未按收费通知要求缴纳费用、行政机关不再处理其政府信息公开申请</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735"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05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3.其他</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4</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38" w:hRule="atLeast"/>
          <w:jc w:val="center"/>
        </w:trPr>
        <w:tc>
          <w:tcPr>
            <w:tcW w:w="442"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p>
        </w:tc>
        <w:tc>
          <w:tcPr>
            <w:tcW w:w="3788"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（七）总计</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74</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c>
          <w:tcPr>
            <w:tcW w:w="69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230"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四、结转下年度继续办理</w:t>
            </w:r>
          </w:p>
        </w:tc>
        <w:tc>
          <w:tcPr>
            <w:tcW w:w="5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9</w:t>
            </w:r>
          </w:p>
        </w:tc>
        <w:tc>
          <w:tcPr>
            <w:tcW w:w="5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3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75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5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9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9</w:t>
            </w:r>
          </w:p>
        </w:tc>
      </w:tr>
    </w:tbl>
    <w:p>
      <w:pPr>
        <w:keepNext w:val="0"/>
        <w:keepLines w:val="0"/>
        <w:widowControl/>
        <w:suppressLineNumbers w:val="0"/>
        <w:jc w:val="lef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w:t>
      </w:r>
      <w:r>
        <w:rPr>
          <w:rFonts w:hint="eastAsia" w:ascii="Times New Roman" w:hAnsi="Times New Roman" w:eastAsia="黑体" w:cs="Times New Roman"/>
          <w:sz w:val="32"/>
          <w:szCs w:val="32"/>
          <w:lang w:eastAsia="zh-CN"/>
        </w:rPr>
        <w:t>和</w:t>
      </w:r>
      <w:r>
        <w:rPr>
          <w:rFonts w:hint="default" w:ascii="Times New Roman" w:hAnsi="Times New Roman" w:eastAsia="黑体" w:cs="Times New Roman"/>
          <w:sz w:val="32"/>
          <w:szCs w:val="32"/>
        </w:rPr>
        <w:t>行政诉讼情况</w:t>
      </w:r>
    </w:p>
    <w:tbl>
      <w:tblPr>
        <w:tblStyle w:val="4"/>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690"/>
        <w:gridCol w:w="675"/>
        <w:gridCol w:w="690"/>
        <w:gridCol w:w="420"/>
        <w:gridCol w:w="701"/>
        <w:gridCol w:w="679"/>
        <w:gridCol w:w="651"/>
        <w:gridCol w:w="690"/>
        <w:gridCol w:w="363"/>
        <w:gridCol w:w="650"/>
        <w:gridCol w:w="650"/>
        <w:gridCol w:w="650"/>
        <w:gridCol w:w="657"/>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行政复议</w:t>
            </w:r>
          </w:p>
        </w:tc>
        <w:tc>
          <w:tcPr>
            <w:tcW w:w="6081"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结果维持</w:t>
            </w:r>
          </w:p>
        </w:tc>
        <w:tc>
          <w:tcPr>
            <w:tcW w:w="69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纠正</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审结</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总计</w:t>
            </w:r>
          </w:p>
        </w:tc>
        <w:tc>
          <w:tcPr>
            <w:tcW w:w="308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未经复议直接起诉</w:t>
            </w:r>
          </w:p>
        </w:tc>
        <w:tc>
          <w:tcPr>
            <w:tcW w:w="299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69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维持</w:t>
            </w:r>
          </w:p>
        </w:tc>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纠正</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审结</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总计</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维持</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审结</w:t>
            </w:r>
          </w:p>
        </w:tc>
        <w:tc>
          <w:tcPr>
            <w:tcW w:w="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1</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4</w:t>
            </w:r>
          </w:p>
        </w:tc>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5</w:t>
            </w: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4</w:t>
            </w:r>
          </w:p>
        </w:tc>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1</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5</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1</w:t>
            </w:r>
          </w:p>
        </w:tc>
      </w:tr>
    </w:tbl>
    <w:p>
      <w:pPr>
        <w:keepNext w:val="0"/>
        <w:keepLines w:val="0"/>
        <w:widowControl/>
        <w:suppressLineNumbers w:val="0"/>
        <w:jc w:val="left"/>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lang w:eastAsia="zh-CN"/>
        </w:rPr>
        <w:t>五、</w:t>
      </w:r>
      <w:r>
        <w:rPr>
          <w:rFonts w:hint="default" w:ascii="Times New Roman" w:hAnsi="Times New Roman" w:eastAsia="黑体" w:cs="Times New Roman"/>
          <w:sz w:val="32"/>
          <w:szCs w:val="32"/>
          <w:shd w:val="clear"/>
        </w:rPr>
        <w:t>存在的主要问题及改进情况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shd w:val="clear"/>
          <w:lang w:eastAsia="zh-CN"/>
        </w:rPr>
      </w:pPr>
      <w:r>
        <w:rPr>
          <w:rFonts w:hint="default" w:ascii="Times New Roman" w:hAnsi="Times New Roman" w:eastAsia="仿宋_GB2312" w:cs="Times New Roman"/>
          <w:sz w:val="32"/>
          <w:szCs w:val="32"/>
          <w:shd w:val="clear"/>
        </w:rPr>
        <w:t>对标</w:t>
      </w:r>
      <w:r>
        <w:rPr>
          <w:rFonts w:hint="default" w:ascii="Times New Roman" w:hAnsi="Times New Roman" w:eastAsia="仿宋_GB2312" w:cs="Times New Roman"/>
          <w:sz w:val="32"/>
          <w:szCs w:val="32"/>
          <w:shd w:val="clear"/>
          <w:lang w:eastAsia="zh-CN"/>
        </w:rPr>
        <w:t>省政务公开办</w:t>
      </w:r>
      <w:r>
        <w:rPr>
          <w:rFonts w:hint="default" w:ascii="Times New Roman" w:hAnsi="Times New Roman" w:eastAsia="仿宋_GB2312" w:cs="Times New Roman"/>
          <w:sz w:val="32"/>
          <w:szCs w:val="32"/>
          <w:shd w:val="clear"/>
        </w:rPr>
        <w:t>组织开展的全省2022年政务公开第三方评估结果，主要存在公开渠道指引性不强的情况</w:t>
      </w:r>
      <w:r>
        <w:rPr>
          <w:rFonts w:hint="default" w:ascii="Times New Roman" w:hAnsi="Times New Roman" w:eastAsia="仿宋_GB2312" w:cs="Times New Roman"/>
          <w:sz w:val="32"/>
          <w:szCs w:val="32"/>
          <w:shd w:val="clear"/>
          <w:lang w:eastAsia="zh-CN"/>
        </w:rPr>
        <w:t>、未在政务新媒体及时规范转载重大政策信息等问题。这些问题已经与市直相关部门进行研究解决，并整改到位：一是在市政府（市政府办公厅）的政府信息公开指南中新增对政务新媒体、政府信息公开场所地址的指引。二是在</w:t>
      </w:r>
      <w:r>
        <w:rPr>
          <w:rFonts w:hint="default" w:ascii="Times New Roman" w:hAnsi="Times New Roman" w:eastAsia="仿宋_GB2312" w:cs="Times New Roman"/>
          <w:sz w:val="32"/>
          <w:szCs w:val="32"/>
          <w:shd w:val="clear"/>
        </w:rPr>
        <w:t>“长沙市政府门户网”微信公众号</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“长沙市政府门户网”政务微博</w:t>
      </w:r>
      <w:r>
        <w:rPr>
          <w:rFonts w:hint="default" w:ascii="Times New Roman" w:hAnsi="Times New Roman" w:eastAsia="仿宋_GB2312" w:cs="Times New Roman"/>
          <w:sz w:val="32"/>
          <w:szCs w:val="32"/>
          <w:shd w:val="clear"/>
          <w:lang w:eastAsia="zh-CN"/>
        </w:rPr>
        <w:t>等政务新媒体及时规范转载重大政策信息。</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六、其他需要报告的事项</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长沙市政府办公厅</w:t>
      </w:r>
      <w:r>
        <w:rPr>
          <w:rFonts w:hint="default" w:ascii="Times New Roman" w:hAnsi="Times New Roman" w:eastAsia="仿宋_GB2312" w:cs="Times New Roman"/>
          <w:sz w:val="32"/>
          <w:szCs w:val="32"/>
          <w:shd w:val="clear"/>
          <w:lang w:val="en-US" w:eastAsia="zh-CN"/>
        </w:rPr>
        <w:t>2023</w:t>
      </w:r>
      <w:r>
        <w:rPr>
          <w:rFonts w:hint="default" w:ascii="Times New Roman" w:hAnsi="Times New Roman" w:eastAsia="仿宋_GB2312" w:cs="Times New Roman"/>
          <w:sz w:val="32"/>
          <w:szCs w:val="32"/>
          <w:shd w:val="clear"/>
        </w:rPr>
        <w:t>年未收取政府信息处理费。年报中所列数据的统计期限自202</w:t>
      </w:r>
      <w:r>
        <w:rPr>
          <w:rFonts w:hint="default" w:ascii="Times New Roman" w:hAnsi="Times New Roman" w:eastAsia="仿宋_GB2312" w:cs="Times New Roman"/>
          <w:sz w:val="32"/>
          <w:szCs w:val="32"/>
          <w:shd w:val="clear"/>
          <w:lang w:val="en-US" w:eastAsia="zh-CN"/>
        </w:rPr>
        <w:t>3</w:t>
      </w:r>
      <w:r>
        <w:rPr>
          <w:rFonts w:hint="default" w:ascii="Times New Roman" w:hAnsi="Times New Roman" w:eastAsia="仿宋_GB2312" w:cs="Times New Roman"/>
          <w:sz w:val="32"/>
          <w:szCs w:val="32"/>
          <w:shd w:val="clear"/>
        </w:rPr>
        <w:t>年1月1日起至202</w:t>
      </w:r>
      <w:r>
        <w:rPr>
          <w:rFonts w:hint="default" w:ascii="Times New Roman" w:hAnsi="Times New Roman" w:eastAsia="仿宋_GB2312" w:cs="Times New Roman"/>
          <w:sz w:val="32"/>
          <w:szCs w:val="32"/>
          <w:shd w:val="clear"/>
          <w:lang w:val="en-US" w:eastAsia="zh-CN"/>
        </w:rPr>
        <w:t>3</w:t>
      </w:r>
      <w:r>
        <w:rPr>
          <w:rFonts w:hint="default" w:ascii="Times New Roman" w:hAnsi="Times New Roman" w:eastAsia="仿宋_GB2312" w:cs="Times New Roman"/>
          <w:sz w:val="32"/>
          <w:szCs w:val="32"/>
          <w:shd w:val="clear"/>
        </w:rPr>
        <w:t>年12月31日止。如对本年报有疑义，</w:t>
      </w:r>
      <w:r>
        <w:rPr>
          <w:rFonts w:hint="default" w:ascii="Times New Roman" w:hAnsi="Times New Roman" w:eastAsia="仿宋_GB2312" w:cs="Times New Roman"/>
          <w:sz w:val="32"/>
          <w:szCs w:val="32"/>
          <w:shd w:val="clear"/>
          <w:lang w:eastAsia="zh-CN"/>
        </w:rPr>
        <w:t>可</w:t>
      </w:r>
      <w:r>
        <w:rPr>
          <w:rFonts w:hint="default" w:ascii="Times New Roman" w:hAnsi="Times New Roman" w:eastAsia="仿宋_GB2312" w:cs="Times New Roman"/>
          <w:sz w:val="32"/>
          <w:szCs w:val="32"/>
          <w:shd w:val="clear"/>
        </w:rPr>
        <w:t>与长沙市政务公开政务服务工作领导小组办公室联系</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联系电话</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0731-88665077</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WMyODBjZWU4NDdkYjM4NjQwYTUxYmI5Y2Y2YTgifQ=="/>
  </w:docVars>
  <w:rsids>
    <w:rsidRoot w:val="48B169CD"/>
    <w:rsid w:val="2364729D"/>
    <w:rsid w:val="48B169CD"/>
    <w:rsid w:val="769C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Normal (Web)"/>
    <w:basedOn w:val="1"/>
    <w:qFormat/>
    <w:uiPriority w:val="99"/>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2024-01-26T01:47:00Z</dcterms:created>
  <dc:creator>Grace</dc:creator>
  <cp:lastModifiedBy>Grace</cp:lastModifiedBy>
  <dcterms:modified xsi:type="dcterms:W3CDTF">2024-01-26T01:49:17Z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9E246F8BF0A04557A7556CC9BB5A9B62_11</vt:lpwstr>
  </property>
</Properties>
</file>