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仿宋_GB2312" w:eastAsia="方正小标宋简体" w:cs="仿宋_GB2312"/>
          <w:b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b/>
          <w:bCs w:val="0"/>
          <w:kern w:val="0"/>
          <w:sz w:val="44"/>
          <w:szCs w:val="44"/>
          <w:lang w:val="en-US" w:eastAsia="zh-CN" w:bidi="ar-SA"/>
        </w:rPr>
        <w:t>长沙市医疗保障局2022年政府信息公开工作年度报告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center"/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本年度报告根据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《中华人民共和国政府信息公开条例》（国务院令第711号）(以下简称《条例》)和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《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国务院办公厅政府信息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与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政务公开办公室关于印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发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&lt;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中华人民共和国政府信息公开工作年度报告格式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&gt;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的通知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》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(国办公开办函〔2021〕30号)（以下简称通知）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的要求编制。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一、总体情况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202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年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，在市委市政府的领导下，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长沙市医疗保障局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认真贯彻落实《条例》精神，坚持把信息公开工作作为加强党风廉政建设、规范行业作风、促进依法行政、密切党群干群关系的重要举措来抓，不断促进政务公开工作制度化、标准化、规范化、以及信息化发展，增强人民群众的获得感和满足感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（一）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及时发布信息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202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年，长沙市医疗保障局认真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落实相关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工作要求，结合医疗保障工作任务要点，及时主动公开医疗保障有关政策法规、政策解读、财政预决算、规划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信息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、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政府采购、行政许可、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机构设置等相关信息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237</w:t>
      </w: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条。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（二）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加强内容宣传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我局充分发挥“长沙市医疗保障局”官方网站的宣传作用，不断创新内容形式，提升宣传水平，以视频、音频、图解、动漫等为媒介，使栏目内容更加通俗易懂，不断提高信息服务水平，畅通政民互动交流渠道。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（三）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依法办理政府信息依申请公开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2022年，我局共受理政府信息公开申请3件，按时办结率为100%，未引发行政复议和诉讼。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bidi="ar-SA"/>
        </w:rPr>
        <w:t>（四）</w:t>
      </w: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监督保障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我局建立监督考核机制，将政府信息公开工作纳入全年绩效考核，同时接受</w:t>
      </w:r>
      <w:bookmarkStart w:id="0" w:name="_GoBack"/>
      <w:bookmarkEnd w:id="0"/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群众监督，不断提升政府工作的透明度与公开度，切实发展科学高效的工作机制。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92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6"/>
        <w:gridCol w:w="874"/>
        <w:gridCol w:w="3111"/>
        <w:gridCol w:w="651"/>
        <w:gridCol w:w="651"/>
        <w:gridCol w:w="651"/>
        <w:gridCol w:w="651"/>
        <w:gridCol w:w="651"/>
        <w:gridCol w:w="651"/>
        <w:gridCol w:w="6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7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5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人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法人或其他组织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  <w:jc w:val="center"/>
        </w:trPr>
        <w:tc>
          <w:tcPr>
            <w:tcW w:w="47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企业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机构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社会公益组织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法律服务机构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其他</w:t>
            </w: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7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7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三、本年度办理结果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（一）予以公开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（三）不予公开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1.属于国家秘密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2.其他法律行政法规禁止公开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3.危及“三安全一稳定”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4.保护第三方合法权益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5.属于三类内部事务信息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6.属于四类过程性信息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7.属于行政执法案卷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8.属于行政查询事项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（四）无法提供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1.本机关不掌握相关政府信息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2.没有现成信息需要另行制作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3.补正后申请内容仍不明确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（五）不予处理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1.信访举报投诉类申请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2.重复申请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3.要求提供公开出版物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4.无正当理由大量反复申请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（六）其他处理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874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3.其他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（七）总计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47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四、结转下年度继续办理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政府信息公开行政复议、行政诉讼情况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0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（一）主要问题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2022年，我局政务公开工作取得了一定成绩，但也存在部分问题。一是政务公开栏目设置有待优化；二是相关工作人员的培训力度有待进一步加强。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eastAsia="zh-CN" w:bidi="ar-SA"/>
        </w:rPr>
        <w:t>（二）改进措施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一是优化整合相似栏目、调整页面布局，将重点内容放在醒目位置，方便人民群众高效查阅各项政府信息；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二是不断加强工作培训，学习借鉴先进地区经验，采取视频培训、网络授课等方式，定期开展政务公开系统业务培训，积极开展社会评议，及时查找全市政务公开工作中的不足与短板，全面提升政务公开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b/>
          <w:bCs w:val="0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长沙市医疗保障局本年度未收取政府信息处理费。如对本年报有疑义，请与长沙市医疗保障局联系(联系电话:82116166)。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长沙市医疗保障局</w:t>
      </w:r>
    </w:p>
    <w:p>
      <w:pPr>
        <w:pStyle w:val="3"/>
        <w:widowControl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 w:bidi="ar-SA"/>
        </w:rPr>
        <w:t>2023年1月12日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C70C3"/>
    <w:multiLevelType w:val="singleLevel"/>
    <w:tmpl w:val="62CC70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N2I5NmE2OTczMzZjMDFmNDNmYzg4MGQwOGE4MTMifQ=="/>
  </w:docVars>
  <w:rsids>
    <w:rsidRoot w:val="00172A27"/>
    <w:rsid w:val="00533989"/>
    <w:rsid w:val="024A0BB7"/>
    <w:rsid w:val="02A62291"/>
    <w:rsid w:val="03C43031"/>
    <w:rsid w:val="044C068F"/>
    <w:rsid w:val="0543026B"/>
    <w:rsid w:val="06055520"/>
    <w:rsid w:val="061D286A"/>
    <w:rsid w:val="06897EFF"/>
    <w:rsid w:val="091C14FF"/>
    <w:rsid w:val="094822F4"/>
    <w:rsid w:val="09D65B51"/>
    <w:rsid w:val="0B3D39AE"/>
    <w:rsid w:val="0BC2702B"/>
    <w:rsid w:val="0D38442D"/>
    <w:rsid w:val="10F90377"/>
    <w:rsid w:val="12474BE5"/>
    <w:rsid w:val="14587174"/>
    <w:rsid w:val="148E0A46"/>
    <w:rsid w:val="1514752E"/>
    <w:rsid w:val="15793835"/>
    <w:rsid w:val="164E3D34"/>
    <w:rsid w:val="175533DA"/>
    <w:rsid w:val="17CB7A63"/>
    <w:rsid w:val="17F378CF"/>
    <w:rsid w:val="18722EE9"/>
    <w:rsid w:val="1A1E49AB"/>
    <w:rsid w:val="1B873B47"/>
    <w:rsid w:val="1C1C2E1B"/>
    <w:rsid w:val="1C2F4C4D"/>
    <w:rsid w:val="1C625023"/>
    <w:rsid w:val="1D7C3EC2"/>
    <w:rsid w:val="1FA94D17"/>
    <w:rsid w:val="1FE346CD"/>
    <w:rsid w:val="253D37F2"/>
    <w:rsid w:val="2665408D"/>
    <w:rsid w:val="267C6B2D"/>
    <w:rsid w:val="26DE799C"/>
    <w:rsid w:val="26F1147D"/>
    <w:rsid w:val="27174C5C"/>
    <w:rsid w:val="286640ED"/>
    <w:rsid w:val="2A506E02"/>
    <w:rsid w:val="2B6D12EE"/>
    <w:rsid w:val="2BDD0222"/>
    <w:rsid w:val="2D3E73E6"/>
    <w:rsid w:val="2EDA4EED"/>
    <w:rsid w:val="2F951D64"/>
    <w:rsid w:val="30866529"/>
    <w:rsid w:val="312E32CE"/>
    <w:rsid w:val="33CD5020"/>
    <w:rsid w:val="345179FF"/>
    <w:rsid w:val="34BC71C4"/>
    <w:rsid w:val="36511F38"/>
    <w:rsid w:val="3899266B"/>
    <w:rsid w:val="38CA4224"/>
    <w:rsid w:val="398E34A3"/>
    <w:rsid w:val="3B81506E"/>
    <w:rsid w:val="3B822B94"/>
    <w:rsid w:val="3DFC4E7F"/>
    <w:rsid w:val="3ED83CAB"/>
    <w:rsid w:val="3F951EFF"/>
    <w:rsid w:val="3F97773D"/>
    <w:rsid w:val="3FC550DD"/>
    <w:rsid w:val="43B54F66"/>
    <w:rsid w:val="43CC576D"/>
    <w:rsid w:val="45A71B75"/>
    <w:rsid w:val="46535859"/>
    <w:rsid w:val="477A0BC3"/>
    <w:rsid w:val="477A218E"/>
    <w:rsid w:val="479F062A"/>
    <w:rsid w:val="485B27A2"/>
    <w:rsid w:val="4A6F5A6E"/>
    <w:rsid w:val="4A802994"/>
    <w:rsid w:val="4AFF5EAB"/>
    <w:rsid w:val="4B58121B"/>
    <w:rsid w:val="4C686B80"/>
    <w:rsid w:val="5000095E"/>
    <w:rsid w:val="516B614C"/>
    <w:rsid w:val="524D493D"/>
    <w:rsid w:val="56815ACA"/>
    <w:rsid w:val="571F2CC9"/>
    <w:rsid w:val="58333CC5"/>
    <w:rsid w:val="5A9C7376"/>
    <w:rsid w:val="5F381638"/>
    <w:rsid w:val="5FBE38EB"/>
    <w:rsid w:val="63230A20"/>
    <w:rsid w:val="635C3B47"/>
    <w:rsid w:val="636F7BF7"/>
    <w:rsid w:val="641461CF"/>
    <w:rsid w:val="67AE693B"/>
    <w:rsid w:val="687206BE"/>
    <w:rsid w:val="6DB079D9"/>
    <w:rsid w:val="6F255735"/>
    <w:rsid w:val="6FEF5D43"/>
    <w:rsid w:val="70EC5DDE"/>
    <w:rsid w:val="71F930E5"/>
    <w:rsid w:val="71FF04AD"/>
    <w:rsid w:val="72B017B9"/>
    <w:rsid w:val="72DD6326"/>
    <w:rsid w:val="74934EEE"/>
    <w:rsid w:val="754D7793"/>
    <w:rsid w:val="758E56B6"/>
    <w:rsid w:val="76674885"/>
    <w:rsid w:val="785C11EB"/>
    <w:rsid w:val="7AF83CFD"/>
    <w:rsid w:val="7B1448AF"/>
    <w:rsid w:val="7D6A085F"/>
    <w:rsid w:val="7F30027D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1802</Words>
  <Characters>1861</Characters>
  <Lines>0</Lines>
  <Paragraphs>0</Paragraphs>
  <TotalTime>73</TotalTime>
  <ScaleCrop>false</ScaleCrop>
  <LinksUpToDate>false</LinksUpToDate>
  <CharactersWithSpaces>1876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2023-01-04T06:46:00Z</dcterms:created>
  <dc:creator>Administrator</dc:creator>
  <cp:lastModifiedBy>WPS_1650605931</cp:lastModifiedBy>
  <cp:lastPrinted>2023-01-13T02:01:00Z</cp:lastPrinted>
  <dcterms:modified xsi:type="dcterms:W3CDTF">2023-07-21T02:12:35Z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60D55CC8E065484E879FEB0C53177322_13</vt:lpwstr>
  </property>
</Properties>
</file>