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keepNext w:val="false"/>
        <w:keepLines w:val="false"/>
        <w:widowControl/>
        <w:suppressLineNumbers w:val="false"/>
        <w:spacing w:before="0" w:beforeAutospacing="false" w:after="0" w:afterAutospacing="false"/>
        <w:ind w:left="0" w:leftChars="0" w:firstLine="0" w:firstLineChars="0"/>
        <w:jc w:val="center"/>
        <w:rPr>
          <w:rFonts w:ascii="Times New Roman" w:cs="Times New Roman" w:eastAsia="方正小标宋简体" w:hAnsi="Times New Roman" w:hint="default"/>
          <w:b w:val="false"/>
          <w:bCs/>
          <w:color w:val="auto"/>
          <w:sz w:val="44"/>
          <w:szCs w:val="44"/>
          <w:lang w:eastAsia="zh-CN"/>
        </w:rPr>
      </w:pPr>
      <w:r>
        <w:rPr>
          <w:rFonts w:ascii="Times New Roman" w:cs="Times New Roman" w:eastAsia="方正小标宋简体" w:hAnsi="Times New Roman" w:hint="default"/>
          <w:b w:val="false"/>
          <w:bCs/>
          <w:color w:val="auto"/>
          <w:sz w:val="44"/>
          <w:szCs w:val="44"/>
          <w:lang w:eastAsia="zh-CN"/>
        </w:rPr>
        <w:t>长沙市自然资源和规划局</w:t>
      </w:r>
    </w:p>
    <w:p>
      <w:pPr>
        <w:pStyle w:val="style94"/>
        <w:keepNext w:val="false"/>
        <w:keepLines w:val="false"/>
        <w:widowControl/>
        <w:suppressLineNumbers w:val="false"/>
        <w:spacing w:before="0" w:beforeAutospacing="false" w:after="0" w:afterAutospacing="false"/>
        <w:ind w:left="0" w:leftChars="0" w:firstLine="0" w:firstLineChars="0"/>
        <w:jc w:val="center"/>
        <w:rPr>
          <w:rFonts w:ascii="Times New Roman" w:cs="Times New Roman" w:eastAsia="方正小标宋简体" w:hAnsi="Times New Roman" w:hint="default"/>
          <w:b w:val="false"/>
          <w:bCs/>
          <w:color w:val="auto"/>
          <w:sz w:val="44"/>
          <w:szCs w:val="44"/>
        </w:rPr>
      </w:pPr>
      <w:r>
        <w:rPr>
          <w:rFonts w:ascii="Times New Roman" w:cs="Times New Roman" w:eastAsia="方正小标宋简体" w:hAnsi="Times New Roman" w:hint="default"/>
          <w:b w:val="false"/>
          <w:bCs/>
          <w:color w:val="auto"/>
          <w:sz w:val="44"/>
          <w:szCs w:val="44"/>
          <w:lang w:val="en-US" w:eastAsia="zh-CN"/>
        </w:rPr>
        <w:t>2021年</w:t>
      </w:r>
      <w:r>
        <w:rPr>
          <w:rFonts w:ascii="Times New Roman" w:cs="Times New Roman" w:eastAsia="方正小标宋简体" w:hAnsi="Times New Roman" w:hint="default"/>
          <w:b w:val="false"/>
          <w:bCs/>
          <w:color w:val="auto"/>
          <w:sz w:val="44"/>
          <w:szCs w:val="44"/>
        </w:rPr>
        <w:t>政府信息公开工作年度报告</w:t>
      </w:r>
    </w:p>
    <w:p>
      <w:pPr>
        <w:pStyle w:val="style94"/>
        <w:keepNext w:val="false"/>
        <w:keepLines w:val="false"/>
        <w:widowControl/>
        <w:suppressLineNumbers w:val="false"/>
        <w:spacing w:before="0" w:beforeAutospacing="false" w:after="0" w:afterAutospacing="false"/>
        <w:ind w:left="0" w:leftChars="0" w:firstLine="0" w:firstLineChars="0"/>
        <w:jc w:val="center"/>
        <w:rPr>
          <w:rFonts w:ascii="Times New Roman" w:cs="Times New Roman" w:eastAsia="仿宋_GB2312" w:hAnsi="Times New Roman" w:hint="default"/>
          <w:b/>
          <w:bCs w:val="false"/>
          <w:color w:val="auto"/>
          <w:sz w:val="36"/>
          <w:szCs w:val="36"/>
        </w:rPr>
      </w:pPr>
    </w:p>
    <w:p>
      <w:pPr>
        <w:pStyle w:val="style94"/>
        <w:keepNext w:val="false"/>
        <w:keepLines w:val="false"/>
        <w:widowControl/>
        <w:suppressLineNumbers w:val="false"/>
        <w:spacing w:before="0" w:beforeAutospacing="false" w:after="0" w:afterAutospacing="false"/>
        <w:ind w:left="0" w:leftChars="0" w:firstLine="640" w:firstLineChars="200"/>
        <w:jc w:val="both"/>
        <w:rPr>
          <w:rFonts w:ascii="Times New Roman" w:cs="Times New Roman" w:eastAsia="黑体" w:hAnsi="Times New Roman" w:hint="default"/>
          <w:b w:val="false"/>
          <w:bCs/>
          <w:color w:val="auto"/>
          <w:sz w:val="32"/>
          <w:szCs w:val="32"/>
        </w:rPr>
      </w:pPr>
      <w:r>
        <w:rPr>
          <w:rFonts w:ascii="Times New Roman" w:cs="Times New Roman" w:eastAsia="黑体" w:hAnsi="Times New Roman" w:hint="default"/>
          <w:b w:val="false"/>
          <w:bCs/>
          <w:color w:val="auto"/>
          <w:sz w:val="32"/>
          <w:szCs w:val="32"/>
        </w:rPr>
        <w:t>一、总体情况</w:t>
      </w:r>
    </w:p>
    <w:p>
      <w:pPr>
        <w:pStyle w:val="style94"/>
        <w:keepNext w:val="false"/>
        <w:keepLines w:val="false"/>
        <w:widowControl/>
        <w:suppressLineNumbers w:val="false"/>
        <w:spacing w:before="0" w:beforeAutospacing="false" w:after="0" w:afterAutospacing="false"/>
        <w:ind w:left="0" w:leftChars="0" w:firstLine="640" w:firstLineChars="200"/>
        <w:jc w:val="both"/>
        <w:rPr>
          <w:rFonts w:ascii="Times New Roman" w:cs="Times New Roman" w:eastAsia="仿宋_GB2312" w:hAnsi="Times New Roman" w:hint="default"/>
          <w:b w:val="false"/>
          <w:bCs/>
          <w:color w:val="auto"/>
          <w:sz w:val="32"/>
          <w:szCs w:val="32"/>
          <w:lang w:val="en-US" w:eastAsia="zh-CN"/>
        </w:rPr>
      </w:pPr>
      <w:r>
        <w:rPr>
          <w:rFonts w:ascii="Times New Roman" w:cs="Times New Roman" w:eastAsia="仿宋_GB2312" w:hAnsi="Times New Roman" w:hint="default"/>
          <w:b w:val="false"/>
          <w:bCs/>
          <w:color w:val="auto"/>
          <w:sz w:val="32"/>
          <w:szCs w:val="32"/>
          <w:lang w:val="en-US" w:eastAsia="zh-CN"/>
        </w:rPr>
        <w:t>2021年，按照《</w:t>
      </w:r>
      <w:r>
        <w:rPr>
          <w:rFonts w:ascii="Times New Roman" w:cs="Times New Roman" w:eastAsia="仿宋_GB2312" w:hAnsi="Times New Roman" w:hint="default"/>
          <w:color w:val="auto"/>
          <w:sz w:val="32"/>
          <w:szCs w:val="32"/>
        </w:rPr>
        <w:t>中华人民共和国政府信息公开条例</w:t>
      </w:r>
      <w:r>
        <w:rPr>
          <w:rFonts w:ascii="Times New Roman" w:cs="Times New Roman" w:eastAsia="仿宋_GB2312" w:hAnsi="Times New Roman" w:hint="default"/>
          <w:b w:val="false"/>
          <w:bCs/>
          <w:color w:val="auto"/>
          <w:sz w:val="32"/>
          <w:szCs w:val="32"/>
          <w:lang w:val="en-US" w:eastAsia="zh-CN"/>
        </w:rPr>
        <w:t>》和省、市有关政府信息公开工作部署，我局围绕自然资源和规划领域中心工作，聚焦公众关注热点，积极开展政府信息公开工作，进一步提升政府信息公开服务质效。</w:t>
      </w:r>
    </w:p>
    <w:p>
      <w:pPr>
        <w:pStyle w:val="style94"/>
        <w:keepNext w:val="false"/>
        <w:keepLines w:val="false"/>
        <w:widowControl/>
        <w:suppressLineNumbers w:val="false"/>
        <w:spacing w:before="0" w:beforeAutospacing="false" w:after="0" w:afterAutospacing="false"/>
        <w:ind w:left="0" w:leftChars="0" w:firstLine="0" w:firstLineChars="0"/>
        <w:jc w:val="both"/>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b w:val="false"/>
          <w:bCs/>
          <w:color w:val="auto"/>
          <w:sz w:val="32"/>
          <w:szCs w:val="32"/>
          <w:lang w:val="en-US" w:eastAsia="zh-CN"/>
        </w:rPr>
        <w:t xml:space="preserve"> </w:t>
      </w:r>
      <w:r>
        <w:rPr>
          <w:rFonts w:ascii="Times New Roman" w:cs="Times New Roman" w:eastAsia="楷体" w:hAnsi="Times New Roman" w:hint="default"/>
          <w:b w:val="false"/>
          <w:bCs/>
          <w:color w:val="auto"/>
          <w:sz w:val="32"/>
          <w:szCs w:val="32"/>
          <w:lang w:val="en-US" w:eastAsia="zh-CN"/>
        </w:rPr>
        <w:t xml:space="preserve">  （一）制度保障深化有力。</w:t>
      </w:r>
      <w:r>
        <w:rPr>
          <w:rFonts w:ascii="Times New Roman" w:cs="Times New Roman" w:eastAsia="仿宋_GB2312" w:hAnsi="Times New Roman" w:hint="default"/>
          <w:b w:val="false"/>
          <w:bCs/>
          <w:color w:val="auto"/>
          <w:sz w:val="32"/>
          <w:szCs w:val="32"/>
          <w:lang w:val="en-US" w:eastAsia="zh-CN"/>
        </w:rPr>
        <w:t>一是研究</w:t>
      </w:r>
      <w:r>
        <w:rPr>
          <w:rFonts w:ascii="Times New Roman" w:cs="Times New Roman" w:eastAsia="仿宋_GB2312" w:hAnsi="Times New Roman" w:hint="default"/>
          <w:sz w:val="32"/>
          <w:szCs w:val="32"/>
          <w:lang w:val="en-US" w:eastAsia="zh-CN"/>
        </w:rPr>
        <w:t>出台《长沙市自然资源和规划局推进政务公开标准化规范化便利化实施方案》《长沙市自然资源和规划局政府信息主动公开制度》，进一步推进政府信息主动公开工作规范化。二是为强化为民服务意识、为民办实事担当，印发《长沙市自然资源和规划局关于进一步规范政务热线办理工作的通知》，规范办理流程，加快办理时效，促进政务公开。</w:t>
      </w:r>
    </w:p>
    <w:p>
      <w:pPr>
        <w:pStyle w:val="style94"/>
        <w:keepNext w:val="false"/>
        <w:keepLines w:val="false"/>
        <w:widowControl/>
        <w:suppressLineNumbers w:val="false"/>
        <w:spacing w:before="0" w:beforeAutospacing="false" w:after="0" w:afterAutospacing="false"/>
        <w:ind w:left="0" w:leftChars="0" w:firstLine="640" w:firstLineChars="0"/>
        <w:jc w:val="both"/>
        <w:rPr>
          <w:rFonts w:ascii="Times New Roman" w:cs="Times New Roman" w:eastAsia="仿宋_GB2312" w:hAnsi="Times New Roman" w:hint="default"/>
          <w:sz w:val="32"/>
          <w:szCs w:val="32"/>
          <w:lang w:val="en-US" w:eastAsia="zh-CN"/>
        </w:rPr>
      </w:pPr>
      <w:r>
        <w:rPr>
          <w:rFonts w:ascii="Times New Roman" w:cs="Times New Roman" w:eastAsia="楷体" w:hAnsi="Times New Roman" w:hint="default"/>
          <w:sz w:val="32"/>
          <w:szCs w:val="32"/>
          <w:lang w:val="en-US" w:eastAsia="zh-CN"/>
        </w:rPr>
        <w:t>（二）平台建设优化升级。</w:t>
      </w:r>
      <w:r>
        <w:rPr>
          <w:rFonts w:ascii="Times New Roman" w:cs="Times New Roman" w:eastAsia="仿宋_GB2312" w:hAnsi="Times New Roman" w:hint="default"/>
          <w:sz w:val="32"/>
          <w:szCs w:val="32"/>
          <w:lang w:val="en-US" w:eastAsia="zh-CN"/>
        </w:rPr>
        <w:t>为打造更加便民、智能、特色的网站，我局启动门户网站提质改版升级。“升级版”门户网站于2021年10月22日上线试运行，优化了页面布局，在原有政务公开、解读回应、办事服务等功能基础上，新增“业务频道”栏目，整合长沙市不动产登记中心与长沙规划展示馆官网，突出网站“服务”功能，强化信息资源整合，努力将门户网站打造成发布政务信息的主阵地、服务群众办事的主窗口、促进政民互动的主平台。</w:t>
      </w:r>
    </w:p>
    <w:p>
      <w:pPr>
        <w:pStyle w:val="style0"/>
        <w:ind w:firstLine="627" w:firstLineChars="196"/>
        <w:rPr>
          <w:rFonts w:ascii="Times New Roman" w:cs="Times New Roman" w:eastAsia="仿宋_GB2312" w:hAnsi="Times New Roman" w:hint="default"/>
          <w:b w:val="false"/>
          <w:bCs/>
          <w:color w:val="auto"/>
          <w:sz w:val="32"/>
          <w:szCs w:val="32"/>
          <w:lang w:val="en-US" w:eastAsia="zh-CN"/>
        </w:rPr>
      </w:pPr>
      <w:r>
        <w:rPr>
          <w:rFonts w:ascii="Times New Roman" w:cs="Times New Roman" w:eastAsia="楷体" w:hAnsi="Times New Roman" w:hint="default"/>
          <w:sz w:val="32"/>
          <w:szCs w:val="32"/>
          <w:lang w:val="en-US" w:eastAsia="zh-CN"/>
        </w:rPr>
        <w:t>（三）基础工作扎实高效。</w:t>
      </w:r>
      <w:r>
        <w:rPr>
          <w:rFonts w:ascii="Times New Roman" w:cs="Times New Roman" w:eastAsia="仿宋_GB2312" w:hAnsi="Times New Roman" w:hint="default"/>
          <w:sz w:val="32"/>
          <w:szCs w:val="32"/>
          <w:lang w:val="en-US" w:eastAsia="zh-CN"/>
        </w:rPr>
        <w:t>一是主动公开及时有更新。2021年局门户网站总浏览量达1770万人次，信息发布9万余条。</w:t>
      </w:r>
      <w:r>
        <w:rPr>
          <w:rFonts w:ascii="Times New Roman" w:cs="Times New Roman" w:eastAsia="仿宋_GB2312" w:hAnsi="Times New Roman" w:hint="default"/>
          <w:sz w:val="32"/>
          <w:szCs w:val="32"/>
          <w:lang w:eastAsia="zh-CN"/>
        </w:rPr>
        <w:t>“长沙自然资源和规划”微信公众号推送4</w:t>
      </w:r>
      <w:r>
        <w:rPr>
          <w:rFonts w:ascii="Times New Roman" w:cs="Times New Roman" w:eastAsia="仿宋_GB2312" w:hAnsi="Times New Roman" w:hint="default"/>
          <w:sz w:val="32"/>
          <w:szCs w:val="32"/>
          <w:lang w:val="en-US" w:eastAsia="zh-CN"/>
        </w:rPr>
        <w:t>7</w:t>
      </w:r>
      <w:r>
        <w:rPr>
          <w:rFonts w:ascii="Times New Roman" w:cs="Times New Roman" w:eastAsia="仿宋_GB2312" w:hAnsi="Times New Roman" w:hint="default"/>
          <w:sz w:val="32"/>
          <w:szCs w:val="32"/>
          <w:lang w:eastAsia="zh-CN"/>
        </w:rPr>
        <w:t>期，发布新闻3</w:t>
      </w:r>
      <w:r>
        <w:rPr>
          <w:rFonts w:ascii="Times New Roman" w:cs="Times New Roman" w:eastAsia="仿宋_GB2312" w:hAnsi="Times New Roman" w:hint="default"/>
          <w:sz w:val="32"/>
          <w:szCs w:val="32"/>
          <w:lang w:val="en-US" w:eastAsia="zh-CN"/>
        </w:rPr>
        <w:t>32</w:t>
      </w:r>
      <w:r>
        <w:rPr>
          <w:rFonts w:ascii="Times New Roman" w:cs="Times New Roman" w:eastAsia="仿宋_GB2312" w:hAnsi="Times New Roman" w:hint="default"/>
          <w:sz w:val="32"/>
          <w:szCs w:val="32"/>
          <w:lang w:eastAsia="zh-CN"/>
        </w:rPr>
        <w:t>篇。二是依申请公开件件有回音。</w:t>
      </w:r>
      <w:r>
        <w:rPr>
          <w:rFonts w:ascii="Times New Roman" w:cs="Times New Roman" w:eastAsia="仿宋_GB2312" w:hAnsi="Times New Roman" w:hint="default"/>
          <w:sz w:val="32"/>
          <w:szCs w:val="32"/>
        </w:rPr>
        <w:t>2021年度共收到政府信息公开申请722件</w:t>
      </w:r>
      <w:r>
        <w:rPr>
          <w:rFonts w:ascii="Times New Roman" w:cs="Times New Roman" w:eastAsia="仿宋_GB2312" w:hAnsi="Times New Roman" w:hint="default"/>
          <w:sz w:val="32"/>
          <w:szCs w:val="32"/>
          <w:lang w:eastAsia="zh-CN"/>
        </w:rPr>
        <w:t>，每一件申请均有答复</w:t>
      </w:r>
      <w:r>
        <w:rPr>
          <w:rFonts w:ascii="Times New Roman" w:cs="Times New Roman" w:eastAsia="仿宋_GB2312" w:hAnsi="Times New Roman" w:hint="default"/>
          <w:sz w:val="32"/>
          <w:szCs w:val="32"/>
        </w:rPr>
        <w:t>。</w:t>
      </w:r>
      <w:r>
        <w:rPr>
          <w:rFonts w:ascii="Times New Roman" w:cs="Times New Roman" w:eastAsia="仿宋_GB2312" w:hAnsi="Times New Roman" w:hint="default"/>
          <w:sz w:val="32"/>
          <w:szCs w:val="32"/>
          <w:lang w:eastAsia="zh-CN"/>
        </w:rPr>
        <w:t>三是热线办理单单有回应。</w:t>
      </w:r>
      <w:r>
        <w:rPr>
          <w:rFonts w:ascii="Times New Roman" w:cs="Times New Roman" w:eastAsia="仿宋_GB2312" w:hAnsi="Times New Roman" w:hint="default"/>
          <w:sz w:val="32"/>
          <w:szCs w:val="32"/>
          <w:lang w:val="en-US" w:eastAsia="zh-CN"/>
        </w:rPr>
        <w:t>2021</w:t>
      </w:r>
      <w:r>
        <w:rPr>
          <w:rFonts w:ascii="Times New Roman" w:cs="Times New Roman" w:eastAsia="仿宋" w:hAnsi="Times New Roman" w:hint="default"/>
          <w:sz w:val="32"/>
          <w:szCs w:val="32"/>
          <w:lang w:val="en-US" w:eastAsia="zh-CN"/>
        </w:rPr>
        <w:t>年共接到12345热线工单、市长信箱、局长信箱、问政湖南等12896件，办结率100%。</w:t>
      </w:r>
    </w:p>
    <w:p>
      <w:pPr>
        <w:pStyle w:val="style94"/>
        <w:keepNext w:val="false"/>
        <w:keepLines w:val="false"/>
        <w:widowControl/>
        <w:suppressLineNumbers w:val="false"/>
        <w:spacing w:before="0" w:beforeAutospacing="false" w:after="0" w:afterAutospacing="false"/>
        <w:ind w:left="0" w:leftChars="0" w:firstLine="640" w:firstLineChars="200"/>
        <w:jc w:val="both"/>
        <w:rPr>
          <w:rFonts w:ascii="Times New Roman" w:cs="Times New Roman" w:eastAsia="黑体" w:hAnsi="Times New Roman" w:hint="default"/>
          <w:b w:val="false"/>
          <w:bCs/>
          <w:color w:val="auto"/>
          <w:sz w:val="32"/>
          <w:szCs w:val="32"/>
        </w:rPr>
      </w:pPr>
      <w:r>
        <w:rPr>
          <w:rFonts w:ascii="Times New Roman" w:cs="Times New Roman" w:eastAsia="黑体" w:hAnsi="Times New Roman" w:hint="default"/>
          <w:b w:val="false"/>
          <w:bCs/>
          <w:color w:val="auto"/>
          <w:sz w:val="32"/>
          <w:szCs w:val="32"/>
        </w:rPr>
        <w:t>二、主动公开政府信息情况</w:t>
      </w:r>
    </w:p>
    <w:tbl>
      <w:tblPr>
        <w:tblStyle w:val="style105"/>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rPr>
          <w:trHeight w:val="567" w:hRule="atLeast"/>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right="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第二十条第（一）项</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信息内容</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right="0"/>
              <w:jc w:val="both"/>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本年制发件数</w:t>
            </w:r>
          </w:p>
        </w:tc>
        <w:tc>
          <w:tcPr>
            <w:tcW w:w="2435" w:type="dxa"/>
            <w:tcBorders>
              <w:top w:val="single" w:sz="8" w:space="0" w:color="auto"/>
              <w:left w:val="nil"/>
              <w:bottom w:val="single" w:sz="8" w:space="0" w:color="auto"/>
              <w:right w:val="single" w:sz="4"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right="0"/>
              <w:jc w:val="both"/>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本年废止件数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right="0"/>
              <w:jc w:val="both"/>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现行有效件数</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规章</w:t>
            </w:r>
          </w:p>
        </w:tc>
        <w:tc>
          <w:tcPr>
            <w:tcW w:w="2435" w:type="dxa"/>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eastAsia"/>
                <w:color w:val="auto"/>
                <w:sz w:val="21"/>
                <w:szCs w:val="21"/>
                <w:lang w:val="en-US" w:eastAsia="zh-CN"/>
              </w:rPr>
              <w:t>0</w:t>
            </w:r>
          </w:p>
        </w:tc>
        <w:tc>
          <w:tcPr>
            <w:tcW w:w="2435" w:type="dxa"/>
            <w:tcBorders>
              <w:top w:val="nil"/>
              <w:left w:val="nil"/>
              <w:bottom w:val="single" w:sz="8" w:space="0" w:color="auto"/>
              <w:right w:val="single" w:sz="4"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eastAsia"/>
                <w:color w:val="auto"/>
                <w:sz w:val="21"/>
                <w:szCs w:val="21"/>
                <w:lang w:val="en-US" w:eastAsia="zh-CN"/>
              </w:rPr>
              <w:t>0</w:t>
            </w:r>
          </w:p>
        </w:tc>
        <w:tc>
          <w:tcPr>
            <w:tcW w:w="2435" w:type="dxa"/>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default"/>
                <w:color w:val="auto"/>
                <w:sz w:val="21"/>
                <w:szCs w:val="21"/>
                <w:lang w:val="en-US" w:eastAsia="zh-CN"/>
              </w:rPr>
              <w:t>0</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eastAsia"/>
                <w:color w:val="auto"/>
                <w:sz w:val="21"/>
                <w:szCs w:val="21"/>
                <w:lang w:val="en-US" w:eastAsia="zh-CN"/>
              </w:rPr>
              <w:t>14</w:t>
            </w:r>
          </w:p>
        </w:tc>
        <w:tc>
          <w:tcPr>
            <w:tcW w:w="2435" w:type="dxa"/>
            <w:tcBorders>
              <w:top w:val="nil"/>
              <w:left w:val="nil"/>
              <w:bottom w:val="single" w:sz="8" w:space="0" w:color="auto"/>
              <w:right w:val="single" w:sz="4"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eastAsia"/>
                <w:color w:val="auto"/>
                <w:sz w:val="21"/>
                <w:szCs w:val="21"/>
                <w:lang w:val="en-US" w:eastAsia="zh-CN"/>
              </w:rPr>
              <w:t>10</w:t>
            </w:r>
          </w:p>
        </w:tc>
        <w:tc>
          <w:tcPr>
            <w:tcW w:w="2435" w:type="dxa"/>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lang w:val="en-US" w:eastAsia="zh-CN"/>
              </w:rPr>
            </w:pPr>
            <w:r>
              <w:rPr>
                <w:rFonts w:ascii="Times New Roman" w:cs="Times New Roman" w:hAnsi="Times New Roman" w:hint="eastAsia"/>
                <w:color w:val="auto"/>
                <w:sz w:val="21"/>
                <w:szCs w:val="21"/>
                <w:lang w:val="en-US" w:eastAsia="zh-CN"/>
              </w:rPr>
              <w:t>57</w:t>
            </w:r>
          </w:p>
        </w:tc>
      </w:tr>
      <w:tr>
        <w:tblPrEx/>
        <w:trPr>
          <w:trHeight w:val="567" w:hRule="atLeast"/>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第二十条第（五）项</w:t>
            </w:r>
          </w:p>
        </w:tc>
      </w:tr>
      <w:tr>
        <w:tblPrEx/>
        <w:trPr>
          <w:trHeight w:val="567" w:hRule="atLeast"/>
          <w:jc w:val="center"/>
        </w:trPr>
        <w:tc>
          <w:tcPr>
            <w:tcW w:w="2435" w:type="dxa"/>
            <w:tcBorders>
              <w:top w:val="nil"/>
              <w:left w:val="single" w:sz="8" w:space="0" w:color="auto"/>
              <w:bottom w:val="single" w:sz="8" w:space="0" w:color="auto"/>
              <w:right w:val="single" w:sz="4"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信息内容</w:t>
            </w:r>
          </w:p>
        </w:tc>
        <w:tc>
          <w:tcPr>
            <w:tcW w:w="7305" w:type="dxa"/>
            <w:gridSpan w:val="3"/>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本年处理决定数量</w:t>
            </w:r>
          </w:p>
        </w:tc>
      </w:tr>
      <w:tr>
        <w:tblPrEx/>
        <w:trPr>
          <w:trHeight w:val="567" w:hRule="atLeast"/>
          <w:jc w:val="center"/>
        </w:trPr>
        <w:tc>
          <w:tcPr>
            <w:tcW w:w="2435" w:type="dxa"/>
            <w:tcBorders>
              <w:top w:val="single" w:sz="8" w:space="0" w:color="auto"/>
              <w:left w:val="single" w:sz="8" w:space="0" w:color="auto"/>
              <w:bottom w:val="single" w:sz="8" w:space="0" w:color="auto"/>
              <w:right w:val="single" w:sz="4"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行政许可</w:t>
            </w:r>
          </w:p>
        </w:tc>
        <w:tc>
          <w:tcPr>
            <w:tcW w:w="7305" w:type="dxa"/>
            <w:gridSpan w:val="3"/>
            <w:tcBorders>
              <w:top w:val="single" w:sz="8" w:space="0" w:color="auto"/>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eastAsia="仿宋" w:hAnsi="Times New Roman" w:hint="default"/>
                <w:color w:val="auto"/>
                <w:sz w:val="21"/>
                <w:szCs w:val="21"/>
                <w:lang w:val="en-US" w:eastAsia="zh-CN"/>
              </w:rPr>
            </w:pPr>
            <w:r>
              <w:rPr>
                <w:rFonts w:ascii="Times New Roman" w:cs="Times New Roman" w:hAnsi="Times New Roman" w:hint="default"/>
                <w:color w:val="auto"/>
                <w:sz w:val="21"/>
                <w:szCs w:val="21"/>
                <w:lang w:val="en-US" w:eastAsia="zh-CN"/>
              </w:rPr>
              <w:t>2047</w:t>
            </w:r>
          </w:p>
        </w:tc>
      </w:tr>
      <w:tr>
        <w:tblPrEx/>
        <w:trPr>
          <w:trHeight w:val="567" w:hRule="atLeast"/>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第二十条第（六）项</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rightChars="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信息内容</w:t>
            </w:r>
          </w:p>
        </w:tc>
        <w:tc>
          <w:tcPr>
            <w:tcW w:w="7305" w:type="dxa"/>
            <w:gridSpan w:val="3"/>
            <w:tcBorders>
              <w:top w:val="single" w:sz="8" w:space="0" w:color="auto"/>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rightChars="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本年处理决定数量</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eastAsia="仿宋" w:hAnsi="Times New Roman" w:hint="default"/>
                <w:color w:val="auto"/>
                <w:sz w:val="21"/>
                <w:szCs w:val="21"/>
                <w:lang w:val="en-US" w:eastAsia="zh-CN"/>
              </w:rPr>
            </w:pPr>
            <w:r>
              <w:rPr>
                <w:rFonts w:ascii="Times New Roman" w:cs="Times New Roman" w:hAnsi="Times New Roman" w:hint="default"/>
                <w:color w:val="auto"/>
                <w:sz w:val="21"/>
                <w:szCs w:val="21"/>
                <w:lang w:val="en-US" w:eastAsia="zh-CN"/>
              </w:rPr>
              <w:t>39</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eastAsia="仿宋" w:hAnsi="Times New Roman" w:hint="default"/>
                <w:color w:val="auto"/>
                <w:sz w:val="21"/>
                <w:szCs w:val="21"/>
                <w:lang w:val="en-US" w:eastAsia="zh-CN"/>
              </w:rPr>
            </w:pPr>
            <w:r>
              <w:rPr>
                <w:rFonts w:ascii="Times New Roman" w:cs="Times New Roman" w:hAnsi="Times New Roman" w:hint="default"/>
                <w:color w:val="auto"/>
                <w:sz w:val="21"/>
                <w:szCs w:val="21"/>
                <w:lang w:val="en-US" w:eastAsia="zh-CN"/>
              </w:rPr>
              <w:t>0</w:t>
            </w:r>
          </w:p>
        </w:tc>
      </w:tr>
      <w:tr>
        <w:tblPrEx/>
        <w:trPr>
          <w:trHeight w:val="567" w:hRule="atLeast"/>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第二十条第（八）项</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信息内容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本年收费金额（单位：万元）</w:t>
            </w:r>
          </w:p>
        </w:tc>
      </w:tr>
      <w:tr>
        <w:tblPrEx/>
        <w:trPr>
          <w:trHeight w:val="567" w:hRule="atLeast"/>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pPr>
              <w:pStyle w:val="style0"/>
              <w:keepNext w:val="false"/>
              <w:keepLines w:val="false"/>
              <w:widowControl/>
              <w:suppressLineNumbers w:val="false"/>
              <w:spacing w:before="100" w:beforeAutospacing="true" w:after="0" w:afterAutospacing="false"/>
              <w:ind w:left="0" w:leftChars="0" w:right="0" w:firstLine="0" w:firstLineChars="0"/>
              <w:jc w:val="center"/>
              <w:rPr>
                <w:rFonts w:ascii="Times New Roman" w:cs="Times New Roman" w:hAnsi="Times New Roman" w:hint="default"/>
                <w:color w:val="auto"/>
                <w:sz w:val="21"/>
                <w:szCs w:val="21"/>
              </w:rPr>
            </w:pPr>
            <w:r>
              <w:rPr>
                <w:rFonts w:ascii="Times New Roman" w:cs="Times New Roman" w:eastAsia="宋体" w:hAnsi="Times New Roman" w:hint="default"/>
                <w:color w:val="auto"/>
                <w:kern w:val="0"/>
                <w:sz w:val="21"/>
                <w:szCs w:val="21"/>
                <w:lang w:val="en-US" w:eastAsia="zh-CN"/>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pPr>
              <w:pStyle w:val="style0"/>
              <w:ind w:left="0" w:leftChars="0" w:firstLine="0" w:firstLineChars="0"/>
              <w:jc w:val="center"/>
              <w:rPr>
                <w:rFonts w:ascii="Times New Roman" w:cs="Times New Roman" w:eastAsia="仿宋" w:hAnsi="Times New Roman" w:hint="default"/>
                <w:color w:val="auto"/>
                <w:sz w:val="21"/>
                <w:szCs w:val="21"/>
                <w:lang w:val="en-US" w:eastAsia="zh-CN"/>
              </w:rPr>
            </w:pPr>
            <w:r>
              <w:rPr>
                <w:rFonts w:ascii="Times New Roman" w:cs="Times New Roman" w:hAnsi="Times New Roman" w:hint="default"/>
                <w:color w:val="auto"/>
                <w:sz w:val="21"/>
                <w:szCs w:val="21"/>
                <w:lang w:val="en-US" w:eastAsia="zh-CN"/>
              </w:rPr>
              <w:t>1532.45</w:t>
            </w:r>
          </w:p>
        </w:tc>
      </w:tr>
    </w:tbl>
    <w:p>
      <w:pPr>
        <w:pStyle w:val="style94"/>
        <w:keepNext w:val="false"/>
        <w:keepLines w:val="false"/>
        <w:widowControl/>
        <w:suppressLineNumbers w:val="false"/>
        <w:spacing w:before="0" w:beforeAutospacing="false" w:after="0" w:afterAutospacing="false"/>
        <w:ind w:left="0" w:leftChars="0" w:firstLine="600" w:firstLineChars="200"/>
        <w:jc w:val="both"/>
        <w:rPr>
          <w:rFonts w:ascii="Times New Roman" w:cs="Times New Roman" w:eastAsia="黑体" w:hAnsi="Times New Roman" w:hint="default"/>
          <w:b w:val="false"/>
          <w:bCs/>
          <w:color w:val="auto"/>
          <w:sz w:val="30"/>
          <w:szCs w:val="30"/>
        </w:rPr>
      </w:pPr>
      <w:r>
        <w:rPr>
          <w:rFonts w:ascii="Times New Roman" w:cs="Times New Roman" w:eastAsia="黑体" w:hAnsi="Times New Roman" w:hint="default"/>
          <w:b w:val="false"/>
          <w:bCs/>
          <w:color w:val="auto"/>
          <w:sz w:val="30"/>
          <w:szCs w:val="30"/>
        </w:rPr>
        <w:t>三、收到和处理政府信息公开申请情况</w:t>
      </w:r>
    </w:p>
    <w:tbl>
      <w:tblPr>
        <w:tblStyle w:val="style105"/>
        <w:tblW w:w="974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rPr>
          <w:jc w:val="center"/>
        </w:trPr>
        <w:tc>
          <w:tcPr>
            <w:tcW w:w="4946" w:type="dxa"/>
            <w:gridSpan w:val="3"/>
            <w:vMerge w:val="restart"/>
            <w:tcBorders>
              <w:top w:val="single" w:sz="8" w:space="0" w:color="auto"/>
              <w:left w:val="single" w:sz="8" w:space="0" w:color="auto"/>
              <w:bottom w:val="outset" w:sz="6" w:space="0" w:color="auto"/>
              <w:right w:val="single" w:sz="8" w:space="0" w:color="auto"/>
            </w:tcBorders>
            <w:tcMar>
              <w:left w:w="108" w:type="dxa"/>
              <w:right w:w="108" w:type="dxa"/>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（本列数据的勾稽关系为：第一项加第二项之和，等于第三项加第四项之和）</w:t>
            </w:r>
          </w:p>
        </w:tc>
        <w:tc>
          <w:tcPr>
            <w:tcW w:w="4795" w:type="dxa"/>
            <w:gridSpan w:val="7"/>
            <w:tcBorders>
              <w:top w:val="single" w:sz="8" w:space="0" w:color="auto"/>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申请人情况</w:t>
            </w:r>
          </w:p>
        </w:tc>
      </w:tr>
      <w:tr>
        <w:tblPrEx/>
        <w:trPr>
          <w:jc w:val="center"/>
        </w:trPr>
        <w:tc>
          <w:tcPr>
            <w:tcW w:w="4946" w:type="dxa"/>
            <w:gridSpan w:val="3"/>
            <w:vMerge w:val="continue"/>
            <w:tcBorders>
              <w:top w:val="single" w:sz="8" w:space="0" w:color="auto"/>
              <w:left w:val="single" w:sz="8" w:space="0" w:color="auto"/>
              <w:bottom w:val="outset" w:sz="6" w:space="0" w:color="auto"/>
              <w:right w:val="single" w:sz="8" w:space="0" w:color="auto"/>
            </w:tcBorders>
            <w:tcMar>
              <w:left w:w="108" w:type="dxa"/>
              <w:right w:w="108" w:type="dxa"/>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p>
        </w:tc>
        <w:tc>
          <w:tcPr>
            <w:tcW w:w="685" w:type="dxa"/>
            <w:vMerge w:val="restart"/>
            <w:tcBorders>
              <w:top w:val="nil"/>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自</w:t>
            </w:r>
          </w:p>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然</w:t>
            </w:r>
          </w:p>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人</w:t>
            </w:r>
          </w:p>
        </w:tc>
        <w:tc>
          <w:tcPr>
            <w:tcW w:w="3425" w:type="dxa"/>
            <w:gridSpan w:val="5"/>
            <w:tcBorders>
              <w:top w:val="single" w:sz="8" w:space="0" w:color="auto"/>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法人或其他组织</w:t>
            </w:r>
          </w:p>
        </w:tc>
        <w:tc>
          <w:tcPr>
            <w:tcW w:w="685" w:type="dxa"/>
            <w:vMerge w:val="restart"/>
            <w:tcBorders>
              <w:top w:val="single" w:sz="8" w:space="0" w:color="auto"/>
              <w:left w:val="nil"/>
              <w:bottom w:val="outset" w:sz="6"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总</w:t>
            </w:r>
          </w:p>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计</w:t>
            </w:r>
          </w:p>
        </w:tc>
      </w:tr>
      <w:tr>
        <w:tblPrEx/>
        <w:trPr>
          <w:jc w:val="center"/>
        </w:trPr>
        <w:tc>
          <w:tcPr>
            <w:tcW w:w="4946" w:type="dxa"/>
            <w:gridSpan w:val="3"/>
            <w:vMerge w:val="continue"/>
            <w:tcBorders>
              <w:top w:val="single" w:sz="8" w:space="0" w:color="auto"/>
              <w:left w:val="single" w:sz="8" w:space="0" w:color="auto"/>
              <w:bottom w:val="outset" w:sz="6" w:space="0" w:color="auto"/>
              <w:right w:val="single" w:sz="8" w:space="0" w:color="auto"/>
            </w:tcBorders>
            <w:tcMar>
              <w:left w:w="108" w:type="dxa"/>
              <w:right w:w="108" w:type="dxa"/>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p>
        </w:tc>
        <w:tc>
          <w:tcPr>
            <w:tcW w:w="685" w:type="dxa"/>
            <w:vMerge w:val="continue"/>
            <w:tcBorders>
              <w:top w:val="nil"/>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685" w:type="dxa"/>
            <w:tcBorders>
              <w:top w:val="nil"/>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商业</w:t>
            </w:r>
          </w:p>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企业</w:t>
            </w:r>
          </w:p>
        </w:tc>
        <w:tc>
          <w:tcPr>
            <w:tcW w:w="685" w:type="dxa"/>
            <w:tcBorders>
              <w:top w:val="nil"/>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科研</w:t>
            </w:r>
          </w:p>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机构</w:t>
            </w:r>
          </w:p>
        </w:tc>
        <w:tc>
          <w:tcPr>
            <w:tcW w:w="685" w:type="dxa"/>
            <w:tcBorders>
              <w:top w:val="single" w:sz="8" w:space="0" w:color="auto"/>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社会公益组织</w:t>
            </w:r>
          </w:p>
        </w:tc>
        <w:tc>
          <w:tcPr>
            <w:tcW w:w="685" w:type="dxa"/>
            <w:tcBorders>
              <w:top w:val="single" w:sz="8" w:space="0" w:color="auto"/>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法律服务机构</w:t>
            </w:r>
          </w:p>
        </w:tc>
        <w:tc>
          <w:tcPr>
            <w:tcW w:w="685" w:type="dxa"/>
            <w:tcBorders>
              <w:top w:val="single" w:sz="8" w:space="0" w:color="auto"/>
              <w:left w:val="nil"/>
              <w:bottom w:val="single" w:sz="8"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其他</w:t>
            </w:r>
          </w:p>
        </w:tc>
        <w:tc>
          <w:tcPr>
            <w:tcW w:w="685" w:type="dxa"/>
            <w:vMerge w:val="continue"/>
            <w:tcBorders>
              <w:top w:val="single" w:sz="8" w:space="0" w:color="auto"/>
              <w:left w:val="nil"/>
              <w:bottom w:val="outset" w:sz="6" w:space="0" w:color="auto"/>
              <w:right w:val="single" w:sz="8" w:space="0" w:color="auto"/>
            </w:tcBorders>
            <w:tcMar/>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r>
      <w:tr>
        <w:tblPrEx/>
        <w:trPr>
          <w:trHeight w:val="397" w:hRule="atLeast"/>
          <w:jc w:val="center"/>
        </w:trPr>
        <w:tc>
          <w:tcPr>
            <w:tcW w:w="4946" w:type="dxa"/>
            <w:gridSpan w:val="3"/>
            <w:tcBorders>
              <w:top w:val="nil"/>
              <w:left w:val="single" w:sz="8" w:space="0" w:color="auto"/>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一、本年新收政府信息公开申请数量</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619</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83</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5</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14</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722</w:t>
            </w:r>
          </w:p>
        </w:tc>
      </w:tr>
      <w:tr>
        <w:tblPrEx/>
        <w:trPr>
          <w:trHeight w:val="397" w:hRule="atLeast"/>
          <w:jc w:val="center"/>
        </w:trPr>
        <w:tc>
          <w:tcPr>
            <w:tcW w:w="4946" w:type="dxa"/>
            <w:gridSpan w:val="3"/>
            <w:tcBorders>
              <w:top w:val="nil"/>
              <w:left w:val="single" w:sz="8" w:space="0" w:color="auto"/>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二、上年结转政府信息公开申请数量</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36" w:hRule="atLeast"/>
          <w:jc w:val="center"/>
        </w:trPr>
        <w:tc>
          <w:tcPr>
            <w:tcW w:w="754" w:type="dxa"/>
            <w:vMerge w:val="restart"/>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三、本年度办理结果</w:t>
            </w:r>
          </w:p>
        </w:tc>
        <w:tc>
          <w:tcPr>
            <w:tcW w:w="4192" w:type="dxa"/>
            <w:gridSpan w:val="2"/>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（一）予以公开</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431</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80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5</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14</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531</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4192" w:type="dxa"/>
            <w:gridSpan w:val="2"/>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（二）部分公开（区分处理的，只计这一情形，不计其他情形）</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71</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3</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74</w:t>
            </w:r>
          </w:p>
        </w:tc>
      </w:tr>
      <w:tr>
        <w:tblPrEx/>
        <w:trPr>
          <w:trHeight w:val="352"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restart"/>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（三）不予公开</w:t>
            </w: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1.属于国家秘密</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3</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3</w:t>
            </w:r>
          </w:p>
        </w:tc>
      </w:tr>
      <w:tr>
        <w:tblPrEx/>
        <w:trPr>
          <w:trHeight w:val="302"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2.其他法律行政法规禁止公开</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35"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3.危及“三安全一稳定”</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4.保护第三方合法权益</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5.属于三类内部事务信息</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19"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6.属于四类过程性信息</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7.属于行政执法案卷</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8.属于行政查询事项</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w:t>
            </w:r>
          </w:p>
        </w:tc>
      </w:tr>
      <w:tr>
        <w:tblPrEx/>
        <w:trPr>
          <w:trHeight w:val="336"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restart"/>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（四）无法提供</w:t>
            </w: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1.本机关不掌握相关政府信息</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60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60</w:t>
            </w:r>
          </w:p>
        </w:tc>
      </w:tr>
      <w:tr>
        <w:tblPrEx/>
        <w:trPr>
          <w:trHeight w:val="336"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2.没有现成信息需要另行制作</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9</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9</w:t>
            </w:r>
          </w:p>
        </w:tc>
      </w:tr>
      <w:tr>
        <w:tblPrEx/>
        <w:trPr>
          <w:trHeight w:val="336"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3.补正后申请内容仍不明确</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52"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restart"/>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（五）不予处理</w:t>
            </w:r>
          </w:p>
        </w:tc>
        <w:tc>
          <w:tcPr>
            <w:tcW w:w="3271" w:type="dxa"/>
            <w:tcBorders>
              <w:top w:val="nil"/>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1.信访举报投诉类申请</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02"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single" w:sz="8" w:space="0" w:color="auto"/>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2.重复申请</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single" w:sz="8" w:space="0" w:color="auto"/>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3.要求提供公开出版物</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38"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single" w:sz="8" w:space="0" w:color="auto"/>
              <w:left w:val="nil"/>
              <w:bottom w:val="single" w:sz="8" w:space="0" w:color="auto"/>
              <w:right w:val="single" w:sz="8" w:space="0" w:color="auto"/>
            </w:tcBorders>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4.无正当理由大量反复申请</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single" w:sz="8" w:space="0" w:color="auto"/>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5.要求行政机关确认或重新出具已获取信息</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outset" w:sz="6"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restart"/>
            <w:tcBorders>
              <w:top w:val="outset" w:sz="6" w:space="0" w:color="auto"/>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（六）其他处理</w:t>
            </w:r>
          </w:p>
        </w:tc>
        <w:tc>
          <w:tcPr>
            <w:tcW w:w="3271" w:type="dxa"/>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1.申请人无正当理由逾期不补正、行政机关不再处理其政府信息公开申请</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855"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outset" w:sz="6" w:space="0" w:color="auto"/>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2.申请人逾期未按收费通知要求缴纳费用、行政机关不再处理其政府信息公开申请</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921" w:type="dxa"/>
            <w:vMerge w:val="continue"/>
            <w:tcBorders>
              <w:top w:val="outset" w:sz="6" w:space="0" w:color="auto"/>
              <w:left w:val="nil"/>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center"/>
              <w:rPr>
                <w:rFonts w:ascii="Times New Roman" w:cs="Times New Roman" w:eastAsia="仿宋_GB2312" w:hAnsi="Times New Roman" w:hint="default"/>
                <w:color w:val="auto"/>
                <w:sz w:val="21"/>
                <w:lang w:val="en-US" w:eastAsia="zh-CN"/>
              </w:rPr>
            </w:pPr>
          </w:p>
        </w:tc>
        <w:tc>
          <w:tcPr>
            <w:tcW w:w="3271" w:type="dxa"/>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3.其他</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28</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28</w:t>
            </w:r>
          </w:p>
        </w:tc>
      </w:tr>
      <w:tr>
        <w:tblPrEx/>
        <w:trPr>
          <w:trHeight w:val="397" w:hRule="atLeast"/>
          <w:jc w:val="center"/>
        </w:trPr>
        <w:tc>
          <w:tcPr>
            <w:tcW w:w="754" w:type="dxa"/>
            <w:vMerge w:val="continue"/>
            <w:tcBorders>
              <w:top w:val="nil"/>
              <w:left w:val="single" w:sz="8" w:space="0" w:color="auto"/>
              <w:bottom w:val="outset" w:sz="6"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p>
        </w:tc>
        <w:tc>
          <w:tcPr>
            <w:tcW w:w="4192" w:type="dxa"/>
            <w:gridSpan w:val="2"/>
            <w:tcBorders>
              <w:top w:val="nil"/>
              <w:left w:val="nil"/>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（七）总计</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609</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83</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5</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14</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712</w:t>
            </w:r>
          </w:p>
        </w:tc>
      </w:tr>
      <w:tr>
        <w:tblPrEx/>
        <w:trPr>
          <w:trHeight w:val="397" w:hRule="atLeast"/>
          <w:jc w:val="center"/>
        </w:trPr>
        <w:tc>
          <w:tcPr>
            <w:tcW w:w="4946" w:type="dxa"/>
            <w:gridSpan w:val="3"/>
            <w:tcBorders>
              <w:top w:val="nil"/>
              <w:left w:val="single" w:sz="8" w:space="0" w:color="auto"/>
              <w:bottom w:val="single" w:sz="8" w:space="0" w:color="auto"/>
              <w:right w:val="single" w:sz="8" w:space="0" w:color="auto"/>
            </w:tcBorders>
            <w:vAlign w:val="center"/>
          </w:tcPr>
          <w:p>
            <w:pPr>
              <w:pStyle w:val="style0"/>
              <w:keepNext w:val="false"/>
              <w:keepLines w:val="false"/>
              <w:pageBreakBefore w:val="false"/>
              <w:widowControl w:val="false"/>
              <w:kinsoku/>
              <w:wordWrap/>
              <w:overflowPunct/>
              <w:topLinePunct w:val="false"/>
              <w:autoSpaceDE/>
              <w:autoSpaceDN/>
              <w:bidi w:val="false"/>
              <w:spacing w:lineRule="auto" w:line="240"/>
              <w:ind w:firstLine="0" w:firstLineChars="0"/>
              <w:jc w:val="left"/>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color w:val="auto"/>
                <w:sz w:val="21"/>
                <w:lang w:val="en-US" w:eastAsia="zh-CN"/>
              </w:rPr>
              <w:t>四、结转下年度继续办理</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0</w:t>
            </w:r>
          </w:p>
        </w:tc>
        <w:tc>
          <w:tcPr>
            <w:tcW w:w="685" w:type="dxa"/>
            <w:tcBorders>
              <w:top w:val="nil"/>
              <w:left w:val="nil"/>
              <w:bottom w:val="single" w:sz="8" w:space="0" w:color="auto"/>
              <w:right w:val="single" w:sz="8" w:space="0" w:color="auto"/>
            </w:tcBorders>
            <w:vAlign w:val="center"/>
          </w:tcPr>
          <w:p>
            <w:pPr>
              <w:pStyle w:val="style0"/>
              <w:spacing w:lineRule="auto" w:line="240"/>
              <w:ind w:firstLine="0" w:firstLineChars="0"/>
              <w:jc w:val="center"/>
              <w:rPr>
                <w:rFonts w:ascii="Times New Roman" w:cs="Times New Roman" w:eastAsia="仿宋_GB2312" w:hAnsi="Times New Roman" w:hint="default"/>
                <w:color w:val="auto"/>
                <w:sz w:val="21"/>
                <w:lang w:val="en-US" w:eastAsia="zh-CN"/>
              </w:rPr>
            </w:pPr>
            <w:r>
              <w:rPr>
                <w:rFonts w:ascii="Times New Roman" w:cs="Times New Roman" w:eastAsia="仿宋_GB2312" w:hAnsi="Times New Roman" w:hint="default"/>
                <w:sz w:val="21"/>
              </w:rPr>
              <w:t>10</w:t>
            </w:r>
          </w:p>
        </w:tc>
      </w:tr>
    </w:tbl>
    <w:p>
      <w:pPr>
        <w:pStyle w:val="style94"/>
        <w:keepNext w:val="false"/>
        <w:keepLines w:val="false"/>
        <w:widowControl/>
        <w:suppressLineNumbers w:val="false"/>
        <w:spacing w:before="0" w:beforeAutospacing="false" w:after="0" w:afterAutospacing="false"/>
        <w:ind w:left="0" w:leftChars="0" w:firstLine="600" w:firstLineChars="200"/>
        <w:jc w:val="both"/>
        <w:rPr>
          <w:rFonts w:ascii="Times New Roman" w:cs="Times New Roman" w:eastAsia="黑体" w:hAnsi="Times New Roman" w:hint="default"/>
          <w:b w:val="false"/>
          <w:bCs/>
          <w:color w:val="auto"/>
          <w:sz w:val="30"/>
          <w:szCs w:val="30"/>
        </w:rPr>
      </w:pPr>
      <w:r>
        <w:rPr>
          <w:rFonts w:ascii="Times New Roman" w:cs="Times New Roman" w:eastAsia="黑体" w:hAnsi="Times New Roman" w:hint="default"/>
          <w:b w:val="false"/>
          <w:bCs/>
          <w:color w:val="auto"/>
          <w:sz w:val="30"/>
          <w:szCs w:val="30"/>
        </w:rPr>
        <w:t>四、政府信息公开行政复议、行政诉讼情况</w:t>
      </w:r>
    </w:p>
    <w:tbl>
      <w:tblPr>
        <w:tblStyle w:val="style105"/>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rPr>
          <w:jc w:val="center"/>
        </w:trPr>
        <w:tc>
          <w:tcPr>
            <w:tcW w:w="3245" w:type="dxa"/>
            <w:gridSpan w:val="5"/>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行政复议</w:t>
            </w:r>
          </w:p>
        </w:tc>
        <w:tc>
          <w:tcPr>
            <w:tcW w:w="6498" w:type="dxa"/>
            <w:gridSpan w:val="10"/>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行政诉讼</w:t>
            </w:r>
          </w:p>
        </w:tc>
      </w:tr>
      <w:tr>
        <w:tblPrEx/>
        <w:trPr>
          <w:jc w:val="center"/>
        </w:trPr>
        <w:tc>
          <w:tcPr>
            <w:tcW w:w="649" w:type="dxa"/>
            <w:vMerge w:val="restart"/>
            <w:tcBorders>
              <w:top w:val="nil"/>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结果维持</w:t>
            </w:r>
          </w:p>
        </w:tc>
        <w:tc>
          <w:tcPr>
            <w:tcW w:w="649" w:type="dxa"/>
            <w:vMerge w:val="restart"/>
            <w:tcBorders>
              <w:top w:val="nil"/>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纠正</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其他</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尚未</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审结</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总计</w:t>
            </w:r>
          </w:p>
        </w:tc>
        <w:tc>
          <w:tcPr>
            <w:tcW w:w="3248" w:type="dxa"/>
            <w:gridSpan w:val="5"/>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未经复议直接起诉</w:t>
            </w:r>
          </w:p>
        </w:tc>
        <w:tc>
          <w:tcPr>
            <w:tcW w:w="3250" w:type="dxa"/>
            <w:gridSpan w:val="5"/>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复议后起诉</w:t>
            </w:r>
          </w:p>
        </w:tc>
      </w:tr>
      <w:tr>
        <w:tblPrEx/>
        <w:trPr>
          <w:jc w:val="center"/>
        </w:trPr>
        <w:tc>
          <w:tcPr>
            <w:tcW w:w="649" w:type="dxa"/>
            <w:vMerge w:val="continue"/>
            <w:tcBorders>
              <w:top w:val="nil"/>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p>
        </w:tc>
        <w:tc>
          <w:tcPr>
            <w:tcW w:w="649" w:type="dxa"/>
            <w:vMerge w:val="continue"/>
            <w:tcBorders>
              <w:top w:val="nil"/>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p>
        </w:tc>
        <w:tc>
          <w:tcPr>
            <w:tcW w:w="649"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p>
        </w:tc>
        <w:tc>
          <w:tcPr>
            <w:tcW w:w="649"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p>
        </w:tc>
        <w:tc>
          <w:tcPr>
            <w:tcW w:w="649"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维持</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纠正</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其他</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尚未</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审结</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总计</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维持</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纠正</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其他</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结果</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尚未</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审结</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500"/>
              <w:ind w:left="0" w:right="0" w:firstLine="0" w:firstLineChars="0"/>
              <w:jc w:val="center"/>
              <w:textAlignment w:val="center"/>
              <w:rPr>
                <w:rFonts w:ascii="Times New Roman" w:cs="Times New Roman" w:eastAsia="仿宋_GB2312" w:hAnsi="Times New Roman" w:hint="default"/>
                <w:color w:val="auto"/>
                <w:kern w:val="0"/>
                <w:sz w:val="21"/>
                <w:szCs w:val="21"/>
                <w:lang w:val="en-US" w:eastAsia="zh-CN"/>
              </w:rPr>
            </w:pPr>
            <w:r>
              <w:rPr>
                <w:rFonts w:ascii="Times New Roman" w:cs="Times New Roman" w:eastAsia="仿宋_GB2312" w:hAnsi="Times New Roman" w:hint="default"/>
                <w:color w:val="auto"/>
                <w:kern w:val="0"/>
                <w:sz w:val="21"/>
                <w:szCs w:val="21"/>
                <w:lang w:val="en-US" w:eastAsia="zh-CN"/>
              </w:rPr>
              <w:t>总计</w:t>
            </w:r>
          </w:p>
        </w:tc>
      </w:tr>
      <w:bookmarkStart w:id="0" w:name="_GoBack" w:colFirst="0" w:colLast="14"/>
      <w:tr>
        <w:tblPrEx/>
        <w:trPr>
          <w:trHeight w:val="672" w:hRule="atLeast"/>
          <w:jc w:val="center"/>
        </w:trPr>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7</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3</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3 </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13</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3</w:t>
            </w:r>
          </w:p>
        </w:tc>
        <w:tc>
          <w:tcPr>
            <w:tcW w:w="64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3 </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 0</w:t>
            </w:r>
          </w:p>
        </w:tc>
        <w:tc>
          <w:tcPr>
            <w:tcW w:w="65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ind w:firstLine="0" w:firstLineChars="0"/>
              <w:jc w:val="center"/>
              <w:rPr>
                <w:rFonts w:ascii="Times New Roman" w:cs="Times New Roman" w:eastAsia="仿宋_GB2312" w:hAnsi="Times New Roman" w:hint="default"/>
                <w:sz w:val="21"/>
                <w:lang w:val="en-US" w:eastAsia="zh-CN"/>
              </w:rPr>
            </w:pPr>
            <w:r>
              <w:rPr>
                <w:rFonts w:ascii="Times New Roman" w:cs="Times New Roman" w:eastAsia="仿宋_GB2312" w:hAnsi="Times New Roman" w:hint="eastAsia"/>
                <w:sz w:val="21"/>
              </w:rPr>
              <w:t>0</w:t>
            </w:r>
          </w:p>
          <w:bookmarkEnd w:id="0"/>
        </w:tc>
      </w:tr>
    </w:tbl>
    <w:p>
      <w:pPr>
        <w:pStyle w:val="style94"/>
        <w:keepNext w:val="false"/>
        <w:keepLines w:val="false"/>
        <w:widowControl/>
        <w:suppressLineNumbers w:val="false"/>
        <w:spacing w:before="0" w:beforeAutospacing="false" w:after="0" w:afterAutospacing="false"/>
        <w:ind w:left="0" w:leftChars="0" w:firstLine="600" w:firstLineChars="200"/>
        <w:jc w:val="both"/>
        <w:rPr>
          <w:rFonts w:ascii="Times New Roman" w:cs="Times New Roman" w:eastAsia="黑体" w:hAnsi="Times New Roman" w:hint="default"/>
          <w:b w:val="false"/>
          <w:bCs/>
          <w:color w:val="auto"/>
          <w:sz w:val="30"/>
          <w:szCs w:val="30"/>
        </w:rPr>
      </w:pPr>
      <w:r>
        <w:rPr>
          <w:rFonts w:ascii="Times New Roman" w:cs="Times New Roman" w:eastAsia="黑体" w:hAnsi="Times New Roman" w:hint="default"/>
          <w:b w:val="false"/>
          <w:bCs/>
          <w:color w:val="auto"/>
          <w:sz w:val="30"/>
          <w:szCs w:val="30"/>
        </w:rPr>
        <w:t>五、存在的主要问题及改进情况</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ind w:left="0" w:leftChars="0" w:firstLine="640" w:firstLineChars="200"/>
        <w:jc w:val="both"/>
        <w:textAlignment w:val="auto"/>
        <w:rPr>
          <w:rFonts w:ascii="楷体" w:cs="楷体" w:eastAsia="楷体" w:hAnsi="楷体" w:hint="eastAsia"/>
          <w:sz w:val="32"/>
          <w:szCs w:val="32"/>
          <w:lang w:eastAsia="zh-CN"/>
        </w:rPr>
      </w:pPr>
      <w:r>
        <w:rPr>
          <w:rFonts w:ascii="楷体" w:cs="楷体" w:eastAsia="楷体" w:hAnsi="楷体" w:hint="eastAsia"/>
          <w:sz w:val="32"/>
          <w:szCs w:val="32"/>
          <w:lang w:eastAsia="zh-CN"/>
        </w:rPr>
        <w:t>（一）存在的主要问题</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ind w:left="0" w:leftChars="0" w:firstLine="640" w:firstLineChars="200"/>
        <w:jc w:val="both"/>
        <w:textAlignment w:val="auto"/>
        <w:rPr>
          <w:rFonts w:ascii="Times New Roman" w:cs="仿宋_GB2312" w:eastAsia="仿宋_GB2312" w:hAnsi="Times New Roman" w:hint="eastAsia"/>
          <w:sz w:val="32"/>
          <w:szCs w:val="32"/>
          <w:lang w:eastAsia="zh-CN"/>
        </w:rPr>
      </w:pPr>
      <w:r>
        <w:rPr>
          <w:rFonts w:ascii="Times New Roman" w:cs="仿宋_GB2312" w:eastAsia="仿宋_GB2312" w:hAnsi="Times New Roman" w:hint="eastAsia"/>
          <w:sz w:val="32"/>
          <w:szCs w:val="32"/>
          <w:lang w:eastAsia="zh-CN"/>
        </w:rPr>
        <w:t>在制度机制建设、提升规范化和信息化水平、增强公开实效等方面，政府信息公开工作取得了一定进展和成效，但与全面落实“公开为常态、不公开为例外”的原则要求，与保障人民群众知情、参与和监督的实际需求相比，还存在一定的差距，公开形式还可以更灵活多样、更适民化，公开信息的分类还可以更精准。</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ind w:left="0" w:leftChars="0" w:firstLine="640" w:firstLineChars="200"/>
        <w:jc w:val="both"/>
        <w:textAlignment w:val="auto"/>
        <w:rPr>
          <w:rFonts w:ascii="楷体" w:cs="楷体" w:eastAsia="楷体" w:hAnsi="楷体" w:hint="eastAsia"/>
          <w:sz w:val="32"/>
          <w:szCs w:val="32"/>
          <w:lang w:eastAsia="zh-CN"/>
        </w:rPr>
      </w:pPr>
      <w:r>
        <w:rPr>
          <w:rFonts w:ascii="楷体" w:cs="楷体" w:eastAsia="楷体" w:hAnsi="楷体" w:hint="eastAsia"/>
          <w:sz w:val="32"/>
          <w:szCs w:val="32"/>
          <w:lang w:eastAsia="zh-CN"/>
        </w:rPr>
        <w:t>（二）改进措施</w:t>
      </w:r>
    </w:p>
    <w:p>
      <w:pPr>
        <w:pStyle w:val="style94"/>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jc w:val="both"/>
        <w:textAlignment w:val="auto"/>
        <w:rPr>
          <w:rFonts w:ascii="Times New Roman" w:cs="Times New Roman" w:eastAsia="仿宋_GB2312" w:hAnsi="Times New Roman" w:hint="eastAsia"/>
          <w:b w:val="false"/>
          <w:bCs/>
          <w:color w:val="auto"/>
          <w:sz w:val="30"/>
          <w:szCs w:val="30"/>
          <w:lang w:eastAsia="zh-CN"/>
        </w:rPr>
      </w:pPr>
      <w:r>
        <w:rPr>
          <w:rFonts w:ascii="Times New Roman" w:cs="仿宋_GB2312" w:eastAsia="仿宋_GB2312" w:hAnsi="Times New Roman" w:hint="eastAsia"/>
          <w:sz w:val="32"/>
          <w:szCs w:val="32"/>
        </w:rPr>
        <w:t>围绕</w:t>
      </w:r>
      <w:r>
        <w:rPr>
          <w:rFonts w:ascii="Times New Roman" w:cs="仿宋_GB2312" w:eastAsia="仿宋_GB2312" w:hAnsi="Times New Roman" w:hint="eastAsia"/>
          <w:sz w:val="32"/>
          <w:szCs w:val="32"/>
          <w:lang w:eastAsia="zh-CN"/>
        </w:rPr>
        <w:t>自然资源和规划</w:t>
      </w:r>
      <w:r>
        <w:rPr>
          <w:rFonts w:ascii="Times New Roman" w:cs="仿宋_GB2312" w:eastAsia="仿宋_GB2312" w:hAnsi="Times New Roman" w:hint="eastAsia"/>
          <w:sz w:val="32"/>
          <w:szCs w:val="32"/>
        </w:rPr>
        <w:t>中心工作，</w:t>
      </w:r>
      <w:r>
        <w:rPr>
          <w:rFonts w:ascii="Times New Roman" w:cs="仿宋_GB2312" w:eastAsia="仿宋_GB2312" w:hAnsi="Times New Roman" w:hint="eastAsia"/>
          <w:sz w:val="32"/>
          <w:szCs w:val="32"/>
          <w:lang w:eastAsia="zh-CN"/>
        </w:rPr>
        <w:t>聚焦公众关注热点、难点问题及时</w:t>
      </w:r>
      <w:r>
        <w:rPr>
          <w:rFonts w:ascii="Times New Roman" w:cs="仿宋_GB2312" w:eastAsia="仿宋_GB2312" w:hAnsi="Times New Roman" w:hint="eastAsia"/>
          <w:sz w:val="32"/>
          <w:szCs w:val="32"/>
        </w:rPr>
        <w:t>与主流媒体合作，做好</w:t>
      </w:r>
      <w:r>
        <w:rPr>
          <w:rFonts w:ascii="Times New Roman" w:cs="仿宋_GB2312" w:eastAsia="仿宋_GB2312" w:hAnsi="Times New Roman" w:hint="eastAsia"/>
          <w:sz w:val="32"/>
          <w:szCs w:val="32"/>
          <w:lang w:eastAsia="zh-CN"/>
        </w:rPr>
        <w:t>主动公开和</w:t>
      </w:r>
      <w:r>
        <w:rPr>
          <w:rFonts w:ascii="Times New Roman" w:cs="仿宋_GB2312" w:eastAsia="仿宋_GB2312" w:hAnsi="Times New Roman" w:hint="eastAsia"/>
          <w:sz w:val="32"/>
          <w:szCs w:val="32"/>
        </w:rPr>
        <w:t>新闻宣传，开展系列</w:t>
      </w:r>
      <w:r>
        <w:rPr>
          <w:rFonts w:ascii="Times New Roman" w:cs="仿宋_GB2312" w:eastAsia="仿宋_GB2312" w:hAnsi="Times New Roman" w:hint="eastAsia"/>
          <w:sz w:val="32"/>
          <w:szCs w:val="32"/>
          <w:lang w:eastAsia="zh-CN"/>
        </w:rPr>
        <w:t>公众参与</w:t>
      </w:r>
      <w:r>
        <w:rPr>
          <w:rFonts w:ascii="Times New Roman" w:cs="仿宋_GB2312" w:eastAsia="仿宋_GB2312" w:hAnsi="Times New Roman" w:hint="eastAsia"/>
          <w:sz w:val="32"/>
          <w:szCs w:val="32"/>
        </w:rPr>
        <w:t>活动，讲好自然资源和规划故事，传播自然资源和规划声音。</w:t>
      </w:r>
      <w:r>
        <w:rPr>
          <w:rFonts w:ascii="Times New Roman" w:cs="仿宋_GB2312" w:eastAsia="仿宋_GB2312" w:hAnsi="Times New Roman" w:hint="eastAsia"/>
          <w:sz w:val="32"/>
          <w:szCs w:val="32"/>
          <w:lang w:eastAsia="zh-CN"/>
        </w:rPr>
        <w:t>适时开展专业培训，进一步提高政府信息公开人员队伍素质，提升政务公开服务水平。</w:t>
      </w:r>
    </w:p>
    <w:p>
      <w:pPr>
        <w:pStyle w:val="style94"/>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leftChars="0" w:firstLine="600" w:firstLineChars="200"/>
        <w:jc w:val="both"/>
        <w:textAlignment w:val="auto"/>
        <w:rPr>
          <w:rFonts w:ascii="Times New Roman" w:cs="Times New Roman" w:eastAsia="黑体" w:hAnsi="Times New Roman" w:hint="default"/>
          <w:b w:val="false"/>
          <w:bCs/>
          <w:color w:val="auto"/>
          <w:sz w:val="30"/>
          <w:szCs w:val="30"/>
        </w:rPr>
      </w:pPr>
      <w:r>
        <w:rPr>
          <w:rFonts w:ascii="Times New Roman" w:cs="Times New Roman" w:eastAsia="黑体" w:hAnsi="Times New Roman" w:hint="default"/>
          <w:b w:val="false"/>
          <w:bCs/>
          <w:color w:val="auto"/>
          <w:sz w:val="30"/>
          <w:szCs w:val="30"/>
        </w:rPr>
        <w:t>六、其他需要报告的事项</w:t>
      </w:r>
    </w:p>
    <w:p>
      <w:pPr>
        <w:pStyle w:val="style0"/>
        <w:keepNext w:val="false"/>
        <w:keepLines w:val="false"/>
        <w:pageBreakBefore w:val="false"/>
        <w:kinsoku/>
        <w:wordWrap/>
        <w:overflowPunct/>
        <w:topLinePunct w:val="false"/>
        <w:autoSpaceDE/>
        <w:autoSpaceDN/>
        <w:bidi w:val="false"/>
        <w:ind w:left="0" w:leftChars="0" w:firstLine="600" w:firstLineChars="200"/>
        <w:textAlignment w:val="auto"/>
        <w:rPr>
          <w:rFonts w:ascii="Times New Roman" w:cs="Times New Roman" w:eastAsia="仿宋_GB2312" w:hAnsi="Times New Roman" w:hint="default"/>
          <w:b w:val="false"/>
          <w:bCs/>
          <w:color w:val="auto"/>
          <w:sz w:val="30"/>
          <w:szCs w:val="30"/>
          <w:lang w:eastAsia="zh-CN"/>
        </w:rPr>
      </w:pPr>
      <w:r>
        <w:rPr>
          <w:rFonts w:ascii="Times New Roman" w:cs="Times New Roman" w:eastAsia="仿宋_GB2312" w:hAnsi="Times New Roman" w:hint="default"/>
          <w:b w:val="false"/>
          <w:bCs/>
          <w:color w:val="auto"/>
          <w:sz w:val="30"/>
          <w:szCs w:val="30"/>
          <w:lang w:eastAsia="zh-CN"/>
        </w:rPr>
        <w:t>无。</w:t>
      </w:r>
    </w:p>
    <w:p>
      <w:pPr>
        <w:pStyle w:val="style84"/>
        <w:keepNext w:val="false"/>
        <w:keepLines w:val="false"/>
        <w:pageBreakBefore w:val="false"/>
        <w:kinsoku/>
        <w:wordWrap/>
        <w:overflowPunct/>
        <w:topLinePunct w:val="false"/>
        <w:autoSpaceDE/>
        <w:autoSpaceDN/>
        <w:bidi w:val="false"/>
        <w:adjustRightInd/>
        <w:snapToGrid/>
        <w:spacing w:after="0"/>
        <w:ind w:left="0" w:leftChars="0" w:right="0" w:rightChars="0" w:firstLine="0" w:firstLineChars="0"/>
        <w:textAlignment w:val="auto"/>
        <w:rPr>
          <w:rFonts w:ascii="Times New Roman" w:cs="Times New Roman" w:eastAsia="仿宋_GB2312" w:hAnsi="Times New Roman" w:hint="default"/>
          <w:b w:val="false"/>
          <w:bCs/>
          <w:color w:val="auto"/>
          <w:sz w:val="30"/>
          <w:szCs w:val="30"/>
          <w:lang w:eastAsia="zh-CN"/>
        </w:rPr>
      </w:pPr>
    </w:p>
    <w:p>
      <w:pPr>
        <w:pStyle w:val="style84"/>
        <w:keepNext w:val="false"/>
        <w:keepLines w:val="false"/>
        <w:pageBreakBefore w:val="false"/>
        <w:kinsoku/>
        <w:wordWrap/>
        <w:overflowPunct/>
        <w:topLinePunct w:val="false"/>
        <w:autoSpaceDE/>
        <w:autoSpaceDN/>
        <w:bidi w:val="false"/>
        <w:adjustRightInd/>
        <w:snapToGrid/>
        <w:spacing w:after="0"/>
        <w:ind w:left="0" w:leftChars="0" w:right="0" w:rightChars="0" w:firstLine="0" w:firstLineChars="0"/>
        <w:textAlignment w:val="auto"/>
        <w:rPr>
          <w:rFonts w:ascii="Times New Roman" w:cs="Times New Roman" w:eastAsia="仿宋_GB2312" w:hAnsi="Times New Roman" w:hint="default"/>
          <w:b w:val="false"/>
          <w:bCs/>
          <w:color w:val="auto"/>
          <w:sz w:val="30"/>
          <w:szCs w:val="30"/>
          <w:lang w:eastAsia="zh-CN"/>
        </w:rPr>
      </w:pPr>
    </w:p>
    <w:p>
      <w:pPr>
        <w:pStyle w:val="style84"/>
        <w:keepNext w:val="false"/>
        <w:keepLines w:val="false"/>
        <w:pageBreakBefore w:val="false"/>
        <w:widowControl w:val="false"/>
        <w:kinsoku/>
        <w:wordWrap/>
        <w:overflowPunct/>
        <w:topLinePunct w:val="false"/>
        <w:autoSpaceDE/>
        <w:autoSpaceDN/>
        <w:bidi w:val="false"/>
        <w:adjustRightInd/>
        <w:snapToGrid/>
        <w:spacing w:after="0"/>
        <w:ind w:left="0" w:leftChars="0" w:right="0" w:rightChars="0" w:firstLine="4800" w:firstLineChars="1600"/>
        <w:textAlignment w:val="auto"/>
        <w:rPr>
          <w:rFonts w:ascii="Times New Roman" w:cs="Times New Roman" w:eastAsia="仿宋_GB2312" w:hAnsi="Times New Roman" w:hint="default"/>
          <w:b w:val="false"/>
          <w:bCs/>
          <w:color w:val="auto"/>
          <w:sz w:val="30"/>
          <w:szCs w:val="30"/>
          <w:lang w:eastAsia="zh-CN"/>
        </w:rPr>
      </w:pPr>
      <w:r>
        <w:rPr>
          <w:rFonts w:ascii="Times New Roman" w:cs="Times New Roman" w:eastAsia="仿宋_GB2312" w:hAnsi="Times New Roman" w:hint="default"/>
          <w:b w:val="false"/>
          <w:bCs/>
          <w:color w:val="auto"/>
          <w:sz w:val="30"/>
          <w:szCs w:val="30"/>
          <w:lang w:eastAsia="zh-CN"/>
        </w:rPr>
        <w:t>长沙市自然资源和规划局</w:t>
      </w:r>
    </w:p>
    <w:p>
      <w:pPr>
        <w:pStyle w:val="style84"/>
        <w:keepNext w:val="false"/>
        <w:keepLines w:val="false"/>
        <w:pageBreakBefore w:val="false"/>
        <w:widowControl w:val="false"/>
        <w:kinsoku/>
        <w:wordWrap/>
        <w:overflowPunct/>
        <w:topLinePunct w:val="false"/>
        <w:autoSpaceDE/>
        <w:autoSpaceDN/>
        <w:bidi w:val="false"/>
        <w:adjustRightInd/>
        <w:snapToGrid/>
        <w:spacing w:after="0"/>
        <w:ind w:left="0" w:leftChars="0" w:right="0" w:rightChars="0" w:firstLine="5400" w:firstLineChars="1800"/>
        <w:textAlignment w:val="auto"/>
        <w:rPr>
          <w:rFonts w:ascii="Times New Roman" w:cs="Times New Roman" w:eastAsia="仿宋_GB2312" w:hAnsi="Times New Roman" w:hint="default"/>
          <w:b w:val="false"/>
          <w:bCs/>
          <w:color w:val="auto"/>
          <w:sz w:val="30"/>
          <w:szCs w:val="30"/>
          <w:lang w:val="en-US" w:eastAsia="zh-CN"/>
        </w:rPr>
      </w:pPr>
      <w:r>
        <w:rPr>
          <w:rFonts w:ascii="Times New Roman" w:cs="Times New Roman" w:eastAsia="仿宋_GB2312" w:hAnsi="Times New Roman" w:hint="default"/>
          <w:b w:val="false"/>
          <w:bCs/>
          <w:color w:val="auto"/>
          <w:sz w:val="30"/>
          <w:szCs w:val="30"/>
          <w:lang w:val="en-US" w:eastAsia="zh-CN"/>
        </w:rPr>
        <w:t>2022年1月20日</w:t>
      </w:r>
    </w:p>
    <w:p>
      <w:pPr>
        <w:pStyle w:val="style94"/>
        <w:keepNext w:val="false"/>
        <w:keepLines w:val="false"/>
        <w:pageBreakBefore w:val="false"/>
        <w:widowControl/>
        <w:suppressLineNumbers w:val="false"/>
        <w:kinsoku/>
        <w:overflowPunct/>
        <w:topLinePunct w:val="false"/>
        <w:bidi w:val="false"/>
        <w:adjustRightInd/>
        <w:spacing w:before="0" w:beforeAutospacing="false" w:after="0" w:afterAutospacing="false" w:lineRule="auto" w:line="240"/>
        <w:ind w:left="0" w:leftChars="0" w:firstLine="0" w:firstLineChars="0"/>
        <w:jc w:val="center"/>
        <w:textAlignment w:val="auto"/>
        <w:rPr>
          <w:rFonts w:ascii="Times New Roman" w:cs="Times New Roman" w:eastAsia="方正小标宋简体" w:hAnsi="Times New Roman" w:hint="default"/>
          <w:b w:val="false"/>
          <w:bCs/>
          <w:color w:val="auto"/>
          <w:sz w:val="36"/>
          <w:szCs w:val="36"/>
        </w:rPr>
      </w:pPr>
    </w:p>
    <w:p>
      <w:pPr>
        <w:pStyle w:val="style94"/>
        <w:keepNext w:val="false"/>
        <w:keepLines w:val="false"/>
        <w:pageBreakBefore w:val="false"/>
        <w:widowControl/>
        <w:suppressLineNumbers w:val="false"/>
        <w:kinsoku/>
        <w:overflowPunct/>
        <w:topLinePunct w:val="false"/>
        <w:bidi w:val="false"/>
        <w:adjustRightInd/>
        <w:spacing w:before="0" w:beforeAutospacing="false" w:after="0" w:afterAutospacing="false" w:lineRule="auto" w:line="240"/>
        <w:ind w:left="0" w:leftChars="0" w:firstLine="0" w:firstLineChars="0"/>
        <w:jc w:val="center"/>
        <w:textAlignment w:val="auto"/>
        <w:rPr>
          <w:rFonts w:ascii="Times New Roman" w:cs="Times New Roman" w:eastAsia="方正小标宋简体" w:hAnsi="Times New Roman" w:hint="default"/>
          <w:b w:val="false"/>
          <w:bCs/>
          <w:color w:val="auto"/>
          <w:sz w:val="36"/>
          <w:szCs w:val="36"/>
        </w:rPr>
      </w:pPr>
    </w:p>
    <w:p>
      <w:pPr>
        <w:pStyle w:val="style94"/>
        <w:keepNext w:val="false"/>
        <w:keepLines w:val="false"/>
        <w:pageBreakBefore w:val="false"/>
        <w:widowControl/>
        <w:suppressLineNumbers w:val="false"/>
        <w:kinsoku/>
        <w:overflowPunct/>
        <w:topLinePunct w:val="false"/>
        <w:bidi w:val="false"/>
        <w:adjustRightInd/>
        <w:spacing w:before="0" w:beforeAutospacing="false" w:after="0" w:afterAutospacing="false" w:lineRule="auto" w:line="240"/>
        <w:ind w:left="0" w:leftChars="0" w:firstLine="0" w:firstLineChars="0"/>
        <w:jc w:val="center"/>
        <w:textAlignment w:val="auto"/>
        <w:rPr>
          <w:rFonts w:ascii="Times New Roman" w:cs="Times New Roman" w:eastAsia="方正小标宋简体" w:hAnsi="Times New Roman" w:hint="default"/>
          <w:b w:val="false"/>
          <w:bCs/>
          <w:color w:val="auto"/>
          <w:sz w:val="36"/>
          <w:szCs w:val="36"/>
        </w:rPr>
      </w:pPr>
    </w:p>
    <w:p>
      <w:pPr>
        <w:pStyle w:val="style94"/>
        <w:keepNext w:val="false"/>
        <w:keepLines w:val="false"/>
        <w:pageBreakBefore w:val="false"/>
        <w:widowControl/>
        <w:suppressLineNumbers w:val="false"/>
        <w:kinsoku/>
        <w:overflowPunct/>
        <w:topLinePunct w:val="false"/>
        <w:bidi w:val="false"/>
        <w:adjustRightInd/>
        <w:spacing w:before="0" w:beforeAutospacing="false" w:after="0" w:afterAutospacing="false" w:lineRule="auto" w:line="240"/>
        <w:ind w:left="0" w:leftChars="0" w:firstLine="0" w:firstLineChars="0"/>
        <w:jc w:val="center"/>
        <w:textAlignment w:val="auto"/>
        <w:rPr>
          <w:rFonts w:ascii="Times New Roman" w:cs="Times New Roman" w:eastAsia="方正小标宋简体" w:hAnsi="Times New Roman" w:hint="default"/>
          <w:b w:val="false"/>
          <w:bCs/>
          <w:color w:val="auto"/>
          <w:sz w:val="36"/>
          <w:szCs w:val="36"/>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34"/>
    <w:family w:val="roman"/>
    <w:pitch w:val="default"/>
    <w:sig w:usb0="E0002AFF" w:usb1="C0007841" w:usb2="00000009" w:usb3="00000000" w:csb0="400001FF" w:csb1="FFFF0000"/>
  </w:font>
  <w:font w:name="宋体">
    <w:altName w:val="宋体"/>
    <w:panose1 w:val="02010600030001010101"/>
    <w:charset w:val="4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
    <w:altName w:val="仿宋"/>
    <w:panose1 w:val="02010609060001010101"/>
    <w:charset w:val="86"/>
    <w:family w:val="auto"/>
    <w:pitch w:val="default"/>
    <w:sig w:usb0="800002BF" w:usb1="38CF7CFA" w:usb2="00000016" w:usb3="00000000" w:csb0="00040001"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doNotDisplayPageBoundaries/>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84"/>
    <w:qFormat/>
    <w:uiPriority w:val="0"/>
    <w:pPr>
      <w:widowControl w:val="false"/>
      <w:spacing w:lineRule="exact" w:line="600"/>
      <w:ind w:firstLine="883" w:firstLineChars="200"/>
      <w:jc w:val="both"/>
    </w:pPr>
    <w:rPr>
      <w:rFonts w:ascii="Calibri" w:cs="Times New Roman" w:eastAsia="仿宋" w:hAnsi="Calibri"/>
      <w:kern w:val="2"/>
      <w:sz w:val="32"/>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84">
    <w:name w:val="Block Text"/>
    <w:basedOn w:val="style0"/>
    <w:next w:val="style84"/>
    <w:qFormat/>
    <w:uiPriority w:val="99"/>
    <w:pPr>
      <w:spacing w:after="120"/>
      <w:ind w:left="1440" w:leftChars="700" w:right="1440" w:rightChars="700"/>
    </w:pPr>
    <w:rPr/>
  </w:style>
  <w:style w:type="paragraph" w:styleId="style94">
    <w:name w:val="Normal (Web)"/>
    <w:basedOn w:val="style0"/>
    <w:next w:val="style94"/>
    <w:qFormat/>
    <w:uiPriority w:val="0"/>
    <w:pPr>
      <w:spacing w:before="100" w:beforeAutospacing="true" w:after="100" w:afterAutospacing="true"/>
      <w:ind w:left="0" w:right="0"/>
      <w:jc w:val="left"/>
    </w:pPr>
    <w:rPr>
      <w:kern w:val="0"/>
      <w:sz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1863</Words>
  <Pages>1</Pages>
  <Characters>1965</Characters>
  <Application>WPS Office</Application>
  <DocSecurity>0</DocSecurity>
  <Paragraphs>412</Paragraphs>
  <ScaleCrop>false</ScaleCrop>
  <LinksUpToDate>false</LinksUpToDate>
  <CharactersWithSpaces>1981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2021-12-17T07:03:00Z</dcterms:created>
  <dc:creator>Changsha</dc:creator>
  <lastModifiedBy>PAR-AL00</lastModifiedBy>
  <dcterms:modified xsi:type="dcterms:W3CDTF">2022-01-21T08:06:05Z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192D56EE84D74354AAADBEBF3DC464DB</vt:lpwstr>
  </property>
</Properties>
</file>