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textAlignment w:val="center"/>
        <w:rPr>
          <w:rFonts w:ascii="Helvetica" w:hAnsi="Helvetica" w:eastAsia="Helvetica" w:cs="Helvetica"/>
          <w:i w:val="0"/>
          <w:iCs w:val="0"/>
          <w:caps w:val="0"/>
          <w:color w:val="333333"/>
          <w:spacing w:val="0"/>
          <w:sz w:val="19"/>
          <w:szCs w:val="19"/>
        </w:rPr>
      </w:pPr>
      <w:r>
        <w:rPr>
          <w:rFonts w:ascii="方正小标宋简体" w:hAnsi="方正小标宋简体" w:eastAsia="方正小标宋简体" w:cs="方正小标宋简体"/>
          <w:i w:val="0"/>
          <w:iCs w:val="0"/>
          <w:caps w:val="0"/>
          <w:color w:val="333333"/>
          <w:spacing w:val="0"/>
          <w:sz w:val="44"/>
          <w:szCs w:val="44"/>
          <w:bdr w:val="none" w:color="auto" w:sz="0" w:space="0"/>
          <w:shd w:val="clear" w:fill="FFFFFF"/>
        </w:rPr>
        <w:br w:type="textWrapping"/>
      </w:r>
      <w:r>
        <w:rPr>
          <w:rFonts w:hint="default" w:ascii="方正小标宋简体" w:hAnsi="方正小标宋简体" w:eastAsia="方正小标宋简体" w:cs="方正小标宋简体"/>
          <w:i w:val="0"/>
          <w:iCs w:val="0"/>
          <w:caps w:val="0"/>
          <w:color w:val="333333"/>
          <w:spacing w:val="0"/>
          <w:sz w:val="44"/>
          <w:szCs w:val="44"/>
          <w:bdr w:val="none" w:color="auto" w:sz="0" w:space="0"/>
          <w:shd w:val="clear" w:fill="FFFFFF"/>
        </w:rPr>
        <w:t>长沙市2021年政府信息公开工作年度报告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textAlignment w:val="center"/>
        <w:rPr>
          <w:rFonts w:hint="default" w:ascii="Helvetica" w:hAnsi="Helvetica" w:eastAsia="Helvetica" w:cs="Helvetica"/>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34"/>
        <w:jc w:val="both"/>
        <w:textAlignment w:val="center"/>
        <w:rPr>
          <w:rFonts w:hint="default" w:ascii="Helvetica" w:hAnsi="Helvetica" w:eastAsia="Helvetica" w:cs="Helvetica"/>
          <w:i w:val="0"/>
          <w:iCs w:val="0"/>
          <w:caps w:val="0"/>
          <w:color w:val="333333"/>
          <w:spacing w:val="0"/>
          <w:sz w:val="24"/>
          <w:szCs w:val="24"/>
        </w:rPr>
      </w:pPr>
      <w:r>
        <w:rPr>
          <w:rFonts w:ascii="仿宋_GB2312" w:hAnsi="宋体" w:eastAsia="仿宋_GB2312" w:cs="仿宋_GB2312"/>
          <w:i w:val="0"/>
          <w:iCs w:val="0"/>
          <w:caps w:val="0"/>
          <w:color w:val="000000"/>
          <w:spacing w:val="0"/>
          <w:sz w:val="32"/>
          <w:szCs w:val="32"/>
          <w:bdr w:val="none" w:color="auto" w:sz="0" w:space="0"/>
          <w:shd w:val="clear" w:fill="FFFFFF"/>
        </w:rPr>
        <w:t>本报告根据《中华人民共和国政府信息公开条例》（国务院令第</w:t>
      </w:r>
      <w:r>
        <w:rPr>
          <w:rFonts w:hint="default" w:ascii="仿宋_GB2312" w:hAnsi="宋体" w:eastAsia="仿宋_GB2312" w:cs="仿宋_GB2312"/>
          <w:i w:val="0"/>
          <w:iCs w:val="0"/>
          <w:caps w:val="0"/>
          <w:color w:val="333333"/>
          <w:spacing w:val="0"/>
          <w:sz w:val="32"/>
          <w:szCs w:val="32"/>
          <w:bdr w:val="none" w:color="auto" w:sz="0" w:space="0"/>
          <w:shd w:val="clear" w:fill="FFFFFF"/>
        </w:rPr>
        <w:t>711号）（以下简称</w:t>
      </w:r>
      <w:r>
        <w:rPr>
          <w:rFonts w:hint="default" w:ascii="仿宋_GB2312" w:hAnsi="宋体" w:eastAsia="仿宋_GB2312" w:cs="仿宋_GB2312"/>
          <w:i w:val="0"/>
          <w:iCs w:val="0"/>
          <w:caps w:val="0"/>
          <w:color w:val="000000"/>
          <w:spacing w:val="0"/>
          <w:sz w:val="32"/>
          <w:szCs w:val="32"/>
          <w:bdr w:val="none" w:color="auto" w:sz="0" w:space="0"/>
          <w:shd w:val="clear" w:fill="FFFFFF"/>
        </w:rPr>
        <w:t>《条例》）和《国务院办公厅政府信息与政务公开办公室关于印发</w:t>
      </w:r>
      <w:r>
        <w:rPr>
          <w:rFonts w:hint="default" w:ascii="仿宋_GB2312" w:hAnsi="Helvetica" w:eastAsia="仿宋_GB2312" w:cs="仿宋_GB2312"/>
          <w:i w:val="0"/>
          <w:iCs w:val="0"/>
          <w:caps w:val="0"/>
          <w:color w:val="000000"/>
          <w:spacing w:val="0"/>
          <w:sz w:val="32"/>
          <w:szCs w:val="32"/>
          <w:bdr w:val="none" w:color="auto" w:sz="0" w:space="0"/>
          <w:shd w:val="clear" w:fill="FFFFFF"/>
        </w:rPr>
        <w:t>&lt;</w:t>
      </w:r>
      <w:r>
        <w:rPr>
          <w:rFonts w:hint="default" w:ascii="仿宋_GB2312" w:hAnsi="Helvetica" w:eastAsia="仿宋_GB2312" w:cs="仿宋_GB2312"/>
          <w:i w:val="0"/>
          <w:iCs w:val="0"/>
          <w:caps w:val="0"/>
          <w:color w:val="333333"/>
          <w:spacing w:val="0"/>
          <w:sz w:val="32"/>
          <w:szCs w:val="32"/>
          <w:bdr w:val="none" w:color="auto" w:sz="0" w:space="0"/>
          <w:shd w:val="clear" w:fill="FFFFFF"/>
        </w:rPr>
        <w:t>中华人民共和国政府信息公开工作年度报告格式&gt;的通知》（国办公开办函﹝2021﹞30</w:t>
      </w:r>
      <w:r>
        <w:rPr>
          <w:rFonts w:hint="default" w:ascii="仿宋_GB2312" w:hAnsi="宋体" w:eastAsia="仿宋_GB2312" w:cs="仿宋_GB2312"/>
          <w:i w:val="0"/>
          <w:iCs w:val="0"/>
          <w:caps w:val="0"/>
          <w:color w:val="333333"/>
          <w:spacing w:val="0"/>
          <w:sz w:val="32"/>
          <w:szCs w:val="32"/>
          <w:bdr w:val="none" w:color="auto" w:sz="0" w:space="0"/>
          <w:shd w:val="clear" w:fill="FFFFFF"/>
        </w:rPr>
        <w:t>号）</w:t>
      </w:r>
      <w:r>
        <w:rPr>
          <w:rFonts w:hint="default" w:ascii="仿宋_GB2312" w:hAnsi="宋体" w:eastAsia="仿宋_GB2312" w:cs="仿宋_GB2312"/>
          <w:i w:val="0"/>
          <w:iCs w:val="0"/>
          <w:caps w:val="0"/>
          <w:color w:val="000000"/>
          <w:spacing w:val="0"/>
          <w:sz w:val="32"/>
          <w:szCs w:val="32"/>
          <w:bdr w:val="none" w:color="auto" w:sz="0" w:space="0"/>
          <w:shd w:val="clear" w:fill="FFFFFF"/>
        </w:rPr>
        <w:t>等文件要求编制，全文包括总体情况、主动公开政府信息情况、收到和处理政府信息公开申请情况、政府信息公开行政复议和行政诉讼情况、存在的主要问题及改进情况、其他需要报告的事项六个部分组成。</w:t>
      </w:r>
      <w:r>
        <w:rPr>
          <w:rFonts w:hint="default" w:ascii="仿宋_GB2312" w:hAnsi="Helvetica" w:eastAsia="仿宋_GB2312" w:cs="仿宋_GB2312"/>
          <w:i w:val="0"/>
          <w:iCs w:val="0"/>
          <w:caps w:val="0"/>
          <w:color w:val="000000"/>
          <w:spacing w:val="0"/>
          <w:sz w:val="32"/>
          <w:szCs w:val="32"/>
          <w:bdr w:val="none" w:color="auto" w:sz="0" w:space="0"/>
          <w:shd w:val="clear" w:fill="FFFFFF"/>
        </w:rPr>
        <w:t>本年度报告电子版可从长沙市人民政府门户网站（http://www.changsha.gov.cn/zfxxgk/zfxxgknb/szfnb/）下载。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30"/>
        <w:textAlignment w:val="center"/>
        <w:rPr>
          <w:rFonts w:hint="default" w:ascii="Helvetica" w:hAnsi="Helvetica" w:eastAsia="Helvetica" w:cs="Helvetica"/>
          <w:i w:val="0"/>
          <w:iCs w:val="0"/>
          <w:caps w:val="0"/>
          <w:color w:val="333333"/>
          <w:spacing w:val="0"/>
          <w:sz w:val="31"/>
          <w:szCs w:val="31"/>
        </w:rPr>
      </w:pPr>
      <w:r>
        <w:rPr>
          <w:rFonts w:ascii="黑体" w:hAnsi="宋体" w:eastAsia="黑体" w:cs="黑体"/>
          <w:i w:val="0"/>
          <w:iCs w:val="0"/>
          <w:caps w:val="0"/>
          <w:color w:val="333333"/>
          <w:spacing w:val="0"/>
          <w:sz w:val="31"/>
          <w:szCs w:val="31"/>
          <w:bdr w:val="none" w:color="auto" w:sz="0" w:space="0"/>
          <w:shd w:val="clear" w:fill="FFFFFF"/>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30"/>
        <w:textAlignment w:val="center"/>
        <w:rPr>
          <w:rFonts w:hint="default" w:ascii="Helvetica" w:hAnsi="Helvetica" w:eastAsia="Helvetica" w:cs="Helvetica"/>
          <w:i w:val="0"/>
          <w:iCs w:val="0"/>
          <w:caps w:val="0"/>
          <w:color w:val="333333"/>
          <w:spacing w:val="0"/>
          <w:sz w:val="24"/>
          <w:szCs w:val="24"/>
        </w:rPr>
      </w:pPr>
      <w:r>
        <w:rPr>
          <w:rFonts w:hint="default" w:ascii="仿宋_GB2312" w:hAnsi="Helvetica" w:eastAsia="仿宋_GB2312" w:cs="仿宋_GB2312"/>
          <w:i w:val="0"/>
          <w:iCs w:val="0"/>
          <w:caps w:val="0"/>
          <w:color w:val="000000"/>
          <w:spacing w:val="0"/>
          <w:sz w:val="32"/>
          <w:szCs w:val="32"/>
          <w:bdr w:val="none" w:color="auto" w:sz="0" w:space="0"/>
          <w:shd w:val="clear" w:fill="FFFFFF"/>
        </w:rPr>
        <w:t>（一）强化政府信息集成发布。一是做优做强政府信息第一公开平台——市政府门户网站。在各级各部门网站规范“政务公开”栏目页面布局，优化“政府信息公开”栏目设置，升级“长沙基层政务公开”专栏、搭建“2021政务公开工作要点”专栏，新建“长沙市政府规章库”，以视频、图片、文字等多种方式全面、及时、准确公开政府信息，2021年，共主动公开政务信息4850条，通过门户网站信息公开目录发布信息639条，“中国长沙”微信公众号推送信息288条，政务微博发布信息3051条。二是加大主动公开力度。根据《条例》，将规划信息、统计信息、行政许可、行政处罚、预算决算、收费项目、政府采购、重大项目、重大民生信息等15大类法定主动公开政府信息及时、准确分类发布，让专栏更“专”。制定下发了《长沙市2021年政务公开工作要点》（长政务公开办发〔2021〕4号），明确全年工作重点。建设“十四五”规划专题专栏，主动公开本地区“十四五” 规划和专项规划、空间规划、区域规划、历史规划等信息。三是拓宽“互联网+”政务公开渠道。在发挥政府网站信息公开第一平台作用的同时，积极拓展公开渠道，通过政府公报、新闻发布会、政务新媒体等多种渠道发布政务信息，以适应不同情况、满足不同群体的需求。重点构建集政务服务、公共服务、社会服务于一体的移动APP——我的长沙，集中公开疫情防控、民生保障、交通出行、医疗健康、人才教育、住房服务、生活服务、企业服务等各类政府信息，实现了“我要看”和“我要办”的无缝联接，目前已有注册用户超600万，让“指尖上的政务公开”深入人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textAlignment w:val="center"/>
        <w:rPr>
          <w:rFonts w:hint="default" w:ascii="Helvetica" w:hAnsi="Helvetica" w:eastAsia="Helvetica" w:cs="Helvetica"/>
          <w:i w:val="0"/>
          <w:iCs w:val="0"/>
          <w:caps w:val="0"/>
          <w:color w:val="333333"/>
          <w:spacing w:val="0"/>
          <w:sz w:val="24"/>
          <w:szCs w:val="24"/>
        </w:rPr>
      </w:pPr>
      <w:r>
        <w:rPr>
          <w:rFonts w:hint="default" w:ascii="仿宋_GB2312" w:hAnsi="Helvetica" w:eastAsia="仿宋_GB2312" w:cs="仿宋_GB2312"/>
          <w:i w:val="0"/>
          <w:iCs w:val="0"/>
          <w:caps w:val="0"/>
          <w:color w:val="000000"/>
          <w:spacing w:val="0"/>
          <w:sz w:val="32"/>
          <w:szCs w:val="32"/>
          <w:bdr w:val="none" w:color="auto" w:sz="0" w:space="0"/>
          <w:shd w:val="clear" w:fill="FFFFFF"/>
        </w:rPr>
        <w:t>（二）提质依申请公开办理。一是规范全市政府信息依申请公开办理机制和流程，压实了部门依申请公开答复、引发的行政复议、诉讼应诉的主体责任。二是优化升级“政府信息依申请公开平台”，以数字化助力提升政府信息依申请公开实效，会同市数据资源局在政府门户网开放统一入口便于公众提交政府信息公开申请，加快推进政府信息依申请公开网上办理全流转，市本级、区县（市）、园区申请数据全汇集，线上线下申请件全覆盖，实现全市政府信息依申请公开办理信息化。三是依申请公开件答复纠纷减少。2021年，长沙市共新收政府信息依申请公开件3414件，同比下降5.7%，因政府信息公开答复引发的行政复议、行政诉讼件为168件，同比下降32.5%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textAlignment w:val="center"/>
        <w:rPr>
          <w:rFonts w:hint="default" w:ascii="Helvetica" w:hAnsi="Helvetica" w:eastAsia="Helvetica" w:cs="Helvetica"/>
          <w:i w:val="0"/>
          <w:iCs w:val="0"/>
          <w:caps w:val="0"/>
          <w:color w:val="333333"/>
          <w:spacing w:val="0"/>
          <w:sz w:val="24"/>
          <w:szCs w:val="24"/>
        </w:rPr>
      </w:pPr>
      <w:r>
        <w:rPr>
          <w:rFonts w:hint="default" w:ascii="仿宋_GB2312" w:hAnsi="Helvetica" w:eastAsia="仿宋_GB2312" w:cs="仿宋_GB2312"/>
          <w:i w:val="0"/>
          <w:iCs w:val="0"/>
          <w:caps w:val="0"/>
          <w:color w:val="000000"/>
          <w:spacing w:val="0"/>
          <w:sz w:val="32"/>
          <w:szCs w:val="32"/>
          <w:bdr w:val="none" w:color="auto" w:sz="0" w:space="0"/>
          <w:shd w:val="clear" w:fill="FFFFFF"/>
        </w:rPr>
        <w:t>（三）深入推进基层政务公开标准化规范化。为全面落实国务院、省政府工作要求，制发了《关于进一步加强基层政务公开标准化规范化工作的通知》（长政务公开办发〔2021〕1号），明确了全市基层政务公开工作“七个一”方面的要求。有序完成了全市26个领域基层政务公开事项2021版参考目录，全市基层政务公开线上专栏内容实时更新。各级政务大厅都设立了标准规范的政务公开专区。相关经验做法得到了国务院办公厅、省政府的高度肯定。国务院办公厅《政务公开工作交流》2021年第3期刊发了《湖南省长沙市基层政务公开标准化规范化工作多点落地见效》，时任省政府秘书长王群批示：“很好，望好好总结，全省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textAlignment w:val="center"/>
        <w:rPr>
          <w:rFonts w:hint="default" w:ascii="Helvetica" w:hAnsi="Helvetica" w:eastAsia="Helvetica" w:cs="Helvetica"/>
          <w:i w:val="0"/>
          <w:iCs w:val="0"/>
          <w:caps w:val="0"/>
          <w:color w:val="333333"/>
          <w:spacing w:val="0"/>
          <w:sz w:val="24"/>
          <w:szCs w:val="24"/>
        </w:rPr>
      </w:pPr>
      <w:r>
        <w:rPr>
          <w:rFonts w:hint="default" w:ascii="仿宋_GB2312" w:hAnsi="Helvetica" w:eastAsia="仿宋_GB2312" w:cs="仿宋_GB2312"/>
          <w:i w:val="0"/>
          <w:iCs w:val="0"/>
          <w:caps w:val="0"/>
          <w:color w:val="000000"/>
          <w:spacing w:val="0"/>
          <w:sz w:val="32"/>
          <w:szCs w:val="32"/>
          <w:bdr w:val="none" w:color="auto" w:sz="0" w:space="0"/>
          <w:shd w:val="clear" w:fill="FFFFFF"/>
        </w:rPr>
        <w:t>（四）切实加强政务公开监督评价。一是定期开展政务公开业务培训。每年组织开展全市政府信息依申请公开业务培训，提升全市各级各部门业务办理能力和政务公开平台使用效率。对各级各部门网站法定主动公开内容进行每日巡检，及时在工作交流群进行通报，限时整改。二是按时编制发布长沙市政府信息公开年度报告。对40个市直行政机关及9个区县（市）政府的政府信息公开工作年度报告进行收集、审核、汇总，在市政府门户网站政府信息公开年报专栏向社会公示，同时督促各区县（市）、行政机关依法依规完成年报的发布工作。三是加大政策解读回应关切。会同市数据资源局重点围绕营商环境、项目建设和民生事项等重要文件，以及市政府常务会议等重要会议，通过音频、视频、图解等多种方式展开解读，让政策以人民看得懂的方式施行。对相关部门未及时发布解读材料的，要求限期解读到位，实现一政策多解读。四是加大考核评估力度。为进一步提升全市政务公开工作水平，结合2020年全国政务公开第三方评估指标，我市制定了《政务公开评估规范》省级地方标准，积极为全省乃至全国政务公开评估工作探索经验。为运用好省级评估标准，申请专项经费，组织开展了首次全市政务公开第三方评估，营造以评促建，以评促改，以评促管的政务公开良好风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textAlignment w:val="center"/>
        <w:rPr>
          <w:rFonts w:hint="default" w:ascii="Helvetica" w:hAnsi="Helvetica" w:eastAsia="Helvetica" w:cs="Helvetica"/>
          <w:i w:val="0"/>
          <w:iCs w:val="0"/>
          <w:caps w:val="0"/>
          <w:color w:val="333333"/>
          <w:spacing w:val="0"/>
          <w:sz w:val="24"/>
          <w:szCs w:val="24"/>
        </w:rPr>
      </w:pPr>
      <w:r>
        <w:rPr>
          <w:rFonts w:hint="default" w:ascii="仿宋_GB2312" w:hAnsi="Helvetica" w:eastAsia="仿宋_GB2312" w:cs="仿宋_GB2312"/>
          <w:i w:val="0"/>
          <w:iCs w:val="0"/>
          <w:caps w:val="0"/>
          <w:color w:val="000000"/>
          <w:spacing w:val="0"/>
          <w:sz w:val="32"/>
          <w:szCs w:val="32"/>
          <w:bdr w:val="none" w:color="auto" w:sz="0" w:space="0"/>
          <w:shd w:val="clear" w:fill="FFFFFF"/>
        </w:rPr>
        <w:t>（五）高效提升人民获取政府信息便利度。一是设立线上线下政务公开窗口。根据国务院、湖南省人民政府关于加强政务公开窗口建设的文件要求，制定下发了《关于印发&lt;长沙市政务公开窗口建设方案&gt;的通知》(长政务公开发〔2021〕1号)，依托市12345政务热线设立“12345-1”线上政务公开话席，提供政策咨询服务“一号答”服务。市、各区县（市）、园区及乡镇（街道）政务服务大厅根据实际需要设立线下政务公开窗口，统一标识，统一标准，提供“一站式”政府信息查询、信息公开申请、政策咨询等服务。二是建设试运行长沙市政策问答平台。为更好满足企业和群众对政策信息咨询问答需求，建设试运行全省首个市级互动政策问答平台，构建长沙政策“百度”，汇集全市各级各部门共计18695条政策文件数据，提供5255条企业群众常见问题答案查询，让政策“找得到”，问答“看得懂”，服务“办得了”。开放市政府门户网、我的长沙app等入口便于企业群众自行查阅，实现政策咨询服务“一键查”。三是规范建设“政务公开”专栏。为进一步规范全市各级各部门网站“政务公开”栏目设置，制定下发了《关于规范“政务公开”栏目的通知》，要求各级各部门统一规范栏目名称设置和内容发布。制定下发《长沙市人民政府办公厅关于印发&lt;长沙市推进政务公开标准化规范化便利化实施意见&gt;的通知》（长政办发〔2021〕56号），高标准、高要求推进政务公开“三化”工作，不断提升人民群众获取政府信息的便捷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textAlignment w:val="center"/>
        <w:rPr>
          <w:rFonts w:hint="default" w:ascii="Helvetica" w:hAnsi="Helvetica" w:eastAsia="Helvetica" w:cs="Helvetica"/>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二、主动公开政府信息情况</w:t>
      </w:r>
    </w:p>
    <w:tbl>
      <w:tblPr>
        <w:tblW w:w="946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250"/>
        <w:gridCol w:w="2281"/>
        <w:gridCol w:w="2265"/>
        <w:gridCol w:w="266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0" w:hRule="atLeast"/>
          <w:jc w:val="center"/>
        </w:trPr>
        <w:tc>
          <w:tcPr>
            <w:tcW w:w="9150" w:type="dxa"/>
            <w:gridSpan w:val="4"/>
            <w:tcBorders>
              <w:top w:val="outset" w:color="auto" w:sz="6" w:space="0"/>
              <w:left w:val="outset" w:color="auto" w:sz="6" w:space="0"/>
              <w:bottom w:val="outset" w:color="auto" w:sz="6" w:space="0"/>
              <w:right w:val="outset" w:color="auto" w:sz="6" w:space="0"/>
            </w:tcBorders>
            <w:shd w:val="clear" w:color="auto" w:fill="C6D9F1"/>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4"/>
                <w:szCs w:val="24"/>
                <w:bdr w:val="none" w:color="auto" w:sz="0" w:space="0"/>
              </w:rPr>
              <w:t>第二十条第（一）项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45" w:hRule="atLeast"/>
          <w:jc w:val="center"/>
        </w:trPr>
        <w:tc>
          <w:tcPr>
            <w:tcW w:w="2175" w:type="dxa"/>
            <w:tcBorders>
              <w:top w:val="nil"/>
              <w:left w:val="single" w:color="000000" w:sz="6" w:space="0"/>
              <w:bottom w:val="single" w:color="000000" w:sz="6" w:space="0"/>
              <w:right w:val="single" w:color="000000" w:sz="6" w:space="0"/>
            </w:tcBorders>
            <w:shd w:val="clear"/>
            <w:tcMar>
              <w:left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4"/>
                <w:szCs w:val="24"/>
                <w:bdr w:val="none" w:color="auto" w:sz="0" w:space="0"/>
              </w:rPr>
              <w:t>信息内容</w:t>
            </w:r>
          </w:p>
        </w:tc>
        <w:tc>
          <w:tcPr>
            <w:tcW w:w="2205" w:type="dxa"/>
            <w:tcBorders>
              <w:top w:val="single" w:color="000000" w:sz="6" w:space="0"/>
              <w:left w:val="nil"/>
              <w:bottom w:val="single" w:color="000000" w:sz="6" w:space="0"/>
              <w:right w:val="single" w:color="000000" w:sz="6" w:space="0"/>
            </w:tcBorders>
            <w:shd w:val="clear"/>
            <w:tcMar>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4"/>
                <w:szCs w:val="24"/>
                <w:bdr w:val="none" w:color="auto" w:sz="0" w:space="0"/>
              </w:rPr>
              <w:t>本年制发件数</w:t>
            </w:r>
          </w:p>
        </w:tc>
        <w:tc>
          <w:tcPr>
            <w:tcW w:w="2190" w:type="dxa"/>
            <w:tcBorders>
              <w:top w:val="single" w:color="000000" w:sz="6" w:space="0"/>
              <w:left w:val="nil"/>
              <w:bottom w:val="single" w:color="000000" w:sz="6" w:space="0"/>
              <w:right w:val="single" w:color="000000" w:sz="6" w:space="0"/>
            </w:tcBorders>
            <w:shd w:val="clear"/>
            <w:tcMar>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4"/>
                <w:szCs w:val="24"/>
                <w:bdr w:val="none" w:color="auto" w:sz="0" w:space="0"/>
              </w:rPr>
              <w:t>本年废止件数</w:t>
            </w:r>
          </w:p>
        </w:tc>
        <w:tc>
          <w:tcPr>
            <w:tcW w:w="2220" w:type="dxa"/>
            <w:tcBorders>
              <w:top w:val="single" w:color="000000" w:sz="6" w:space="0"/>
              <w:left w:val="nil"/>
              <w:bottom w:val="single" w:color="000000" w:sz="6" w:space="0"/>
              <w:right w:val="single" w:color="000000" w:sz="6" w:space="0"/>
            </w:tcBorders>
            <w:shd w:val="clear"/>
            <w:tcMar>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4"/>
                <w:szCs w:val="24"/>
                <w:bdr w:val="none" w:color="auto" w:sz="0" w:space="0"/>
              </w:rPr>
              <w:t>现行有效件数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20" w:hRule="atLeast"/>
          <w:jc w:val="center"/>
        </w:trPr>
        <w:tc>
          <w:tcPr>
            <w:tcW w:w="2175" w:type="dxa"/>
            <w:tcBorders>
              <w:top w:val="nil"/>
              <w:left w:val="single" w:color="000000" w:sz="6" w:space="0"/>
              <w:bottom w:val="single" w:color="000000" w:sz="6" w:space="0"/>
              <w:right w:val="single" w:color="000000" w:sz="6" w:space="0"/>
            </w:tcBorders>
            <w:shd w:val="clear"/>
            <w:tcMar>
              <w:left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4"/>
                <w:szCs w:val="24"/>
                <w:bdr w:val="none" w:color="auto" w:sz="0" w:space="0"/>
              </w:rPr>
              <w:t>规章</w:t>
            </w:r>
          </w:p>
        </w:tc>
        <w:tc>
          <w:tcPr>
            <w:tcW w:w="2205" w:type="dxa"/>
            <w:tcBorders>
              <w:top w:val="nil"/>
              <w:left w:val="nil"/>
              <w:bottom w:val="single" w:color="000000" w:sz="6" w:space="0"/>
              <w:right w:val="single" w:color="000000" w:sz="6" w:space="0"/>
            </w:tcBorders>
            <w:shd w:val="clear"/>
            <w:tcMar>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19"/>
                <w:szCs w:val="19"/>
              </w:rPr>
            </w:pPr>
            <w:r>
              <w:rPr>
                <w:rFonts w:hint="default" w:ascii="仿宋_GB2312" w:eastAsia="仿宋_GB2312" w:cs="仿宋_GB2312"/>
                <w:color w:val="000000"/>
                <w:sz w:val="24"/>
                <w:szCs w:val="24"/>
                <w:bdr w:val="none" w:color="auto" w:sz="0" w:space="0"/>
              </w:rPr>
              <w:t>1</w:t>
            </w:r>
          </w:p>
        </w:tc>
        <w:tc>
          <w:tcPr>
            <w:tcW w:w="2190" w:type="dxa"/>
            <w:tcBorders>
              <w:top w:val="nil"/>
              <w:left w:val="nil"/>
              <w:bottom w:val="single" w:color="000000" w:sz="6" w:space="0"/>
              <w:right w:val="single" w:color="000000" w:sz="6" w:space="0"/>
            </w:tcBorders>
            <w:shd w:val="clear"/>
            <w:tcMar>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19"/>
                <w:szCs w:val="19"/>
              </w:rPr>
            </w:pPr>
            <w:r>
              <w:rPr>
                <w:rFonts w:hint="default" w:ascii="仿宋_GB2312" w:eastAsia="仿宋_GB2312" w:cs="仿宋_GB2312"/>
                <w:color w:val="000000"/>
                <w:sz w:val="24"/>
                <w:szCs w:val="24"/>
                <w:bdr w:val="none" w:color="auto" w:sz="0" w:space="0"/>
              </w:rPr>
              <w:t>5</w:t>
            </w:r>
          </w:p>
        </w:tc>
        <w:tc>
          <w:tcPr>
            <w:tcW w:w="2220" w:type="dxa"/>
            <w:tcBorders>
              <w:top w:val="nil"/>
              <w:left w:val="nil"/>
              <w:bottom w:val="single" w:color="000000" w:sz="6" w:space="0"/>
              <w:right w:val="single" w:color="000000" w:sz="6" w:space="0"/>
            </w:tcBorders>
            <w:shd w:val="clear"/>
            <w:tcMar>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19"/>
                <w:szCs w:val="19"/>
              </w:rPr>
            </w:pPr>
            <w:r>
              <w:rPr>
                <w:rFonts w:hint="default" w:ascii="仿宋_GB2312" w:eastAsia="仿宋_GB2312" w:cs="仿宋_GB2312"/>
                <w:color w:val="000000"/>
                <w:sz w:val="24"/>
                <w:szCs w:val="24"/>
                <w:bdr w:val="none" w:color="auto" w:sz="0" w:space="0"/>
              </w:rPr>
              <w:t>30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35" w:hRule="atLeast"/>
          <w:jc w:val="center"/>
        </w:trPr>
        <w:tc>
          <w:tcPr>
            <w:tcW w:w="2175" w:type="dxa"/>
            <w:tcBorders>
              <w:top w:val="nil"/>
              <w:left w:val="single" w:color="000000" w:sz="6" w:space="0"/>
              <w:bottom w:val="single" w:color="000000" w:sz="6" w:space="0"/>
              <w:right w:val="single" w:color="000000" w:sz="6" w:space="0"/>
            </w:tcBorders>
            <w:shd w:val="clear"/>
            <w:tcMar>
              <w:left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4"/>
                <w:szCs w:val="24"/>
                <w:bdr w:val="none" w:color="auto" w:sz="0" w:space="0"/>
              </w:rPr>
              <w:t>行政规范性文件</w:t>
            </w:r>
          </w:p>
        </w:tc>
        <w:tc>
          <w:tcPr>
            <w:tcW w:w="2205" w:type="dxa"/>
            <w:tcBorders>
              <w:top w:val="nil"/>
              <w:left w:val="nil"/>
              <w:bottom w:val="single" w:color="000000" w:sz="6" w:space="0"/>
              <w:right w:val="single" w:color="000000" w:sz="6" w:space="0"/>
            </w:tcBorders>
            <w:shd w:val="clear"/>
            <w:tcMar>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19"/>
                <w:szCs w:val="19"/>
              </w:rPr>
            </w:pPr>
            <w:r>
              <w:rPr>
                <w:rFonts w:hint="default" w:ascii="仿宋_GB2312" w:eastAsia="仿宋_GB2312" w:cs="仿宋_GB2312"/>
                <w:color w:val="000000"/>
                <w:sz w:val="24"/>
                <w:szCs w:val="24"/>
                <w:bdr w:val="none" w:color="auto" w:sz="0" w:space="0"/>
              </w:rPr>
              <w:t>235</w:t>
            </w:r>
          </w:p>
        </w:tc>
        <w:tc>
          <w:tcPr>
            <w:tcW w:w="2190" w:type="dxa"/>
            <w:tcBorders>
              <w:top w:val="nil"/>
              <w:left w:val="nil"/>
              <w:bottom w:val="single" w:color="000000" w:sz="6" w:space="0"/>
              <w:right w:val="single" w:color="000000" w:sz="6" w:space="0"/>
            </w:tcBorders>
            <w:shd w:val="clear"/>
            <w:tcMar>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19"/>
                <w:szCs w:val="19"/>
              </w:rPr>
            </w:pPr>
            <w:r>
              <w:rPr>
                <w:rFonts w:hint="default" w:ascii="仿宋_GB2312" w:eastAsia="仿宋_GB2312" w:cs="仿宋_GB2312"/>
                <w:color w:val="000000"/>
                <w:sz w:val="24"/>
                <w:szCs w:val="24"/>
                <w:bdr w:val="none" w:color="auto" w:sz="0" w:space="0"/>
              </w:rPr>
              <w:t>10</w:t>
            </w:r>
          </w:p>
        </w:tc>
        <w:tc>
          <w:tcPr>
            <w:tcW w:w="2220" w:type="dxa"/>
            <w:tcBorders>
              <w:top w:val="nil"/>
              <w:left w:val="nil"/>
              <w:bottom w:val="single" w:color="000000" w:sz="6" w:space="0"/>
              <w:right w:val="single" w:color="000000" w:sz="6" w:space="0"/>
            </w:tcBorders>
            <w:shd w:val="clear"/>
            <w:tcMar>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19"/>
                <w:szCs w:val="19"/>
              </w:rPr>
            </w:pPr>
            <w:r>
              <w:rPr>
                <w:rFonts w:hint="default" w:ascii="仿宋_GB2312" w:eastAsia="仿宋_GB2312" w:cs="仿宋_GB2312"/>
                <w:color w:val="000000"/>
                <w:sz w:val="24"/>
                <w:szCs w:val="24"/>
                <w:bdr w:val="none" w:color="auto" w:sz="0" w:space="0"/>
              </w:rPr>
              <w:t>831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45" w:hRule="atLeast"/>
          <w:jc w:val="center"/>
        </w:trPr>
        <w:tc>
          <w:tcPr>
            <w:tcW w:w="9150" w:type="dxa"/>
            <w:gridSpan w:val="4"/>
            <w:tcBorders>
              <w:top w:val="outset" w:color="auto" w:sz="6" w:space="0"/>
              <w:left w:val="outset" w:color="auto" w:sz="6" w:space="0"/>
              <w:bottom w:val="outset" w:color="auto" w:sz="6" w:space="0"/>
              <w:right w:val="outset" w:color="auto" w:sz="6" w:space="0"/>
            </w:tcBorders>
            <w:shd w:val="clear" w:color="auto" w:fill="C6D9F1"/>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4"/>
                <w:szCs w:val="24"/>
                <w:bdr w:val="none" w:color="auto" w:sz="0" w:space="0"/>
              </w:rPr>
              <w:t>第二十条第（五）项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0" w:hRule="atLeast"/>
          <w:jc w:val="center"/>
        </w:trPr>
        <w:tc>
          <w:tcPr>
            <w:tcW w:w="2175" w:type="dxa"/>
            <w:tcBorders>
              <w:top w:val="nil"/>
              <w:left w:val="single" w:color="000000" w:sz="6" w:space="0"/>
              <w:bottom w:val="single" w:color="000000" w:sz="6" w:space="0"/>
              <w:right w:val="single" w:color="000000" w:sz="6" w:space="0"/>
            </w:tcBorders>
            <w:shd w:val="clear"/>
            <w:tcMar>
              <w:left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4"/>
                <w:szCs w:val="24"/>
                <w:bdr w:val="none" w:color="auto" w:sz="0" w:space="0"/>
              </w:rPr>
              <w:t>信息内容</w:t>
            </w:r>
          </w:p>
        </w:tc>
        <w:tc>
          <w:tcPr>
            <w:tcW w:w="6855" w:type="dxa"/>
            <w:gridSpan w:val="3"/>
            <w:tcBorders>
              <w:top w:val="nil"/>
              <w:left w:val="nil"/>
              <w:bottom w:val="single" w:color="000000" w:sz="6" w:space="0"/>
              <w:right w:val="single" w:color="000000" w:sz="6" w:space="0"/>
            </w:tcBorders>
            <w:shd w:val="clear"/>
            <w:tcMar>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4"/>
                <w:szCs w:val="24"/>
                <w:bdr w:val="none" w:color="auto" w:sz="0" w:space="0"/>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45" w:hRule="atLeast"/>
          <w:jc w:val="center"/>
        </w:trPr>
        <w:tc>
          <w:tcPr>
            <w:tcW w:w="2175" w:type="dxa"/>
            <w:tcBorders>
              <w:top w:val="nil"/>
              <w:left w:val="single" w:color="000000" w:sz="6" w:space="0"/>
              <w:bottom w:val="single" w:color="000000" w:sz="6" w:space="0"/>
              <w:right w:val="single" w:color="000000" w:sz="6" w:space="0"/>
            </w:tcBorders>
            <w:shd w:val="clear"/>
            <w:tcMar>
              <w:left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4"/>
                <w:szCs w:val="24"/>
                <w:bdr w:val="none" w:color="auto" w:sz="0" w:space="0"/>
              </w:rPr>
              <w:t>行政许可</w:t>
            </w:r>
          </w:p>
        </w:tc>
        <w:tc>
          <w:tcPr>
            <w:tcW w:w="6855" w:type="dxa"/>
            <w:gridSpan w:val="3"/>
            <w:tcBorders>
              <w:top w:val="nil"/>
              <w:left w:val="nil"/>
              <w:bottom w:val="single" w:color="000000" w:sz="6" w:space="0"/>
              <w:right w:val="single" w:color="000000" w:sz="6" w:space="0"/>
            </w:tcBorders>
            <w:shd w:val="clear"/>
            <w:tcMar>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19"/>
                <w:szCs w:val="19"/>
              </w:rPr>
            </w:pPr>
            <w:r>
              <w:rPr>
                <w:rFonts w:hint="default" w:ascii="仿宋_GB2312" w:eastAsia="仿宋_GB2312" w:cs="仿宋_GB2312"/>
                <w:color w:val="000000"/>
                <w:sz w:val="24"/>
                <w:szCs w:val="24"/>
                <w:bdr w:val="none" w:color="auto" w:sz="0" w:space="0"/>
              </w:rPr>
              <w:t>1221660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9150" w:type="dxa"/>
            <w:gridSpan w:val="4"/>
            <w:tcBorders>
              <w:top w:val="outset" w:color="auto" w:sz="6" w:space="0"/>
              <w:left w:val="outset" w:color="auto" w:sz="6" w:space="0"/>
              <w:bottom w:val="outset" w:color="auto" w:sz="6" w:space="0"/>
              <w:right w:val="outset" w:color="auto" w:sz="6" w:space="0"/>
            </w:tcBorders>
            <w:shd w:val="clear" w:color="auto" w:fill="C6D9F1"/>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4"/>
                <w:szCs w:val="24"/>
                <w:bdr w:val="none" w:color="auto" w:sz="0" w:space="0"/>
              </w:rPr>
              <w:t>第二十条第（六）项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175" w:type="dxa"/>
            <w:tcBorders>
              <w:top w:val="nil"/>
              <w:left w:val="single" w:color="000000" w:sz="6" w:space="0"/>
              <w:bottom w:val="single" w:color="000000" w:sz="6" w:space="0"/>
              <w:right w:val="single" w:color="000000" w:sz="6" w:space="0"/>
            </w:tcBorders>
            <w:shd w:val="clear"/>
            <w:tcMar>
              <w:left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4"/>
                <w:szCs w:val="24"/>
                <w:bdr w:val="none" w:color="auto" w:sz="0" w:space="0"/>
              </w:rPr>
              <w:t>信息内容</w:t>
            </w:r>
          </w:p>
        </w:tc>
        <w:tc>
          <w:tcPr>
            <w:tcW w:w="6855" w:type="dxa"/>
            <w:gridSpan w:val="3"/>
            <w:tcBorders>
              <w:top w:val="single" w:color="000000" w:sz="6" w:space="0"/>
              <w:left w:val="nil"/>
              <w:bottom w:val="single" w:color="000000" w:sz="6" w:space="0"/>
              <w:right w:val="single" w:color="000000" w:sz="6" w:space="0"/>
            </w:tcBorders>
            <w:shd w:val="clear"/>
            <w:tcMar>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4"/>
                <w:szCs w:val="24"/>
                <w:bdr w:val="none" w:color="auto" w:sz="0" w:space="0"/>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2175" w:type="dxa"/>
            <w:tcBorders>
              <w:top w:val="nil"/>
              <w:left w:val="single" w:color="000000" w:sz="6" w:space="0"/>
              <w:bottom w:val="single" w:color="000000" w:sz="6" w:space="0"/>
              <w:right w:val="single" w:color="000000" w:sz="6" w:space="0"/>
            </w:tcBorders>
            <w:shd w:val="clear"/>
            <w:tcMar>
              <w:left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4"/>
                <w:szCs w:val="24"/>
                <w:bdr w:val="none" w:color="auto" w:sz="0" w:space="0"/>
              </w:rPr>
              <w:t>行政处罚</w:t>
            </w:r>
          </w:p>
        </w:tc>
        <w:tc>
          <w:tcPr>
            <w:tcW w:w="6855" w:type="dxa"/>
            <w:gridSpan w:val="3"/>
            <w:tcBorders>
              <w:top w:val="nil"/>
              <w:left w:val="nil"/>
              <w:bottom w:val="single" w:color="000000" w:sz="6" w:space="0"/>
              <w:right w:val="single" w:color="000000" w:sz="6" w:space="0"/>
            </w:tcBorders>
            <w:shd w:val="clear"/>
            <w:tcMar>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19"/>
                <w:szCs w:val="19"/>
              </w:rPr>
            </w:pPr>
            <w:r>
              <w:rPr>
                <w:rFonts w:hint="default" w:ascii="仿宋_GB2312" w:eastAsia="仿宋_GB2312" w:cs="仿宋_GB2312"/>
                <w:color w:val="000000"/>
                <w:sz w:val="24"/>
                <w:szCs w:val="24"/>
                <w:bdr w:val="none" w:color="auto" w:sz="0" w:space="0"/>
              </w:rPr>
              <w:t>996975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175" w:type="dxa"/>
            <w:tcBorders>
              <w:top w:val="nil"/>
              <w:left w:val="single" w:color="000000" w:sz="6" w:space="0"/>
              <w:bottom w:val="single" w:color="000000" w:sz="6" w:space="0"/>
              <w:right w:val="single" w:color="000000" w:sz="6" w:space="0"/>
            </w:tcBorders>
            <w:shd w:val="clear"/>
            <w:tcMar>
              <w:left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4"/>
                <w:szCs w:val="24"/>
                <w:bdr w:val="none" w:color="auto" w:sz="0" w:space="0"/>
              </w:rPr>
              <w:t>行政强制</w:t>
            </w:r>
          </w:p>
        </w:tc>
        <w:tc>
          <w:tcPr>
            <w:tcW w:w="6855" w:type="dxa"/>
            <w:gridSpan w:val="3"/>
            <w:tcBorders>
              <w:top w:val="nil"/>
              <w:left w:val="nil"/>
              <w:bottom w:val="single" w:color="000000" w:sz="6" w:space="0"/>
              <w:right w:val="single" w:color="000000" w:sz="6" w:space="0"/>
            </w:tcBorders>
            <w:shd w:val="clear"/>
            <w:tcMar>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19"/>
                <w:szCs w:val="19"/>
              </w:rPr>
            </w:pPr>
            <w:r>
              <w:rPr>
                <w:rFonts w:hint="default" w:ascii="仿宋_GB2312" w:eastAsia="仿宋_GB2312" w:cs="仿宋_GB2312"/>
                <w:color w:val="000000"/>
                <w:sz w:val="24"/>
                <w:szCs w:val="24"/>
                <w:bdr w:val="none" w:color="auto" w:sz="0" w:space="0"/>
              </w:rPr>
              <w:t>58886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9150" w:type="dxa"/>
            <w:gridSpan w:val="4"/>
            <w:tcBorders>
              <w:top w:val="outset" w:color="auto" w:sz="6" w:space="0"/>
              <w:left w:val="outset" w:color="auto" w:sz="6" w:space="0"/>
              <w:bottom w:val="outset" w:color="auto" w:sz="6" w:space="0"/>
              <w:right w:val="outset" w:color="auto" w:sz="6" w:space="0"/>
            </w:tcBorders>
            <w:shd w:val="clear" w:color="auto" w:fill="C6D9F1"/>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4"/>
                <w:szCs w:val="24"/>
                <w:bdr w:val="none" w:color="auto" w:sz="0" w:space="0"/>
              </w:rPr>
              <w:t>第二十条第（八）项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175" w:type="dxa"/>
            <w:tcBorders>
              <w:top w:val="nil"/>
              <w:left w:val="single" w:color="000000" w:sz="6" w:space="0"/>
              <w:bottom w:val="single" w:color="000000" w:sz="6" w:space="0"/>
              <w:right w:val="single" w:color="000000" w:sz="6" w:space="0"/>
            </w:tcBorders>
            <w:shd w:val="clear"/>
            <w:tcMar>
              <w:left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4"/>
                <w:szCs w:val="24"/>
                <w:bdr w:val="none" w:color="auto" w:sz="0" w:space="0"/>
              </w:rPr>
              <w:t>信息内容</w:t>
            </w:r>
          </w:p>
        </w:tc>
        <w:tc>
          <w:tcPr>
            <w:tcW w:w="6855" w:type="dxa"/>
            <w:gridSpan w:val="3"/>
            <w:tcBorders>
              <w:top w:val="nil"/>
              <w:left w:val="nil"/>
              <w:bottom w:val="single" w:color="000000" w:sz="6" w:space="0"/>
              <w:right w:val="single" w:color="000000" w:sz="6" w:space="0"/>
            </w:tcBorders>
            <w:shd w:val="clear"/>
            <w:tcMar>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4"/>
                <w:szCs w:val="24"/>
                <w:bdr w:val="none" w:color="auto" w:sz="0" w:space="0"/>
              </w:rPr>
              <w:t>本年收费金额（单位：万元）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1" w:hRule="atLeast"/>
          <w:jc w:val="center"/>
        </w:trPr>
        <w:tc>
          <w:tcPr>
            <w:tcW w:w="2175" w:type="dxa"/>
            <w:tcBorders>
              <w:top w:val="nil"/>
              <w:left w:val="single" w:color="000000" w:sz="6" w:space="0"/>
              <w:bottom w:val="single" w:color="000000" w:sz="6" w:space="0"/>
              <w:right w:val="single" w:color="000000" w:sz="6" w:space="0"/>
            </w:tcBorders>
            <w:shd w:val="clear"/>
            <w:tcMar>
              <w:left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4"/>
                <w:szCs w:val="24"/>
                <w:bdr w:val="none" w:color="auto" w:sz="0" w:space="0"/>
              </w:rPr>
              <w:t>行政事业性收费</w:t>
            </w:r>
          </w:p>
        </w:tc>
        <w:tc>
          <w:tcPr>
            <w:tcW w:w="6855" w:type="dxa"/>
            <w:gridSpan w:val="3"/>
            <w:tcBorders>
              <w:top w:val="nil"/>
              <w:left w:val="nil"/>
              <w:bottom w:val="single" w:color="000000" w:sz="6" w:space="0"/>
              <w:right w:val="single" w:color="000000" w:sz="6" w:space="0"/>
            </w:tcBorders>
            <w:shd w:val="clear"/>
            <w:tcMar>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19"/>
                <w:szCs w:val="19"/>
              </w:rPr>
            </w:pPr>
            <w:r>
              <w:rPr>
                <w:rFonts w:hint="default" w:ascii="仿宋_GB2312" w:eastAsia="仿宋_GB2312" w:cs="仿宋_GB2312"/>
                <w:color w:val="000000"/>
                <w:sz w:val="24"/>
                <w:szCs w:val="24"/>
                <w:bdr w:val="none" w:color="auto" w:sz="0" w:space="0"/>
              </w:rPr>
              <w:t>344422</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34"/>
        <w:jc w:val="left"/>
        <w:textAlignment w:val="center"/>
        <w:rPr>
          <w:rFonts w:hint="default" w:ascii="Helvetica" w:hAnsi="Helvetica" w:eastAsia="Helvetica" w:cs="Helvetica"/>
          <w:i w:val="0"/>
          <w:iCs w:val="0"/>
          <w:caps w:val="0"/>
          <w:color w:val="333333"/>
          <w:spacing w:val="0"/>
          <w:sz w:val="24"/>
          <w:szCs w:val="24"/>
        </w:rPr>
      </w:pPr>
      <w:r>
        <w:rPr>
          <w:rFonts w:hint="eastAsia" w:ascii="黑体" w:hAnsi="宋体" w:eastAsia="黑体" w:cs="黑体"/>
          <w:b w:val="0"/>
          <w:bCs w:val="0"/>
          <w:i w:val="0"/>
          <w:iCs w:val="0"/>
          <w:caps w:val="0"/>
          <w:color w:val="000000"/>
          <w:spacing w:val="0"/>
          <w:sz w:val="32"/>
          <w:szCs w:val="32"/>
          <w:bdr w:val="none" w:color="auto" w:sz="0" w:space="0"/>
          <w:shd w:val="clear" w:fill="FFFFFF"/>
        </w:rPr>
        <w:t>三、收到和处理政府信息公开申请情况</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21"/>
        <w:gridCol w:w="883"/>
        <w:gridCol w:w="2476"/>
        <w:gridCol w:w="648"/>
        <w:gridCol w:w="625"/>
        <w:gridCol w:w="596"/>
        <w:gridCol w:w="596"/>
        <w:gridCol w:w="602"/>
        <w:gridCol w:w="638"/>
        <w:gridCol w:w="68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45" w:hRule="atLeast"/>
          <w:jc w:val="center"/>
        </w:trPr>
        <w:tc>
          <w:tcPr>
            <w:tcW w:w="4620" w:type="dxa"/>
            <w:gridSpan w:val="3"/>
            <w:vMerge w:val="restart"/>
            <w:tcBorders>
              <w:top w:val="single" w:color="auto" w:sz="6" w:space="0"/>
              <w:left w:val="single" w:color="auto" w:sz="6" w:space="0"/>
              <w:bottom w:val="inset"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center"/>
              <w:rPr>
                <w:rFonts w:ascii="Calibri" w:hAnsi="Calibri" w:cs="Calibri"/>
                <w:sz w:val="24"/>
                <w:szCs w:val="24"/>
              </w:rPr>
            </w:pPr>
            <w:r>
              <w:rPr>
                <w:rFonts w:hint="default" w:ascii="仿宋_GB2312" w:hAnsi="Calibri" w:eastAsia="仿宋_GB2312" w:cs="仿宋_GB2312"/>
                <w:sz w:val="21"/>
                <w:szCs w:val="21"/>
                <w:bdr w:val="none" w:color="auto" w:sz="0" w:space="0"/>
              </w:rPr>
              <w:t>（本列数据的勾稽关系为：第一项加第二项之和，等于第三项加第四项之和）</w:t>
            </w:r>
          </w:p>
        </w:tc>
        <w:tc>
          <w:tcPr>
            <w:tcW w:w="4680" w:type="dxa"/>
            <w:gridSpan w:val="7"/>
            <w:tcBorders>
              <w:top w:val="single" w:color="auto" w:sz="6" w:space="0"/>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申请人情况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45" w:hRule="atLeast"/>
          <w:jc w:val="center"/>
        </w:trPr>
        <w:tc>
          <w:tcPr>
            <w:tcW w:w="4620" w:type="dxa"/>
            <w:gridSpan w:val="3"/>
            <w:vMerge w:val="continue"/>
            <w:tcBorders>
              <w:top w:val="single" w:color="auto" w:sz="6" w:space="0"/>
              <w:left w:val="single" w:color="auto" w:sz="6" w:space="0"/>
              <w:bottom w:val="inset"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自  然   人</w:t>
            </w:r>
          </w:p>
        </w:tc>
        <w:tc>
          <w:tcPr>
            <w:tcW w:w="3345" w:type="dxa"/>
            <w:gridSpan w:val="5"/>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法人或其他组织</w:t>
            </w:r>
          </w:p>
        </w:tc>
        <w:tc>
          <w:tcPr>
            <w:tcW w:w="675" w:type="dxa"/>
            <w:vMerge w:val="restart"/>
            <w:tcBorders>
              <w:top w:val="nil"/>
              <w:left w:val="nil"/>
              <w:bottom w:val="inset"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05" w:hRule="atLeast"/>
          <w:jc w:val="center"/>
        </w:trPr>
        <w:tc>
          <w:tcPr>
            <w:tcW w:w="4620" w:type="dxa"/>
            <w:gridSpan w:val="3"/>
            <w:vMerge w:val="continue"/>
            <w:tcBorders>
              <w:top w:val="single" w:color="auto" w:sz="6" w:space="0"/>
              <w:left w:val="single" w:color="auto" w:sz="6" w:space="0"/>
              <w:bottom w:val="inset"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tcMar>
              <w:left w:w="60" w:type="dxa"/>
              <w:right w:w="60" w:type="dxa"/>
            </w:tcMar>
            <w:vAlign w:val="center"/>
          </w:tcPr>
          <w:p>
            <w:pPr>
              <w:rPr>
                <w:rFonts w:hint="eastAsia" w:ascii="宋体"/>
                <w:sz w:val="24"/>
                <w:szCs w:val="24"/>
              </w:rPr>
            </w:pP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商业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企业</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科研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机构</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社会公益组织</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法律服务机构</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其他</w:t>
            </w:r>
          </w:p>
        </w:tc>
        <w:tc>
          <w:tcPr>
            <w:tcW w:w="675" w:type="dxa"/>
            <w:vMerge w:val="continue"/>
            <w:tcBorders>
              <w:top w:val="nil"/>
              <w:left w:val="nil"/>
              <w:bottom w:val="inset" w:color="auto" w:sz="6" w:space="0"/>
              <w:right w:val="single" w:color="auto" w:sz="6" w:space="0"/>
            </w:tcBorders>
            <w:shd w:val="clear"/>
            <w:tcMar>
              <w:left w:w="60" w:type="dxa"/>
              <w:right w:w="60"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45" w:hRule="atLeast"/>
          <w:jc w:val="center"/>
        </w:trPr>
        <w:tc>
          <w:tcPr>
            <w:tcW w:w="4620" w:type="dxa"/>
            <w:gridSpan w:val="3"/>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一、本年新收政府信息公开申请数量</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3186</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173</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5</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3</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16</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31</w:t>
            </w:r>
          </w:p>
        </w:tc>
        <w:tc>
          <w:tcPr>
            <w:tcW w:w="675" w:type="dxa"/>
            <w:tcBorders>
              <w:top w:val="single" w:color="auto" w:sz="6" w:space="0"/>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3414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45" w:hRule="atLeast"/>
          <w:jc w:val="center"/>
        </w:trPr>
        <w:tc>
          <w:tcPr>
            <w:tcW w:w="4620" w:type="dxa"/>
            <w:gridSpan w:val="3"/>
            <w:tcBorders>
              <w:top w:val="nil"/>
              <w:left w:val="single" w:color="auto" w:sz="6" w:space="0"/>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二、上年结转政府信息公开申请数量</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126</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126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45" w:hRule="atLeast"/>
          <w:jc w:val="center"/>
        </w:trPr>
        <w:tc>
          <w:tcPr>
            <w:tcW w:w="765" w:type="dxa"/>
            <w:vMerge w:val="restart"/>
            <w:tcBorders>
              <w:top w:val="nil"/>
              <w:left w:val="single" w:color="auto" w:sz="6" w:space="0"/>
              <w:bottom w:val="inset"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三、本年度办理结果</w:t>
            </w:r>
          </w:p>
        </w:tc>
        <w:tc>
          <w:tcPr>
            <w:tcW w:w="3855" w:type="dxa"/>
            <w:gridSpan w:val="2"/>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（一）予以公开</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1397</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97</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5</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1</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14</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20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1534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75" w:hRule="atLeast"/>
          <w:jc w:val="center"/>
        </w:trPr>
        <w:tc>
          <w:tcPr>
            <w:tcW w:w="765" w:type="dxa"/>
            <w:vMerge w:val="continue"/>
            <w:tcBorders>
              <w:top w:val="nil"/>
              <w:left w:val="single" w:color="auto" w:sz="6" w:space="0"/>
              <w:bottom w:val="inset" w:color="auto" w:sz="6" w:space="0"/>
              <w:right w:val="single" w:color="auto" w:sz="6" w:space="0"/>
            </w:tcBorders>
            <w:shd w:val="clear"/>
            <w:tcMar>
              <w:left w:w="60" w:type="dxa"/>
              <w:right w:w="60" w:type="dxa"/>
            </w:tcMar>
            <w:vAlign w:val="center"/>
          </w:tcPr>
          <w:p>
            <w:pPr>
              <w:rPr>
                <w:rFonts w:hint="eastAsia" w:ascii="宋体"/>
                <w:sz w:val="24"/>
                <w:szCs w:val="24"/>
              </w:rPr>
            </w:pPr>
          </w:p>
        </w:tc>
        <w:tc>
          <w:tcPr>
            <w:tcW w:w="3855" w:type="dxa"/>
            <w:gridSpan w:val="2"/>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（二）部分公开（区分处理的，只计这一情形，不计其他情形）</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347</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12</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1</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1</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1</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362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45" w:hRule="atLeast"/>
          <w:jc w:val="center"/>
        </w:trPr>
        <w:tc>
          <w:tcPr>
            <w:tcW w:w="765" w:type="dxa"/>
            <w:vMerge w:val="continue"/>
            <w:tcBorders>
              <w:top w:val="nil"/>
              <w:left w:val="single" w:color="auto" w:sz="6" w:space="0"/>
              <w:bottom w:val="inset" w:color="auto" w:sz="6" w:space="0"/>
              <w:right w:val="single" w:color="auto" w:sz="6" w:space="0"/>
            </w:tcBorders>
            <w:shd w:val="clear"/>
            <w:tcMar>
              <w:left w:w="60" w:type="dxa"/>
              <w:right w:w="60" w:type="dxa"/>
            </w:tcMar>
            <w:vAlign w:val="center"/>
          </w:tcPr>
          <w:p>
            <w:pPr>
              <w:rPr>
                <w:rFonts w:hint="eastAsia" w:ascii="宋体"/>
                <w:sz w:val="24"/>
                <w:szCs w:val="24"/>
              </w:rPr>
            </w:pPr>
          </w:p>
        </w:tc>
        <w:tc>
          <w:tcPr>
            <w:tcW w:w="915" w:type="dxa"/>
            <w:vMerge w:val="restart"/>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center"/>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center"/>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不予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center"/>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公开</w:t>
            </w:r>
          </w:p>
        </w:tc>
        <w:tc>
          <w:tcPr>
            <w:tcW w:w="2940" w:type="dxa"/>
            <w:tcBorders>
              <w:top w:val="nil"/>
              <w:left w:val="nil"/>
              <w:bottom w:val="single" w:color="auto" w:sz="6" w:space="0"/>
              <w:right w:val="single" w:color="auto" w:sz="6"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1.属于国家秘密</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5</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1</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45" w:hRule="atLeast"/>
          <w:jc w:val="center"/>
        </w:trPr>
        <w:tc>
          <w:tcPr>
            <w:tcW w:w="765" w:type="dxa"/>
            <w:vMerge w:val="continue"/>
            <w:tcBorders>
              <w:top w:val="nil"/>
              <w:left w:val="single" w:color="auto" w:sz="6" w:space="0"/>
              <w:bottom w:val="inset" w:color="auto" w:sz="6" w:space="0"/>
              <w:right w:val="single" w:color="auto" w:sz="6" w:space="0"/>
            </w:tcBorders>
            <w:shd w:val="clear"/>
            <w:tcMar>
              <w:left w:w="60" w:type="dxa"/>
              <w:right w:w="60"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60" w:type="dxa"/>
              <w:right w:w="60" w:type="dxa"/>
            </w:tcMar>
            <w:vAlign w:val="center"/>
          </w:tcPr>
          <w:p>
            <w:pPr>
              <w:rPr>
                <w:rFonts w:hint="eastAsia" w:ascii="宋体"/>
                <w:sz w:val="24"/>
                <w:szCs w:val="24"/>
              </w:rPr>
            </w:pPr>
          </w:p>
        </w:tc>
        <w:tc>
          <w:tcPr>
            <w:tcW w:w="2940" w:type="dxa"/>
            <w:tcBorders>
              <w:top w:val="nil"/>
              <w:left w:val="nil"/>
              <w:bottom w:val="single" w:color="auto" w:sz="6" w:space="0"/>
              <w:right w:val="single" w:color="auto" w:sz="6"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2.其他法律行政法规禁止公开</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4</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45" w:hRule="atLeast"/>
          <w:jc w:val="center"/>
        </w:trPr>
        <w:tc>
          <w:tcPr>
            <w:tcW w:w="765" w:type="dxa"/>
            <w:vMerge w:val="continue"/>
            <w:tcBorders>
              <w:top w:val="nil"/>
              <w:left w:val="single" w:color="auto" w:sz="6" w:space="0"/>
              <w:bottom w:val="inset" w:color="auto" w:sz="6" w:space="0"/>
              <w:right w:val="single" w:color="auto" w:sz="6" w:space="0"/>
            </w:tcBorders>
            <w:shd w:val="clear"/>
            <w:tcMar>
              <w:left w:w="60" w:type="dxa"/>
              <w:right w:w="60"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60" w:type="dxa"/>
              <w:right w:w="60" w:type="dxa"/>
            </w:tcMar>
            <w:vAlign w:val="center"/>
          </w:tcPr>
          <w:p>
            <w:pPr>
              <w:rPr>
                <w:rFonts w:hint="eastAsia" w:ascii="宋体"/>
                <w:sz w:val="24"/>
                <w:szCs w:val="24"/>
              </w:rPr>
            </w:pPr>
          </w:p>
        </w:tc>
        <w:tc>
          <w:tcPr>
            <w:tcW w:w="2940" w:type="dxa"/>
            <w:tcBorders>
              <w:top w:val="nil"/>
              <w:left w:val="nil"/>
              <w:bottom w:val="single" w:color="auto" w:sz="6" w:space="0"/>
              <w:right w:val="single" w:color="auto" w:sz="6"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3.危及“三安全一稳定”</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45" w:hRule="atLeast"/>
          <w:jc w:val="center"/>
        </w:trPr>
        <w:tc>
          <w:tcPr>
            <w:tcW w:w="765" w:type="dxa"/>
            <w:vMerge w:val="continue"/>
            <w:tcBorders>
              <w:top w:val="nil"/>
              <w:left w:val="single" w:color="auto" w:sz="6" w:space="0"/>
              <w:bottom w:val="inset" w:color="auto" w:sz="6" w:space="0"/>
              <w:right w:val="single" w:color="auto" w:sz="6" w:space="0"/>
            </w:tcBorders>
            <w:shd w:val="clear"/>
            <w:tcMar>
              <w:left w:w="60" w:type="dxa"/>
              <w:right w:w="60"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60" w:type="dxa"/>
              <w:right w:w="60" w:type="dxa"/>
            </w:tcMar>
            <w:vAlign w:val="center"/>
          </w:tcPr>
          <w:p>
            <w:pPr>
              <w:rPr>
                <w:rFonts w:hint="eastAsia" w:ascii="宋体"/>
                <w:sz w:val="24"/>
                <w:szCs w:val="24"/>
              </w:rPr>
            </w:pPr>
          </w:p>
        </w:tc>
        <w:tc>
          <w:tcPr>
            <w:tcW w:w="2940" w:type="dxa"/>
            <w:tcBorders>
              <w:top w:val="nil"/>
              <w:left w:val="nil"/>
              <w:bottom w:val="single" w:color="auto" w:sz="6" w:space="0"/>
              <w:right w:val="single" w:color="auto" w:sz="6"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4.保护第三方合法权益</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61</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1</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62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45" w:hRule="atLeast"/>
          <w:jc w:val="center"/>
        </w:trPr>
        <w:tc>
          <w:tcPr>
            <w:tcW w:w="765" w:type="dxa"/>
            <w:vMerge w:val="continue"/>
            <w:tcBorders>
              <w:top w:val="nil"/>
              <w:left w:val="single" w:color="auto" w:sz="6" w:space="0"/>
              <w:bottom w:val="inset" w:color="auto" w:sz="6" w:space="0"/>
              <w:right w:val="single" w:color="auto" w:sz="6" w:space="0"/>
            </w:tcBorders>
            <w:shd w:val="clear"/>
            <w:tcMar>
              <w:left w:w="60" w:type="dxa"/>
              <w:right w:w="60"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60" w:type="dxa"/>
              <w:right w:w="60" w:type="dxa"/>
            </w:tcMar>
            <w:vAlign w:val="center"/>
          </w:tcPr>
          <w:p>
            <w:pPr>
              <w:rPr>
                <w:rFonts w:hint="eastAsia" w:ascii="宋体"/>
                <w:sz w:val="24"/>
                <w:szCs w:val="24"/>
              </w:rPr>
            </w:pPr>
          </w:p>
        </w:tc>
        <w:tc>
          <w:tcPr>
            <w:tcW w:w="2940" w:type="dxa"/>
            <w:tcBorders>
              <w:top w:val="nil"/>
              <w:left w:val="nil"/>
              <w:bottom w:val="single" w:color="auto" w:sz="6" w:space="0"/>
              <w:right w:val="single" w:color="auto" w:sz="6"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5.属于三类内部事务信息</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34</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34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45" w:hRule="atLeast"/>
          <w:jc w:val="center"/>
        </w:trPr>
        <w:tc>
          <w:tcPr>
            <w:tcW w:w="765" w:type="dxa"/>
            <w:vMerge w:val="continue"/>
            <w:tcBorders>
              <w:top w:val="nil"/>
              <w:left w:val="single" w:color="auto" w:sz="6" w:space="0"/>
              <w:bottom w:val="inset" w:color="auto" w:sz="6" w:space="0"/>
              <w:right w:val="single" w:color="auto" w:sz="6" w:space="0"/>
            </w:tcBorders>
            <w:shd w:val="clear"/>
            <w:tcMar>
              <w:left w:w="60" w:type="dxa"/>
              <w:right w:w="60"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60" w:type="dxa"/>
              <w:right w:w="60" w:type="dxa"/>
            </w:tcMar>
            <w:vAlign w:val="center"/>
          </w:tcPr>
          <w:p>
            <w:pPr>
              <w:rPr>
                <w:rFonts w:hint="eastAsia" w:ascii="宋体"/>
                <w:sz w:val="24"/>
                <w:szCs w:val="24"/>
              </w:rPr>
            </w:pPr>
          </w:p>
        </w:tc>
        <w:tc>
          <w:tcPr>
            <w:tcW w:w="2940" w:type="dxa"/>
            <w:tcBorders>
              <w:top w:val="nil"/>
              <w:left w:val="nil"/>
              <w:bottom w:val="single" w:color="auto" w:sz="6" w:space="0"/>
              <w:right w:val="single" w:color="auto" w:sz="6"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6.属于四类过程性信息</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30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1</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31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45" w:hRule="atLeast"/>
          <w:jc w:val="center"/>
        </w:trPr>
        <w:tc>
          <w:tcPr>
            <w:tcW w:w="765" w:type="dxa"/>
            <w:vMerge w:val="continue"/>
            <w:tcBorders>
              <w:top w:val="nil"/>
              <w:left w:val="single" w:color="auto" w:sz="6" w:space="0"/>
              <w:bottom w:val="inset" w:color="auto" w:sz="6" w:space="0"/>
              <w:right w:val="single" w:color="auto" w:sz="6" w:space="0"/>
            </w:tcBorders>
            <w:shd w:val="clear"/>
            <w:tcMar>
              <w:left w:w="60" w:type="dxa"/>
              <w:right w:w="60"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60" w:type="dxa"/>
              <w:right w:w="60" w:type="dxa"/>
            </w:tcMar>
            <w:vAlign w:val="center"/>
          </w:tcPr>
          <w:p>
            <w:pPr>
              <w:rPr>
                <w:rFonts w:hint="eastAsia" w:ascii="宋体"/>
                <w:sz w:val="24"/>
                <w:szCs w:val="24"/>
              </w:rPr>
            </w:pPr>
          </w:p>
        </w:tc>
        <w:tc>
          <w:tcPr>
            <w:tcW w:w="2940" w:type="dxa"/>
            <w:tcBorders>
              <w:top w:val="nil"/>
              <w:left w:val="nil"/>
              <w:bottom w:val="single" w:color="auto" w:sz="6" w:space="0"/>
              <w:right w:val="single" w:color="auto" w:sz="6"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7.属于行政执法案卷</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11</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3</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14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45" w:hRule="atLeast"/>
          <w:jc w:val="center"/>
        </w:trPr>
        <w:tc>
          <w:tcPr>
            <w:tcW w:w="765" w:type="dxa"/>
            <w:vMerge w:val="continue"/>
            <w:tcBorders>
              <w:top w:val="nil"/>
              <w:left w:val="single" w:color="auto" w:sz="6" w:space="0"/>
              <w:bottom w:val="inset" w:color="auto" w:sz="6" w:space="0"/>
              <w:right w:val="single" w:color="auto" w:sz="6" w:space="0"/>
            </w:tcBorders>
            <w:shd w:val="clear"/>
            <w:tcMar>
              <w:left w:w="60" w:type="dxa"/>
              <w:right w:w="60"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60" w:type="dxa"/>
              <w:right w:w="60" w:type="dxa"/>
            </w:tcMar>
            <w:vAlign w:val="center"/>
          </w:tcPr>
          <w:p>
            <w:pPr>
              <w:rPr>
                <w:rFonts w:hint="eastAsia" w:ascii="宋体"/>
                <w:sz w:val="24"/>
                <w:szCs w:val="24"/>
              </w:rPr>
            </w:pPr>
          </w:p>
        </w:tc>
        <w:tc>
          <w:tcPr>
            <w:tcW w:w="2940" w:type="dxa"/>
            <w:tcBorders>
              <w:top w:val="nil"/>
              <w:left w:val="nil"/>
              <w:bottom w:val="single" w:color="auto" w:sz="6" w:space="0"/>
              <w:right w:val="single" w:color="auto" w:sz="6"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8.属于行政查询事项</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18</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1</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1</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20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45" w:hRule="atLeast"/>
          <w:jc w:val="center"/>
        </w:trPr>
        <w:tc>
          <w:tcPr>
            <w:tcW w:w="765" w:type="dxa"/>
            <w:vMerge w:val="continue"/>
            <w:tcBorders>
              <w:top w:val="nil"/>
              <w:left w:val="single" w:color="auto" w:sz="6" w:space="0"/>
              <w:bottom w:val="inset" w:color="auto" w:sz="6" w:space="0"/>
              <w:right w:val="single" w:color="auto" w:sz="6" w:space="0"/>
            </w:tcBorders>
            <w:shd w:val="clear"/>
            <w:tcMar>
              <w:left w:w="60" w:type="dxa"/>
              <w:right w:w="60" w:type="dxa"/>
            </w:tcMar>
            <w:vAlign w:val="center"/>
          </w:tcPr>
          <w:p>
            <w:pPr>
              <w:rPr>
                <w:rFonts w:hint="eastAsia" w:ascii="宋体"/>
                <w:sz w:val="24"/>
                <w:szCs w:val="24"/>
              </w:rPr>
            </w:pPr>
          </w:p>
        </w:tc>
        <w:tc>
          <w:tcPr>
            <w:tcW w:w="915" w:type="dxa"/>
            <w:vMerge w:val="restart"/>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center"/>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center"/>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无法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center"/>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提供</w:t>
            </w:r>
          </w:p>
        </w:tc>
        <w:tc>
          <w:tcPr>
            <w:tcW w:w="2940" w:type="dxa"/>
            <w:tcBorders>
              <w:top w:val="nil"/>
              <w:left w:val="nil"/>
              <w:bottom w:val="single" w:color="auto" w:sz="6" w:space="0"/>
              <w:right w:val="single" w:color="auto" w:sz="6"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1.本机关不掌握相关政府信息</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932</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23</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7</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962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45" w:hRule="atLeast"/>
          <w:jc w:val="center"/>
        </w:trPr>
        <w:tc>
          <w:tcPr>
            <w:tcW w:w="765" w:type="dxa"/>
            <w:vMerge w:val="continue"/>
            <w:tcBorders>
              <w:top w:val="nil"/>
              <w:left w:val="single" w:color="auto" w:sz="6" w:space="0"/>
              <w:bottom w:val="inset" w:color="auto" w:sz="6" w:space="0"/>
              <w:right w:val="single" w:color="auto" w:sz="6" w:space="0"/>
            </w:tcBorders>
            <w:shd w:val="clear"/>
            <w:tcMar>
              <w:left w:w="60" w:type="dxa"/>
              <w:right w:w="60"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60" w:type="dxa"/>
              <w:right w:w="60" w:type="dxa"/>
            </w:tcMar>
            <w:vAlign w:val="center"/>
          </w:tcPr>
          <w:p>
            <w:pPr>
              <w:rPr>
                <w:rFonts w:hint="eastAsia" w:ascii="宋体"/>
                <w:sz w:val="24"/>
                <w:szCs w:val="24"/>
              </w:rPr>
            </w:pPr>
          </w:p>
        </w:tc>
        <w:tc>
          <w:tcPr>
            <w:tcW w:w="2940" w:type="dxa"/>
            <w:tcBorders>
              <w:top w:val="nil"/>
              <w:left w:val="nil"/>
              <w:bottom w:val="single" w:color="auto" w:sz="6" w:space="0"/>
              <w:right w:val="single" w:color="auto" w:sz="6"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2.没有现成信息需要另行制作</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25</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1</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1</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27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45" w:hRule="atLeast"/>
          <w:jc w:val="center"/>
        </w:trPr>
        <w:tc>
          <w:tcPr>
            <w:tcW w:w="765" w:type="dxa"/>
            <w:vMerge w:val="continue"/>
            <w:tcBorders>
              <w:top w:val="nil"/>
              <w:left w:val="single" w:color="auto" w:sz="6" w:space="0"/>
              <w:bottom w:val="inset" w:color="auto" w:sz="6" w:space="0"/>
              <w:right w:val="single" w:color="auto" w:sz="6" w:space="0"/>
            </w:tcBorders>
            <w:shd w:val="clear"/>
            <w:tcMar>
              <w:left w:w="60" w:type="dxa"/>
              <w:right w:w="60"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60" w:type="dxa"/>
              <w:right w:w="60" w:type="dxa"/>
            </w:tcMar>
            <w:vAlign w:val="center"/>
          </w:tcPr>
          <w:p>
            <w:pPr>
              <w:rPr>
                <w:rFonts w:hint="eastAsia" w:ascii="宋体"/>
                <w:sz w:val="24"/>
                <w:szCs w:val="24"/>
              </w:rPr>
            </w:pPr>
          </w:p>
        </w:tc>
        <w:tc>
          <w:tcPr>
            <w:tcW w:w="2940" w:type="dxa"/>
            <w:tcBorders>
              <w:top w:val="nil"/>
              <w:left w:val="nil"/>
              <w:bottom w:val="single" w:color="auto" w:sz="6" w:space="0"/>
              <w:right w:val="single" w:color="auto" w:sz="6"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3.补正后申请内容仍不明确</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5</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45" w:hRule="atLeast"/>
          <w:jc w:val="center"/>
        </w:trPr>
        <w:tc>
          <w:tcPr>
            <w:tcW w:w="765" w:type="dxa"/>
            <w:vMerge w:val="continue"/>
            <w:tcBorders>
              <w:top w:val="nil"/>
              <w:left w:val="single" w:color="auto" w:sz="6" w:space="0"/>
              <w:bottom w:val="inset" w:color="auto" w:sz="6" w:space="0"/>
              <w:right w:val="single" w:color="auto" w:sz="6" w:space="0"/>
            </w:tcBorders>
            <w:shd w:val="clear"/>
            <w:tcMar>
              <w:left w:w="60" w:type="dxa"/>
              <w:right w:w="60" w:type="dxa"/>
            </w:tcMar>
            <w:vAlign w:val="center"/>
          </w:tcPr>
          <w:p>
            <w:pPr>
              <w:rPr>
                <w:rFonts w:hint="eastAsia" w:ascii="宋体"/>
                <w:sz w:val="24"/>
                <w:szCs w:val="24"/>
              </w:rPr>
            </w:pPr>
          </w:p>
        </w:tc>
        <w:tc>
          <w:tcPr>
            <w:tcW w:w="915" w:type="dxa"/>
            <w:vMerge w:val="restart"/>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center"/>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（五）</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center"/>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不予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center"/>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处理</w:t>
            </w:r>
          </w:p>
        </w:tc>
        <w:tc>
          <w:tcPr>
            <w:tcW w:w="2940" w:type="dxa"/>
            <w:tcBorders>
              <w:top w:val="nil"/>
              <w:left w:val="nil"/>
              <w:bottom w:val="single" w:color="auto" w:sz="6" w:space="0"/>
              <w:right w:val="single" w:color="auto" w:sz="6"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1.信访举报投诉类申请</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53</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1</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54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45" w:hRule="atLeast"/>
          <w:jc w:val="center"/>
        </w:trPr>
        <w:tc>
          <w:tcPr>
            <w:tcW w:w="765" w:type="dxa"/>
            <w:vMerge w:val="continue"/>
            <w:tcBorders>
              <w:top w:val="nil"/>
              <w:left w:val="single" w:color="auto" w:sz="6" w:space="0"/>
              <w:bottom w:val="inset" w:color="auto" w:sz="6" w:space="0"/>
              <w:right w:val="single" w:color="auto" w:sz="6" w:space="0"/>
            </w:tcBorders>
            <w:shd w:val="clear"/>
            <w:tcMar>
              <w:left w:w="60" w:type="dxa"/>
              <w:right w:w="60"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60" w:type="dxa"/>
              <w:right w:w="60" w:type="dxa"/>
            </w:tcMar>
            <w:vAlign w:val="center"/>
          </w:tcPr>
          <w:p>
            <w:pPr>
              <w:rPr>
                <w:rFonts w:hint="eastAsia" w:ascii="宋体"/>
                <w:sz w:val="24"/>
                <w:szCs w:val="24"/>
              </w:rPr>
            </w:pPr>
          </w:p>
        </w:tc>
        <w:tc>
          <w:tcPr>
            <w:tcW w:w="2940" w:type="dxa"/>
            <w:tcBorders>
              <w:top w:val="nil"/>
              <w:left w:val="nil"/>
              <w:bottom w:val="single" w:color="auto" w:sz="6" w:space="0"/>
              <w:right w:val="single" w:color="auto" w:sz="6"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2.重复申请</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45</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45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45" w:hRule="atLeast"/>
          <w:jc w:val="center"/>
        </w:trPr>
        <w:tc>
          <w:tcPr>
            <w:tcW w:w="765" w:type="dxa"/>
            <w:vMerge w:val="continue"/>
            <w:tcBorders>
              <w:top w:val="nil"/>
              <w:left w:val="single" w:color="auto" w:sz="6" w:space="0"/>
              <w:bottom w:val="inset" w:color="auto" w:sz="6" w:space="0"/>
              <w:right w:val="single" w:color="auto" w:sz="6" w:space="0"/>
            </w:tcBorders>
            <w:shd w:val="clear"/>
            <w:tcMar>
              <w:left w:w="60" w:type="dxa"/>
              <w:right w:w="60"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60" w:type="dxa"/>
              <w:right w:w="60" w:type="dxa"/>
            </w:tcMar>
            <w:vAlign w:val="center"/>
          </w:tcPr>
          <w:p>
            <w:pPr>
              <w:rPr>
                <w:rFonts w:hint="eastAsia" w:ascii="宋体"/>
                <w:sz w:val="24"/>
                <w:szCs w:val="24"/>
              </w:rPr>
            </w:pPr>
          </w:p>
        </w:tc>
        <w:tc>
          <w:tcPr>
            <w:tcW w:w="2940" w:type="dxa"/>
            <w:tcBorders>
              <w:top w:val="nil"/>
              <w:left w:val="nil"/>
              <w:bottom w:val="single" w:color="auto" w:sz="6" w:space="0"/>
              <w:right w:val="single" w:color="auto" w:sz="6"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3.要求提供公开出版物</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45" w:hRule="atLeast"/>
          <w:jc w:val="center"/>
        </w:trPr>
        <w:tc>
          <w:tcPr>
            <w:tcW w:w="765" w:type="dxa"/>
            <w:vMerge w:val="continue"/>
            <w:tcBorders>
              <w:top w:val="nil"/>
              <w:left w:val="single" w:color="auto" w:sz="6" w:space="0"/>
              <w:bottom w:val="inset" w:color="auto" w:sz="6" w:space="0"/>
              <w:right w:val="single" w:color="auto" w:sz="6" w:space="0"/>
            </w:tcBorders>
            <w:shd w:val="clear"/>
            <w:tcMar>
              <w:left w:w="60" w:type="dxa"/>
              <w:right w:w="60"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60" w:type="dxa"/>
              <w:right w:w="60" w:type="dxa"/>
            </w:tcMar>
            <w:vAlign w:val="center"/>
          </w:tcPr>
          <w:p>
            <w:pPr>
              <w:rPr>
                <w:rFonts w:hint="eastAsia" w:ascii="宋体"/>
                <w:sz w:val="24"/>
                <w:szCs w:val="24"/>
              </w:rPr>
            </w:pPr>
          </w:p>
        </w:tc>
        <w:tc>
          <w:tcPr>
            <w:tcW w:w="2940" w:type="dxa"/>
            <w:tcBorders>
              <w:top w:val="nil"/>
              <w:left w:val="nil"/>
              <w:bottom w:val="single" w:color="auto" w:sz="6" w:space="0"/>
              <w:right w:val="single" w:color="auto" w:sz="6"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4.无正当理由大量反复申请</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75" w:hRule="atLeast"/>
          <w:jc w:val="center"/>
        </w:trPr>
        <w:tc>
          <w:tcPr>
            <w:tcW w:w="765" w:type="dxa"/>
            <w:vMerge w:val="continue"/>
            <w:tcBorders>
              <w:top w:val="nil"/>
              <w:left w:val="single" w:color="auto" w:sz="6" w:space="0"/>
              <w:bottom w:val="inset" w:color="auto" w:sz="6" w:space="0"/>
              <w:right w:val="single" w:color="auto" w:sz="6" w:space="0"/>
            </w:tcBorders>
            <w:shd w:val="clear"/>
            <w:tcMar>
              <w:left w:w="60" w:type="dxa"/>
              <w:right w:w="60"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tcMar>
              <w:left w:w="60" w:type="dxa"/>
              <w:right w:w="60" w:type="dxa"/>
            </w:tcMar>
            <w:vAlign w:val="center"/>
          </w:tcPr>
          <w:p>
            <w:pPr>
              <w:rPr>
                <w:rFonts w:hint="eastAsia" w:ascii="宋体"/>
                <w:sz w:val="24"/>
                <w:szCs w:val="24"/>
              </w:rPr>
            </w:pPr>
          </w:p>
        </w:tc>
        <w:tc>
          <w:tcPr>
            <w:tcW w:w="2940" w:type="dxa"/>
            <w:tcBorders>
              <w:top w:val="nil"/>
              <w:left w:val="nil"/>
              <w:bottom w:val="single" w:color="auto" w:sz="6" w:space="0"/>
              <w:right w:val="single" w:color="auto" w:sz="6"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5.要求行政机关确认或重新出具已获取信息</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4</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990" w:hRule="atLeast"/>
          <w:jc w:val="center"/>
        </w:trPr>
        <w:tc>
          <w:tcPr>
            <w:tcW w:w="765" w:type="dxa"/>
            <w:vMerge w:val="continue"/>
            <w:tcBorders>
              <w:top w:val="nil"/>
              <w:left w:val="single" w:color="auto" w:sz="6" w:space="0"/>
              <w:bottom w:val="inset" w:color="auto" w:sz="6" w:space="0"/>
              <w:right w:val="single" w:color="auto" w:sz="6" w:space="0"/>
            </w:tcBorders>
            <w:shd w:val="clear"/>
            <w:tcMar>
              <w:left w:w="60" w:type="dxa"/>
              <w:right w:w="60" w:type="dxa"/>
            </w:tcMar>
            <w:vAlign w:val="center"/>
          </w:tcPr>
          <w:p>
            <w:pPr>
              <w:rPr>
                <w:rFonts w:hint="eastAsia" w:ascii="宋体"/>
                <w:sz w:val="24"/>
                <w:szCs w:val="24"/>
              </w:rPr>
            </w:pPr>
          </w:p>
        </w:tc>
        <w:tc>
          <w:tcPr>
            <w:tcW w:w="915" w:type="dxa"/>
            <w:vMerge w:val="restart"/>
            <w:tcBorders>
              <w:top w:val="single" w:color="auto" w:sz="6" w:space="0"/>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center"/>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center"/>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center"/>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处理</w:t>
            </w:r>
          </w:p>
        </w:tc>
        <w:tc>
          <w:tcPr>
            <w:tcW w:w="2940" w:type="dxa"/>
            <w:tcBorders>
              <w:top w:val="nil"/>
              <w:left w:val="nil"/>
              <w:bottom w:val="single" w:color="auto" w:sz="6" w:space="0"/>
              <w:right w:val="single" w:color="auto" w:sz="6"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1.申请人无正当理由逾期不补正、行政机关不再处理其政府信息公开申请</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24</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24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885" w:hRule="atLeast"/>
          <w:jc w:val="center"/>
        </w:trPr>
        <w:tc>
          <w:tcPr>
            <w:tcW w:w="765" w:type="dxa"/>
            <w:vMerge w:val="continue"/>
            <w:tcBorders>
              <w:top w:val="nil"/>
              <w:left w:val="single" w:color="auto" w:sz="6" w:space="0"/>
              <w:bottom w:val="inset" w:color="auto" w:sz="6" w:space="0"/>
              <w:right w:val="single" w:color="auto" w:sz="6" w:space="0"/>
            </w:tcBorders>
            <w:shd w:val="clear"/>
            <w:tcMar>
              <w:left w:w="60" w:type="dxa"/>
              <w:right w:w="60" w:type="dxa"/>
            </w:tcMar>
            <w:vAlign w:val="center"/>
          </w:tcPr>
          <w:p>
            <w:pPr>
              <w:rPr>
                <w:rFonts w:hint="eastAsia" w:ascii="宋体"/>
                <w:sz w:val="24"/>
                <w:szCs w:val="24"/>
              </w:rPr>
            </w:pPr>
          </w:p>
        </w:tc>
        <w:tc>
          <w:tcPr>
            <w:tcW w:w="915" w:type="dxa"/>
            <w:vMerge w:val="continue"/>
            <w:tcBorders>
              <w:top w:val="single" w:color="auto" w:sz="6" w:space="0"/>
              <w:left w:val="nil"/>
              <w:bottom w:val="single" w:color="auto" w:sz="6" w:space="0"/>
              <w:right w:val="single" w:color="auto" w:sz="6" w:space="0"/>
            </w:tcBorders>
            <w:shd w:val="clear"/>
            <w:tcMar>
              <w:left w:w="60" w:type="dxa"/>
              <w:right w:w="60" w:type="dxa"/>
            </w:tcMar>
            <w:vAlign w:val="center"/>
          </w:tcPr>
          <w:p>
            <w:pPr>
              <w:rPr>
                <w:rFonts w:hint="eastAsia" w:ascii="宋体"/>
                <w:sz w:val="24"/>
                <w:szCs w:val="24"/>
              </w:rPr>
            </w:pPr>
          </w:p>
        </w:tc>
        <w:tc>
          <w:tcPr>
            <w:tcW w:w="2940" w:type="dxa"/>
            <w:tcBorders>
              <w:top w:val="nil"/>
              <w:left w:val="nil"/>
              <w:bottom w:val="single" w:color="auto" w:sz="6" w:space="0"/>
              <w:right w:val="single" w:color="auto" w:sz="6"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2.申请人逾期未按收费通知要求缴纳费用、行政机关不再处理其政府信息公开申请</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65" w:type="dxa"/>
            <w:vMerge w:val="continue"/>
            <w:tcBorders>
              <w:top w:val="nil"/>
              <w:left w:val="single" w:color="auto" w:sz="6" w:space="0"/>
              <w:bottom w:val="inset" w:color="auto" w:sz="6" w:space="0"/>
              <w:right w:val="single" w:color="auto" w:sz="6" w:space="0"/>
            </w:tcBorders>
            <w:shd w:val="clear"/>
            <w:tcMar>
              <w:left w:w="60" w:type="dxa"/>
              <w:right w:w="60" w:type="dxa"/>
            </w:tcMar>
            <w:vAlign w:val="center"/>
          </w:tcPr>
          <w:p>
            <w:pPr>
              <w:rPr>
                <w:rFonts w:hint="eastAsia" w:ascii="宋体"/>
                <w:sz w:val="24"/>
                <w:szCs w:val="24"/>
              </w:rPr>
            </w:pPr>
          </w:p>
        </w:tc>
        <w:tc>
          <w:tcPr>
            <w:tcW w:w="915" w:type="dxa"/>
            <w:vMerge w:val="continue"/>
            <w:tcBorders>
              <w:top w:val="single" w:color="auto" w:sz="6" w:space="0"/>
              <w:left w:val="nil"/>
              <w:bottom w:val="single" w:color="auto" w:sz="6" w:space="0"/>
              <w:right w:val="single" w:color="auto" w:sz="6" w:space="0"/>
            </w:tcBorders>
            <w:shd w:val="clear"/>
            <w:tcMar>
              <w:left w:w="60" w:type="dxa"/>
              <w:right w:w="60" w:type="dxa"/>
            </w:tcMar>
            <w:vAlign w:val="center"/>
          </w:tcPr>
          <w:p>
            <w:pPr>
              <w:rPr>
                <w:rFonts w:hint="eastAsia" w:ascii="宋体"/>
                <w:sz w:val="24"/>
                <w:szCs w:val="24"/>
              </w:rPr>
            </w:pPr>
          </w:p>
        </w:tc>
        <w:tc>
          <w:tcPr>
            <w:tcW w:w="294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3.其他</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234</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12</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1</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1</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248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65" w:type="dxa"/>
            <w:vMerge w:val="continue"/>
            <w:tcBorders>
              <w:top w:val="nil"/>
              <w:left w:val="single" w:color="auto" w:sz="6" w:space="0"/>
              <w:bottom w:val="inset" w:color="auto" w:sz="6" w:space="0"/>
              <w:right w:val="single" w:color="auto" w:sz="6" w:space="0"/>
            </w:tcBorders>
            <w:shd w:val="clear"/>
            <w:tcMar>
              <w:left w:w="60" w:type="dxa"/>
              <w:right w:w="60" w:type="dxa"/>
            </w:tcMar>
            <w:vAlign w:val="center"/>
          </w:tcPr>
          <w:p>
            <w:pPr>
              <w:rPr>
                <w:rFonts w:hint="eastAsia" w:ascii="宋体"/>
                <w:sz w:val="24"/>
                <w:szCs w:val="24"/>
              </w:rPr>
            </w:pPr>
          </w:p>
        </w:tc>
        <w:tc>
          <w:tcPr>
            <w:tcW w:w="3855" w:type="dxa"/>
            <w:gridSpan w:val="2"/>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（七）总计</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3229</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153</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5</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3</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16</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30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3436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4620" w:type="dxa"/>
            <w:gridSpan w:val="3"/>
            <w:tcBorders>
              <w:top w:val="nil"/>
              <w:left w:val="single" w:color="auto" w:sz="6" w:space="0"/>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default" w:ascii="Calibri" w:hAnsi="Calibri" w:cs="Calibri"/>
                <w:sz w:val="24"/>
                <w:szCs w:val="24"/>
              </w:rPr>
            </w:pPr>
            <w:r>
              <w:rPr>
                <w:rFonts w:hint="default" w:ascii="仿宋_GB2312" w:hAnsi="Calibri" w:eastAsia="仿宋_GB2312" w:cs="仿宋_GB2312"/>
                <w:sz w:val="21"/>
                <w:szCs w:val="21"/>
                <w:bdr w:val="none" w:color="auto" w:sz="0" w:space="0"/>
              </w:rPr>
              <w:t>四、结转下年度继续办理</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83</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20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60"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0</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1</w:t>
            </w:r>
          </w:p>
        </w:tc>
        <w:tc>
          <w:tcPr>
            <w:tcW w:w="675" w:type="dxa"/>
            <w:tcBorders>
              <w:top w:val="nil"/>
              <w:left w:val="nil"/>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bdr w:val="none" w:color="auto" w:sz="0" w:space="0"/>
              </w:rPr>
              <w:t>104</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left"/>
        <w:textAlignment w:val="center"/>
        <w:rPr>
          <w:rFonts w:hint="default" w:ascii="Helvetica" w:hAnsi="Helvetica" w:eastAsia="Helvetica" w:cs="Helvetica"/>
          <w:i w:val="0"/>
          <w:iCs w:val="0"/>
          <w:caps w:val="0"/>
          <w:color w:val="333333"/>
          <w:spacing w:val="0"/>
          <w:sz w:val="24"/>
          <w:szCs w:val="24"/>
        </w:rPr>
      </w:pPr>
      <w:r>
        <w:rPr>
          <w:rFonts w:hint="eastAsia" w:ascii="黑体" w:hAnsi="宋体" w:eastAsia="黑体" w:cs="黑体"/>
          <w:b w:val="0"/>
          <w:bCs w:val="0"/>
          <w:i w:val="0"/>
          <w:iCs w:val="0"/>
          <w:caps w:val="0"/>
          <w:color w:val="000000"/>
          <w:spacing w:val="0"/>
          <w:sz w:val="32"/>
          <w:szCs w:val="32"/>
          <w:bdr w:val="none" w:color="auto" w:sz="0" w:space="0"/>
          <w:shd w:val="clear" w:fill="FFFFFF"/>
        </w:rPr>
        <w:t>四、政府信息公开行政复议、行政诉讼情况</w:t>
      </w:r>
    </w:p>
    <w:tbl>
      <w:tblPr>
        <w:tblW w:w="1000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60"/>
        <w:gridCol w:w="660"/>
        <w:gridCol w:w="660"/>
        <w:gridCol w:w="660"/>
        <w:gridCol w:w="762"/>
        <w:gridCol w:w="660"/>
        <w:gridCol w:w="660"/>
        <w:gridCol w:w="660"/>
        <w:gridCol w:w="660"/>
        <w:gridCol w:w="660"/>
        <w:gridCol w:w="660"/>
        <w:gridCol w:w="660"/>
        <w:gridCol w:w="661"/>
        <w:gridCol w:w="661"/>
        <w:gridCol w:w="66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01" w:hRule="atLeast"/>
          <w:jc w:val="center"/>
        </w:trPr>
        <w:tc>
          <w:tcPr>
            <w:tcW w:w="435" w:type="dxa"/>
            <w:gridSpan w:val="5"/>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0"/>
                <w:szCs w:val="20"/>
                <w:bdr w:val="none" w:color="auto" w:sz="0" w:space="0"/>
              </w:rPr>
              <w:t>行政复议</w:t>
            </w:r>
          </w:p>
        </w:tc>
        <w:tc>
          <w:tcPr>
            <w:tcW w:w="435" w:type="dxa"/>
            <w:gridSpan w:val="10"/>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0"/>
                <w:szCs w:val="20"/>
                <w:bdr w:val="none" w:color="auto" w:sz="0" w:space="0"/>
              </w:rPr>
              <w:t>行政诉讼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1" w:hRule="atLeast"/>
          <w:jc w:val="center"/>
        </w:trPr>
        <w:tc>
          <w:tcPr>
            <w:tcW w:w="435" w:type="dxa"/>
            <w:vMerge w:val="restart"/>
            <w:tcBorders>
              <w:top w:val="nil"/>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0"/>
                <w:szCs w:val="20"/>
                <w:bdr w:val="none" w:color="auto" w:sz="0" w:space="0"/>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0"/>
                <w:szCs w:val="20"/>
                <w:bdr w:val="none" w:color="auto" w:sz="0" w:space="0"/>
              </w:rPr>
              <w:t>维持</w:t>
            </w:r>
          </w:p>
        </w:tc>
        <w:tc>
          <w:tcPr>
            <w:tcW w:w="435" w:type="dxa"/>
            <w:vMerge w:val="restart"/>
            <w:tcBorders>
              <w:top w:val="nil"/>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0"/>
                <w:szCs w:val="20"/>
                <w:bdr w:val="none" w:color="auto" w:sz="0" w:space="0"/>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0"/>
                <w:szCs w:val="20"/>
                <w:bdr w:val="none" w:color="auto" w:sz="0" w:space="0"/>
              </w:rPr>
              <w:t>纠正</w:t>
            </w:r>
          </w:p>
        </w:tc>
        <w:tc>
          <w:tcPr>
            <w:tcW w:w="435"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both"/>
              <w:textAlignment w:val="center"/>
              <w:rPr>
                <w:sz w:val="24"/>
                <w:szCs w:val="24"/>
              </w:rPr>
            </w:pPr>
            <w:r>
              <w:rPr>
                <w:rFonts w:hint="default" w:ascii="仿宋_GB2312" w:eastAsia="仿宋_GB2312" w:cs="仿宋_GB2312"/>
                <w:color w:val="000000"/>
                <w:sz w:val="20"/>
                <w:szCs w:val="20"/>
                <w:bdr w:val="none" w:color="auto" w:sz="0" w:space="0"/>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both"/>
              <w:textAlignment w:val="center"/>
              <w:rPr>
                <w:sz w:val="24"/>
                <w:szCs w:val="24"/>
              </w:rPr>
            </w:pPr>
            <w:r>
              <w:rPr>
                <w:rFonts w:hint="default" w:ascii="仿宋_GB2312" w:eastAsia="仿宋_GB2312" w:cs="仿宋_GB2312"/>
                <w:color w:val="000000"/>
                <w:sz w:val="20"/>
                <w:szCs w:val="20"/>
                <w:bdr w:val="none" w:color="auto" w:sz="0" w:space="0"/>
              </w:rPr>
              <w:t>结果</w:t>
            </w:r>
          </w:p>
        </w:tc>
        <w:tc>
          <w:tcPr>
            <w:tcW w:w="435"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0"/>
                <w:szCs w:val="20"/>
                <w:bdr w:val="none" w:color="auto" w:sz="0" w:space="0"/>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0"/>
                <w:szCs w:val="20"/>
                <w:bdr w:val="none" w:color="auto" w:sz="0" w:space="0"/>
              </w:rPr>
              <w:t>审结</w:t>
            </w:r>
          </w:p>
        </w:tc>
        <w:tc>
          <w:tcPr>
            <w:tcW w:w="435"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0"/>
                <w:szCs w:val="20"/>
                <w:bdr w:val="none" w:color="auto" w:sz="0" w:space="0"/>
              </w:rPr>
              <w:t>总计</w:t>
            </w:r>
          </w:p>
        </w:tc>
        <w:tc>
          <w:tcPr>
            <w:tcW w:w="435" w:type="dxa"/>
            <w:gridSpan w:val="5"/>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0"/>
                <w:szCs w:val="20"/>
                <w:bdr w:val="none" w:color="auto" w:sz="0" w:space="0"/>
              </w:rPr>
              <w:t>未经复议直接起诉</w:t>
            </w:r>
          </w:p>
        </w:tc>
        <w:tc>
          <w:tcPr>
            <w:tcW w:w="435" w:type="dxa"/>
            <w:gridSpan w:val="5"/>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0"/>
                <w:szCs w:val="20"/>
                <w:bdr w:val="none" w:color="auto" w:sz="0" w:space="0"/>
              </w:rPr>
              <w:t>复议后起诉</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1" w:hRule="atLeast"/>
          <w:jc w:val="center"/>
        </w:trPr>
        <w:tc>
          <w:tcPr>
            <w:tcW w:w="435" w:type="dxa"/>
            <w:vMerge w:val="continue"/>
            <w:tcBorders>
              <w:top w:val="nil"/>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435" w:type="dxa"/>
            <w:vMerge w:val="continue"/>
            <w:tcBorders>
              <w:top w:val="nil"/>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43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43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435"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c>
          <w:tcPr>
            <w:tcW w:w="435" w:type="dxa"/>
            <w:tcBorders>
              <w:top w:val="nil"/>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0"/>
                <w:szCs w:val="20"/>
                <w:bdr w:val="none" w:color="auto" w:sz="0" w:space="0"/>
              </w:rPr>
              <w:t>结</w:t>
            </w:r>
            <w:r>
              <w:rPr>
                <w:rFonts w:hint="default" w:ascii="仿宋_GB2312" w:eastAsia="仿宋_GB2312" w:cs="仿宋_GB2312"/>
                <w:sz w:val="20"/>
                <w:szCs w:val="20"/>
                <w:bdr w:val="none" w:color="auto" w:sz="0" w:space="0"/>
              </w:rPr>
              <w:t>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0"/>
                <w:szCs w:val="20"/>
                <w:bdr w:val="none" w:color="auto" w:sz="0" w:space="0"/>
              </w:rPr>
              <w:t>维</w:t>
            </w:r>
            <w:r>
              <w:rPr>
                <w:rFonts w:hint="default" w:ascii="仿宋_GB2312" w:eastAsia="仿宋_GB2312" w:cs="仿宋_GB2312"/>
                <w:sz w:val="20"/>
                <w:szCs w:val="20"/>
                <w:bdr w:val="none" w:color="auto" w:sz="0" w:space="0"/>
              </w:rPr>
              <w:t>持</w:t>
            </w:r>
          </w:p>
        </w:tc>
        <w:tc>
          <w:tcPr>
            <w:tcW w:w="435" w:type="dxa"/>
            <w:tcBorders>
              <w:top w:val="nil"/>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0"/>
                <w:szCs w:val="20"/>
                <w:bdr w:val="none" w:color="auto" w:sz="0" w:space="0"/>
              </w:rPr>
              <w:t>结</w:t>
            </w:r>
            <w:r>
              <w:rPr>
                <w:rFonts w:hint="default" w:ascii="仿宋_GB2312" w:eastAsia="仿宋_GB2312" w:cs="仿宋_GB2312"/>
                <w:sz w:val="20"/>
                <w:szCs w:val="20"/>
                <w:bdr w:val="none" w:color="auto" w:sz="0" w:space="0"/>
              </w:rPr>
              <w:t>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0"/>
                <w:szCs w:val="20"/>
                <w:bdr w:val="none" w:color="auto" w:sz="0" w:space="0"/>
              </w:rPr>
              <w:t>纠</w:t>
            </w:r>
            <w:r>
              <w:rPr>
                <w:rFonts w:hint="default" w:ascii="仿宋_GB2312" w:eastAsia="仿宋_GB2312" w:cs="仿宋_GB2312"/>
                <w:sz w:val="20"/>
                <w:szCs w:val="20"/>
                <w:bdr w:val="none" w:color="auto" w:sz="0" w:space="0"/>
              </w:rPr>
              <w:t>正</w:t>
            </w:r>
          </w:p>
        </w:tc>
        <w:tc>
          <w:tcPr>
            <w:tcW w:w="435"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0"/>
                <w:szCs w:val="20"/>
                <w:bdr w:val="none" w:color="auto" w:sz="0" w:space="0"/>
              </w:rPr>
              <w:t>其</w:t>
            </w:r>
            <w:r>
              <w:rPr>
                <w:rFonts w:hint="default" w:ascii="仿宋_GB2312" w:eastAsia="仿宋_GB2312" w:cs="仿宋_GB2312"/>
                <w:sz w:val="20"/>
                <w:szCs w:val="20"/>
                <w:bdr w:val="none" w:color="auto" w:sz="0" w:space="0"/>
              </w:rPr>
              <w:t>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0"/>
                <w:szCs w:val="20"/>
                <w:bdr w:val="none" w:color="auto" w:sz="0" w:space="0"/>
              </w:rPr>
              <w:t>结</w:t>
            </w:r>
            <w:r>
              <w:rPr>
                <w:rFonts w:hint="default" w:ascii="仿宋_GB2312" w:eastAsia="仿宋_GB2312" w:cs="仿宋_GB2312"/>
                <w:sz w:val="20"/>
                <w:szCs w:val="20"/>
                <w:bdr w:val="none" w:color="auto" w:sz="0" w:space="0"/>
              </w:rPr>
              <w:t>果</w:t>
            </w:r>
          </w:p>
        </w:tc>
        <w:tc>
          <w:tcPr>
            <w:tcW w:w="435"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0"/>
                <w:szCs w:val="20"/>
                <w:bdr w:val="none" w:color="auto" w:sz="0" w:space="0"/>
              </w:rPr>
              <w:t>尚</w:t>
            </w:r>
            <w:r>
              <w:rPr>
                <w:rFonts w:hint="default" w:ascii="仿宋_GB2312" w:eastAsia="仿宋_GB2312" w:cs="仿宋_GB2312"/>
                <w:sz w:val="20"/>
                <w:szCs w:val="20"/>
                <w:bdr w:val="none" w:color="auto" w:sz="0" w:space="0"/>
              </w:rPr>
              <w:t>未</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sz w:val="20"/>
                <w:szCs w:val="20"/>
                <w:bdr w:val="none" w:color="auto" w:sz="0" w:space="0"/>
              </w:rPr>
              <w:t>审结</w:t>
            </w:r>
          </w:p>
        </w:tc>
        <w:tc>
          <w:tcPr>
            <w:tcW w:w="435"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0"/>
                <w:szCs w:val="20"/>
                <w:bdr w:val="none" w:color="auto" w:sz="0" w:space="0"/>
              </w:rPr>
              <w:t>总计</w:t>
            </w:r>
          </w:p>
        </w:tc>
        <w:tc>
          <w:tcPr>
            <w:tcW w:w="435"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0"/>
                <w:szCs w:val="20"/>
                <w:bdr w:val="none" w:color="auto" w:sz="0" w:space="0"/>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0"/>
                <w:szCs w:val="20"/>
                <w:bdr w:val="none" w:color="auto" w:sz="0" w:space="0"/>
              </w:rPr>
              <w:t>维持</w:t>
            </w:r>
          </w:p>
        </w:tc>
        <w:tc>
          <w:tcPr>
            <w:tcW w:w="435"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0"/>
                <w:szCs w:val="20"/>
                <w:bdr w:val="none" w:color="auto" w:sz="0" w:space="0"/>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0"/>
                <w:szCs w:val="20"/>
                <w:bdr w:val="none" w:color="auto" w:sz="0" w:space="0"/>
              </w:rPr>
              <w:t>纠正</w:t>
            </w:r>
          </w:p>
        </w:tc>
        <w:tc>
          <w:tcPr>
            <w:tcW w:w="435"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0"/>
                <w:szCs w:val="20"/>
                <w:bdr w:val="none" w:color="auto" w:sz="0" w:space="0"/>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0"/>
                <w:szCs w:val="20"/>
                <w:bdr w:val="none" w:color="auto" w:sz="0" w:space="0"/>
              </w:rPr>
              <w:t>结果</w:t>
            </w:r>
          </w:p>
        </w:tc>
        <w:tc>
          <w:tcPr>
            <w:tcW w:w="435"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0"/>
                <w:szCs w:val="20"/>
                <w:bdr w:val="none" w:color="auto" w:sz="0" w:space="0"/>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0"/>
                <w:szCs w:val="20"/>
                <w:bdr w:val="none" w:color="auto" w:sz="0" w:space="0"/>
              </w:rPr>
              <w:t>审结</w:t>
            </w:r>
          </w:p>
        </w:tc>
        <w:tc>
          <w:tcPr>
            <w:tcW w:w="435"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24"/>
                <w:szCs w:val="24"/>
              </w:rPr>
            </w:pPr>
            <w:r>
              <w:rPr>
                <w:rFonts w:hint="default" w:ascii="仿宋_GB2312" w:eastAsia="仿宋_GB2312" w:cs="仿宋_GB2312"/>
                <w:color w:val="000000"/>
                <w:sz w:val="20"/>
                <w:szCs w:val="20"/>
                <w:bdr w:val="none" w:color="auto" w:sz="0" w:space="0"/>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1" w:hRule="atLeast"/>
          <w:jc w:val="center"/>
        </w:trPr>
        <w:tc>
          <w:tcPr>
            <w:tcW w:w="435" w:type="dxa"/>
            <w:tcBorders>
              <w:top w:val="nil"/>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19"/>
                <w:szCs w:val="19"/>
              </w:rPr>
            </w:pPr>
            <w:r>
              <w:rPr>
                <w:rFonts w:hint="default" w:ascii="仿宋_GB2312" w:eastAsia="仿宋_GB2312" w:cs="仿宋_GB2312"/>
                <w:color w:val="000000"/>
                <w:sz w:val="20"/>
                <w:szCs w:val="20"/>
                <w:bdr w:val="none" w:color="auto" w:sz="0" w:space="0"/>
              </w:rPr>
              <w:t>49</w:t>
            </w:r>
          </w:p>
        </w:tc>
        <w:tc>
          <w:tcPr>
            <w:tcW w:w="435" w:type="dxa"/>
            <w:tcBorders>
              <w:top w:val="nil"/>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19"/>
                <w:szCs w:val="19"/>
              </w:rPr>
            </w:pPr>
            <w:r>
              <w:rPr>
                <w:rFonts w:hint="default" w:ascii="仿宋_GB2312" w:eastAsia="仿宋_GB2312" w:cs="仿宋_GB2312"/>
                <w:color w:val="000000"/>
                <w:sz w:val="20"/>
                <w:szCs w:val="20"/>
                <w:bdr w:val="none" w:color="auto" w:sz="0" w:space="0"/>
              </w:rPr>
              <w:t>16</w:t>
            </w:r>
          </w:p>
        </w:tc>
        <w:tc>
          <w:tcPr>
            <w:tcW w:w="435" w:type="dxa"/>
            <w:tcBorders>
              <w:top w:val="nil"/>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19"/>
                <w:szCs w:val="19"/>
              </w:rPr>
            </w:pPr>
            <w:r>
              <w:rPr>
                <w:rFonts w:hint="default" w:ascii="仿宋_GB2312" w:eastAsia="仿宋_GB2312" w:cs="仿宋_GB2312"/>
                <w:color w:val="000000"/>
                <w:sz w:val="20"/>
                <w:szCs w:val="20"/>
                <w:bdr w:val="none" w:color="auto" w:sz="0" w:space="0"/>
              </w:rPr>
              <w:t>13</w:t>
            </w:r>
          </w:p>
        </w:tc>
        <w:tc>
          <w:tcPr>
            <w:tcW w:w="435" w:type="dxa"/>
            <w:tcBorders>
              <w:top w:val="nil"/>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19"/>
                <w:szCs w:val="19"/>
              </w:rPr>
            </w:pPr>
            <w:r>
              <w:rPr>
                <w:rFonts w:hint="default" w:ascii="仿宋_GB2312" w:eastAsia="仿宋_GB2312" w:cs="仿宋_GB2312"/>
                <w:color w:val="000000"/>
                <w:sz w:val="20"/>
                <w:szCs w:val="20"/>
                <w:bdr w:val="none" w:color="auto" w:sz="0" w:space="0"/>
              </w:rPr>
              <w:t>32</w:t>
            </w:r>
          </w:p>
        </w:tc>
        <w:tc>
          <w:tcPr>
            <w:tcW w:w="435" w:type="dxa"/>
            <w:tcBorders>
              <w:top w:val="nil"/>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19"/>
                <w:szCs w:val="19"/>
              </w:rPr>
            </w:pPr>
            <w:r>
              <w:rPr>
                <w:rFonts w:hint="default" w:ascii="仿宋_GB2312" w:eastAsia="仿宋_GB2312" w:cs="仿宋_GB2312"/>
                <w:color w:val="000000"/>
                <w:sz w:val="20"/>
                <w:szCs w:val="20"/>
                <w:bdr w:val="none" w:color="auto" w:sz="0" w:space="0"/>
              </w:rPr>
              <w:t>110</w:t>
            </w:r>
          </w:p>
        </w:tc>
        <w:tc>
          <w:tcPr>
            <w:tcW w:w="435" w:type="dxa"/>
            <w:tcBorders>
              <w:top w:val="nil"/>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19"/>
                <w:szCs w:val="19"/>
              </w:rPr>
            </w:pPr>
            <w:r>
              <w:rPr>
                <w:rFonts w:hint="default" w:ascii="仿宋_GB2312" w:eastAsia="仿宋_GB2312" w:cs="仿宋_GB2312"/>
                <w:color w:val="000000"/>
                <w:sz w:val="20"/>
                <w:szCs w:val="20"/>
                <w:bdr w:val="none" w:color="auto" w:sz="0" w:space="0"/>
              </w:rPr>
              <w:t>27</w:t>
            </w:r>
          </w:p>
        </w:tc>
        <w:tc>
          <w:tcPr>
            <w:tcW w:w="435" w:type="dxa"/>
            <w:tcBorders>
              <w:top w:val="nil"/>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19"/>
                <w:szCs w:val="19"/>
              </w:rPr>
            </w:pPr>
            <w:r>
              <w:rPr>
                <w:rFonts w:hint="default" w:ascii="仿宋_GB2312" w:eastAsia="仿宋_GB2312" w:cs="仿宋_GB2312"/>
                <w:color w:val="000000"/>
                <w:sz w:val="20"/>
                <w:szCs w:val="20"/>
                <w:bdr w:val="none" w:color="auto" w:sz="0" w:space="0"/>
              </w:rPr>
              <w:t>5</w:t>
            </w:r>
          </w:p>
        </w:tc>
        <w:tc>
          <w:tcPr>
            <w:tcW w:w="435" w:type="dxa"/>
            <w:tcBorders>
              <w:top w:val="nil"/>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19"/>
                <w:szCs w:val="19"/>
              </w:rPr>
            </w:pPr>
            <w:r>
              <w:rPr>
                <w:rFonts w:hint="default" w:ascii="仿宋_GB2312" w:eastAsia="仿宋_GB2312" w:cs="仿宋_GB2312"/>
                <w:color w:val="000000"/>
                <w:sz w:val="20"/>
                <w:szCs w:val="20"/>
                <w:bdr w:val="none" w:color="auto" w:sz="0" w:space="0"/>
              </w:rPr>
              <w:t>6</w:t>
            </w:r>
          </w:p>
        </w:tc>
        <w:tc>
          <w:tcPr>
            <w:tcW w:w="435" w:type="dxa"/>
            <w:tcBorders>
              <w:top w:val="nil"/>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19"/>
                <w:szCs w:val="19"/>
              </w:rPr>
            </w:pPr>
            <w:r>
              <w:rPr>
                <w:rFonts w:hint="default" w:ascii="仿宋_GB2312" w:eastAsia="仿宋_GB2312" w:cs="仿宋_GB2312"/>
                <w:color w:val="000000"/>
                <w:sz w:val="20"/>
                <w:szCs w:val="20"/>
                <w:bdr w:val="none" w:color="auto" w:sz="0" w:space="0"/>
              </w:rPr>
              <w:t>7</w:t>
            </w:r>
          </w:p>
        </w:tc>
        <w:tc>
          <w:tcPr>
            <w:tcW w:w="435" w:type="dxa"/>
            <w:tcBorders>
              <w:top w:val="nil"/>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19"/>
                <w:szCs w:val="19"/>
              </w:rPr>
            </w:pPr>
            <w:r>
              <w:rPr>
                <w:rFonts w:hint="default" w:ascii="仿宋_GB2312" w:eastAsia="仿宋_GB2312" w:cs="仿宋_GB2312"/>
                <w:color w:val="000000"/>
                <w:sz w:val="20"/>
                <w:szCs w:val="20"/>
                <w:bdr w:val="none" w:color="auto" w:sz="0" w:space="0"/>
              </w:rPr>
              <w:t>45</w:t>
            </w:r>
          </w:p>
        </w:tc>
        <w:tc>
          <w:tcPr>
            <w:tcW w:w="435" w:type="dxa"/>
            <w:tcBorders>
              <w:top w:val="nil"/>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19"/>
                <w:szCs w:val="19"/>
              </w:rPr>
            </w:pPr>
            <w:r>
              <w:rPr>
                <w:rFonts w:hint="default" w:ascii="仿宋_GB2312" w:eastAsia="仿宋_GB2312" w:cs="仿宋_GB2312"/>
                <w:color w:val="000000"/>
                <w:sz w:val="20"/>
                <w:szCs w:val="20"/>
                <w:bdr w:val="none" w:color="auto" w:sz="0" w:space="0"/>
              </w:rPr>
              <w:t>9</w:t>
            </w:r>
          </w:p>
        </w:tc>
        <w:tc>
          <w:tcPr>
            <w:tcW w:w="435" w:type="dxa"/>
            <w:tcBorders>
              <w:top w:val="nil"/>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19"/>
                <w:szCs w:val="19"/>
              </w:rPr>
            </w:pPr>
            <w:r>
              <w:rPr>
                <w:rFonts w:hint="default" w:ascii="仿宋_GB2312" w:eastAsia="仿宋_GB2312" w:cs="仿宋_GB2312"/>
                <w:color w:val="000000"/>
                <w:sz w:val="20"/>
                <w:szCs w:val="20"/>
                <w:bdr w:val="none" w:color="auto" w:sz="0" w:space="0"/>
              </w:rPr>
              <w:t>0</w:t>
            </w:r>
          </w:p>
        </w:tc>
        <w:tc>
          <w:tcPr>
            <w:tcW w:w="435" w:type="dxa"/>
            <w:tcBorders>
              <w:top w:val="nil"/>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19"/>
                <w:szCs w:val="19"/>
              </w:rPr>
            </w:pPr>
            <w:r>
              <w:rPr>
                <w:rFonts w:hint="default" w:ascii="仿宋_GB2312" w:eastAsia="仿宋_GB2312" w:cs="仿宋_GB2312"/>
                <w:color w:val="000000"/>
                <w:sz w:val="20"/>
                <w:szCs w:val="20"/>
                <w:bdr w:val="none" w:color="auto" w:sz="0" w:space="0"/>
              </w:rPr>
              <w:t>2</w:t>
            </w:r>
          </w:p>
        </w:tc>
        <w:tc>
          <w:tcPr>
            <w:tcW w:w="435" w:type="dxa"/>
            <w:tcBorders>
              <w:top w:val="nil"/>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19"/>
                <w:szCs w:val="19"/>
              </w:rPr>
            </w:pPr>
            <w:r>
              <w:rPr>
                <w:rFonts w:hint="default" w:ascii="仿宋_GB2312" w:eastAsia="仿宋_GB2312" w:cs="仿宋_GB2312"/>
                <w:color w:val="000000"/>
                <w:sz w:val="20"/>
                <w:szCs w:val="20"/>
                <w:bdr w:val="none" w:color="auto" w:sz="0" w:space="0"/>
              </w:rPr>
              <w:t>2</w:t>
            </w:r>
          </w:p>
        </w:tc>
        <w:tc>
          <w:tcPr>
            <w:tcW w:w="435" w:type="dxa"/>
            <w:tcBorders>
              <w:top w:val="nil"/>
              <w:left w:val="single" w:color="000000" w:sz="6" w:space="0"/>
              <w:bottom w:val="single" w:color="000000" w:sz="6" w:space="0"/>
              <w:right w:val="single" w:color="000000"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sz w:val="19"/>
                <w:szCs w:val="19"/>
              </w:rPr>
            </w:pPr>
            <w:r>
              <w:rPr>
                <w:rFonts w:hint="default" w:ascii="仿宋_GB2312" w:eastAsia="仿宋_GB2312" w:cs="仿宋_GB2312"/>
                <w:color w:val="000000"/>
                <w:sz w:val="20"/>
                <w:szCs w:val="20"/>
                <w:bdr w:val="none" w:color="auto" w:sz="0" w:space="0"/>
              </w:rPr>
              <w:t>13</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34"/>
        <w:jc w:val="left"/>
        <w:textAlignment w:val="center"/>
        <w:rPr>
          <w:rFonts w:hint="default" w:ascii="Helvetica" w:hAnsi="Helvetica" w:eastAsia="Helvetica" w:cs="Helvetica"/>
          <w:i w:val="0"/>
          <w:iCs w:val="0"/>
          <w:caps w:val="0"/>
          <w:color w:val="333333"/>
          <w:spacing w:val="0"/>
          <w:sz w:val="24"/>
          <w:szCs w:val="24"/>
        </w:rPr>
      </w:pPr>
      <w:r>
        <w:rPr>
          <w:rFonts w:hint="eastAsia" w:ascii="黑体" w:hAnsi="宋体" w:eastAsia="黑体" w:cs="黑体"/>
          <w:b w:val="0"/>
          <w:bCs w:val="0"/>
          <w:i w:val="0"/>
          <w:iCs w:val="0"/>
          <w:caps w:val="0"/>
          <w:color w:val="000000"/>
          <w:spacing w:val="0"/>
          <w:sz w:val="32"/>
          <w:szCs w:val="32"/>
          <w:bdr w:val="none" w:color="auto" w:sz="0" w:space="0"/>
          <w:shd w:val="clear" w:fill="FFFFFF"/>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34"/>
        <w:textAlignment w:val="center"/>
        <w:rPr>
          <w:rFonts w:hint="default" w:ascii="Helvetica" w:hAnsi="Helvetica" w:eastAsia="Helvetica" w:cs="Helvetica"/>
          <w:i w:val="0"/>
          <w:iCs w:val="0"/>
          <w:caps w:val="0"/>
          <w:color w:val="333333"/>
          <w:spacing w:val="0"/>
          <w:sz w:val="32"/>
          <w:szCs w:val="32"/>
        </w:rPr>
      </w:pPr>
      <w:r>
        <w:rPr>
          <w:rFonts w:hint="default" w:ascii="仿宋_GB2312" w:hAnsi="Adobe 宋体 Std L" w:eastAsia="仿宋_GB2312" w:cs="仿宋_GB2312"/>
          <w:i w:val="0"/>
          <w:iCs w:val="0"/>
          <w:caps w:val="0"/>
          <w:color w:val="000000"/>
          <w:spacing w:val="0"/>
          <w:sz w:val="32"/>
          <w:szCs w:val="32"/>
          <w:bdr w:val="none" w:color="auto" w:sz="0" w:space="0"/>
          <w:shd w:val="clear" w:fill="FFFFFF"/>
        </w:rPr>
        <w:t>2021年，我市政府信息公开工作虽然取得一些成绩，但与上级要求和群众期待还有差距，</w:t>
      </w:r>
      <w:r>
        <w:rPr>
          <w:rStyle w:val="5"/>
          <w:rFonts w:hint="default" w:ascii="仿宋_GB2312" w:hAnsi="Adobe 宋体 Std L" w:eastAsia="仿宋_GB2312" w:cs="仿宋_GB2312"/>
          <w:b/>
          <w:bCs/>
          <w:i w:val="0"/>
          <w:iCs w:val="0"/>
          <w:caps w:val="0"/>
          <w:color w:val="000000"/>
          <w:spacing w:val="0"/>
          <w:sz w:val="24"/>
          <w:szCs w:val="24"/>
          <w:bdr w:val="none" w:color="auto" w:sz="0" w:space="0"/>
          <w:shd w:val="clear" w:fill="FFFFFF"/>
        </w:rPr>
        <w:t>一是</w:t>
      </w:r>
      <w:r>
        <w:rPr>
          <w:rFonts w:hint="default" w:ascii="仿宋_GB2312" w:hAnsi="Adobe 宋体 Std L" w:eastAsia="仿宋_GB2312" w:cs="仿宋_GB2312"/>
          <w:i w:val="0"/>
          <w:iCs w:val="0"/>
          <w:caps w:val="0"/>
          <w:color w:val="000000"/>
          <w:spacing w:val="0"/>
          <w:sz w:val="32"/>
          <w:szCs w:val="32"/>
          <w:bdr w:val="none" w:color="auto" w:sz="0" w:space="0"/>
          <w:shd w:val="clear" w:fill="FFFFFF"/>
        </w:rPr>
        <w:t>主动公开标准化规范化有待加强。全市各级各部门公开思维和理念有明显的提升，但是在标准化规范化方面还要进一步加强</w:t>
      </w:r>
      <w:r>
        <w:rPr>
          <w:rFonts w:hint="default" w:ascii="仿宋_GB2312" w:hAnsi="Helvetica" w:eastAsia="仿宋_GB2312" w:cs="仿宋_GB2312"/>
          <w:i w:val="0"/>
          <w:iCs w:val="0"/>
          <w:caps w:val="0"/>
          <w:color w:val="000000"/>
          <w:spacing w:val="0"/>
          <w:sz w:val="32"/>
          <w:szCs w:val="32"/>
          <w:bdr w:val="none" w:color="auto" w:sz="0" w:space="0"/>
          <w:shd w:val="clear" w:fill="FFFFFF"/>
        </w:rPr>
        <w:t>。二是政府信息依申请公开办理法治意识和严格法制审查需要进一步提升。三是基层政务公开标准化规范化还有待进一步纵深推进，提质信息发布内容和数量。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34"/>
        <w:jc w:val="both"/>
        <w:textAlignment w:val="center"/>
        <w:rPr>
          <w:rFonts w:hint="default" w:ascii="Helvetica" w:hAnsi="Helvetica" w:eastAsia="Helvetica" w:cs="Helvetica"/>
          <w:i w:val="0"/>
          <w:iCs w:val="0"/>
          <w:caps w:val="0"/>
          <w:color w:val="333333"/>
          <w:spacing w:val="0"/>
          <w:sz w:val="32"/>
          <w:szCs w:val="32"/>
        </w:rPr>
      </w:pPr>
      <w:r>
        <w:rPr>
          <w:rFonts w:hint="default" w:ascii="仿宋_GB2312" w:hAnsi="宋体" w:eastAsia="仿宋_GB2312" w:cs="仿宋_GB2312"/>
          <w:i w:val="0"/>
          <w:iCs w:val="0"/>
          <w:caps w:val="0"/>
          <w:color w:val="000000"/>
          <w:spacing w:val="0"/>
          <w:sz w:val="32"/>
          <w:szCs w:val="32"/>
          <w:bdr w:val="none" w:color="auto" w:sz="0" w:space="0"/>
          <w:shd w:val="clear" w:fill="FFFFFF"/>
        </w:rPr>
        <w:t>针对上述不足，将深入贯彻落实《条例》，进一步加强政府信息公开工作。</w:t>
      </w:r>
      <w:r>
        <w:rPr>
          <w:rFonts w:hint="default" w:ascii="仿宋_GB2312" w:hAnsi="Helvetica" w:eastAsia="仿宋_GB2312" w:cs="仿宋_GB2312"/>
          <w:i w:val="0"/>
          <w:iCs w:val="0"/>
          <w:caps w:val="0"/>
          <w:color w:val="000000"/>
          <w:spacing w:val="0"/>
          <w:sz w:val="32"/>
          <w:szCs w:val="32"/>
          <w:bdr w:val="none" w:color="auto" w:sz="0" w:space="0"/>
          <w:shd w:val="clear" w:fill="FFFFFF"/>
        </w:rPr>
        <w:t>一是推进《长沙市人民政府办公厅关于印发&lt;长沙市推进政务公开标准化规范化便利化实施意见&gt;的通知》（长政办发〔2021〕56号）文件的贯彻落实。二是加强督促考核，对各级各部门政府信息依申请公开制度建设、网站信息发布、政策解读、工作进展等加大督促指导、业务培训、评估评议力度，进一步提升公开意识。三是提高政策解读的质量和效果，对涉及群众切身利益的重点政策措施，督促相关单位进行多形式深入解读，提升政策知晓度。四是深化基层政务公开标准化规范化建设，组织编制其他领域基层政务公开事项目录（如交通运输领域）；优化线上基层政务公开专栏，将基层政务公开专栏与政府网站政务公开栏目进行深度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34"/>
        <w:jc w:val="left"/>
        <w:textAlignment w:val="center"/>
        <w:rPr>
          <w:rFonts w:hint="default" w:ascii="Helvetica" w:hAnsi="Helvetica" w:eastAsia="Helvetica" w:cs="Helvetica"/>
          <w:i w:val="0"/>
          <w:iCs w:val="0"/>
          <w:caps w:val="0"/>
          <w:color w:val="333333"/>
          <w:spacing w:val="0"/>
          <w:sz w:val="24"/>
          <w:szCs w:val="24"/>
        </w:rPr>
      </w:pPr>
      <w:r>
        <w:rPr>
          <w:rFonts w:hint="eastAsia" w:ascii="黑体" w:hAnsi="宋体" w:eastAsia="黑体" w:cs="黑体"/>
          <w:b w:val="0"/>
          <w:bCs w:val="0"/>
          <w:i w:val="0"/>
          <w:iCs w:val="0"/>
          <w:caps w:val="0"/>
          <w:color w:val="000000"/>
          <w:spacing w:val="0"/>
          <w:sz w:val="32"/>
          <w:szCs w:val="32"/>
          <w:bdr w:val="none" w:color="auto" w:sz="0" w:space="0"/>
          <w:shd w:val="clear" w:fill="FFFFFF"/>
        </w:rPr>
        <w:t>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34"/>
        <w:jc w:val="both"/>
        <w:textAlignment w:val="center"/>
        <w:rPr>
          <w:rFonts w:hint="default" w:ascii="Helvetica" w:hAnsi="Helvetica" w:eastAsia="Helvetica" w:cs="Helvetica"/>
          <w:i w:val="0"/>
          <w:iCs w:val="0"/>
          <w:caps w:val="0"/>
          <w:color w:val="333333"/>
          <w:spacing w:val="0"/>
          <w:sz w:val="24"/>
          <w:szCs w:val="24"/>
        </w:rPr>
      </w:pPr>
      <w:r>
        <w:rPr>
          <w:rFonts w:hint="default" w:ascii="仿宋_GB2312" w:hAnsi="宋体" w:eastAsia="仿宋_GB2312" w:cs="仿宋_GB2312"/>
          <w:i w:val="0"/>
          <w:iCs w:val="0"/>
          <w:caps w:val="0"/>
          <w:color w:val="000000"/>
          <w:spacing w:val="0"/>
          <w:sz w:val="32"/>
          <w:szCs w:val="32"/>
          <w:bdr w:val="none" w:color="auto" w:sz="0" w:space="0"/>
          <w:shd w:val="clear" w:fill="FFFFFF"/>
        </w:rPr>
        <w:t>长沙市本年度未收取政府信息处理费。年报中所列数据的统计期限自</w:t>
      </w:r>
      <w:r>
        <w:rPr>
          <w:rFonts w:hint="default" w:ascii="仿宋_GB2312" w:hAnsi="Helvetica" w:eastAsia="仿宋_GB2312" w:cs="仿宋_GB2312"/>
          <w:i w:val="0"/>
          <w:iCs w:val="0"/>
          <w:caps w:val="0"/>
          <w:color w:val="000000"/>
          <w:spacing w:val="0"/>
          <w:sz w:val="32"/>
          <w:szCs w:val="32"/>
          <w:bdr w:val="none" w:color="auto" w:sz="0" w:space="0"/>
          <w:shd w:val="clear" w:fill="FFFFFF"/>
        </w:rPr>
        <w:t>2021</w:t>
      </w:r>
      <w:r>
        <w:rPr>
          <w:rFonts w:hint="default" w:ascii="仿宋_GB2312" w:hAnsi="Helvetica" w:eastAsia="仿宋_GB2312" w:cs="仿宋_GB2312"/>
          <w:i w:val="0"/>
          <w:iCs w:val="0"/>
          <w:caps w:val="0"/>
          <w:color w:val="333333"/>
          <w:spacing w:val="0"/>
          <w:sz w:val="32"/>
          <w:szCs w:val="32"/>
          <w:bdr w:val="none" w:color="auto" w:sz="0" w:space="0"/>
          <w:shd w:val="clear" w:fill="FFFFFF"/>
        </w:rPr>
        <w:t>年1月1日起至2021年12月31日止。如对本年报有疑义，请与长沙市政务公开政务服务工作领导小组办公室联系 (联系电话:0731-88665077)。</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dobe 宋体 Std L">
    <w:panose1 w:val="02020300000000000000"/>
    <w:charset w:val="86"/>
    <w:family w:val="auto"/>
    <w:pitch w:val="default"/>
    <w:sig w:usb0="00000001" w:usb1="0A0F1810"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3F2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2022-03-09T02:46:58Z</dcterms:created>
  <dc:creator>Rosennoyume</dc:creator>
  <cp:lastModifiedBy>野萝卜须</cp:lastModifiedBy>
  <dcterms:modified xsi:type="dcterms:W3CDTF">2022-03-09T02:47:14Z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420A17F444FB49C8B2FA7B1D56BB4417</vt:lpwstr>
  </property>
</Properties>
</file>